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A905" w14:textId="3D346445" w:rsidR="00403104" w:rsidRDefault="00403104" w:rsidP="002464EF">
      <w:pPr>
        <w:pStyle w:val="Header"/>
        <w:jc w:val="right"/>
        <w:rPr>
          <w:color w:val="4472C4"/>
        </w:rPr>
      </w:pPr>
      <w:r>
        <w:rPr>
          <w:rFonts w:ascii="Calibri" w:eastAsia="Calibri" w:hAnsi="Calibri" w:cs="Arial"/>
          <w:noProof/>
          <w:sz w:val="22"/>
          <w:szCs w:val="22"/>
          <w:lang w:eastAsia="en-GB"/>
        </w:rPr>
        <w:drawing>
          <wp:anchor distT="0" distB="0" distL="114300" distR="114300" simplePos="0" relativeHeight="251658240" behindDoc="0" locked="0" layoutInCell="1" allowOverlap="1" wp14:anchorId="52B8C93D" wp14:editId="116D40C1">
            <wp:simplePos x="0" y="0"/>
            <wp:positionH relativeFrom="column">
              <wp:posOffset>3761740</wp:posOffset>
            </wp:positionH>
            <wp:positionV relativeFrom="paragraph">
              <wp:posOffset>-170180</wp:posOffset>
            </wp:positionV>
            <wp:extent cx="1980123" cy="701055"/>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123" cy="70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7DCBC" w14:textId="77777777" w:rsidR="00403104" w:rsidRDefault="00403104" w:rsidP="002464EF">
      <w:pPr>
        <w:pStyle w:val="Header"/>
        <w:jc w:val="right"/>
        <w:rPr>
          <w:color w:val="4472C4"/>
        </w:rPr>
      </w:pPr>
    </w:p>
    <w:p w14:paraId="7599E7FC" w14:textId="77777777" w:rsidR="00403104" w:rsidRDefault="00403104" w:rsidP="002464EF">
      <w:pPr>
        <w:pStyle w:val="Header"/>
        <w:jc w:val="right"/>
        <w:rPr>
          <w:color w:val="4472C4"/>
        </w:rPr>
      </w:pPr>
    </w:p>
    <w:p w14:paraId="676CD37F" w14:textId="0298DBC9" w:rsidR="003D66F3" w:rsidRPr="00122F34" w:rsidRDefault="003D66F3" w:rsidP="002464EF">
      <w:pPr>
        <w:pStyle w:val="Header"/>
        <w:jc w:val="right"/>
        <w:rPr>
          <w:color w:val="4472C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499"/>
        <w:gridCol w:w="3918"/>
      </w:tblGrid>
      <w:tr w:rsidR="00825136" w:rsidRPr="002464EF" w14:paraId="0A5DF91F" w14:textId="77777777" w:rsidTr="009609D3">
        <w:trPr>
          <w:jc w:val="center"/>
        </w:trPr>
        <w:tc>
          <w:tcPr>
            <w:tcW w:w="5000" w:type="pct"/>
            <w:gridSpan w:val="3"/>
            <w:tcBorders>
              <w:bottom w:val="single" w:sz="4" w:space="0" w:color="auto"/>
            </w:tcBorders>
            <w:shd w:val="clear" w:color="auto" w:fill="auto"/>
          </w:tcPr>
          <w:p w14:paraId="54FA8BBF" w14:textId="7DE19D5E" w:rsidR="00825136" w:rsidRPr="00975C61" w:rsidRDefault="004D4B95" w:rsidP="002464EF">
            <w:pPr>
              <w:spacing w:before="120" w:after="120"/>
              <w:rPr>
                <w:rFonts w:ascii="Arial" w:hAnsi="Arial" w:cs="Arial"/>
                <w:b/>
              </w:rPr>
            </w:pPr>
            <w:r w:rsidRPr="00975C61">
              <w:rPr>
                <w:rFonts w:ascii="Arial" w:hAnsi="Arial" w:cs="Arial"/>
                <w:b/>
              </w:rPr>
              <w:t>Pharmacological Therap</w:t>
            </w:r>
            <w:r w:rsidR="009609D3">
              <w:rPr>
                <w:rFonts w:ascii="Arial" w:hAnsi="Arial" w:cs="Arial"/>
                <w:b/>
              </w:rPr>
              <w:t>ies</w:t>
            </w:r>
            <w:r w:rsidRPr="00975C61">
              <w:rPr>
                <w:rFonts w:ascii="Arial" w:hAnsi="Arial" w:cs="Arial"/>
                <w:b/>
              </w:rPr>
              <w:t xml:space="preserve"> Policy </w:t>
            </w:r>
            <w:r w:rsidR="00825136" w:rsidRPr="00975C61">
              <w:rPr>
                <w:rFonts w:ascii="Arial" w:hAnsi="Arial" w:cs="Arial"/>
                <w:b/>
              </w:rPr>
              <w:t>Practice Guidance Note</w:t>
            </w:r>
            <w:r w:rsidR="000D2D50" w:rsidRPr="00975C61">
              <w:rPr>
                <w:rFonts w:ascii="Arial" w:hAnsi="Arial" w:cs="Arial"/>
                <w:b/>
              </w:rPr>
              <w:t xml:space="preserve"> (PGN)</w:t>
            </w:r>
          </w:p>
          <w:p w14:paraId="2AD00BB5" w14:textId="66354A4B" w:rsidR="00825136" w:rsidRPr="00975C61" w:rsidRDefault="003811DD" w:rsidP="002464EF">
            <w:pPr>
              <w:spacing w:after="120"/>
              <w:rPr>
                <w:b/>
                <w:sz w:val="22"/>
                <w:szCs w:val="22"/>
              </w:rPr>
            </w:pPr>
            <w:r w:rsidRPr="00975C61">
              <w:rPr>
                <w:rFonts w:ascii="Arial" w:hAnsi="Arial" w:cs="Arial"/>
                <w:b/>
              </w:rPr>
              <w:t>Management of Hy</w:t>
            </w:r>
            <w:r w:rsidR="002548E9" w:rsidRPr="00975C61">
              <w:rPr>
                <w:rFonts w:ascii="Arial" w:hAnsi="Arial" w:cs="Arial"/>
                <w:b/>
              </w:rPr>
              <w:t>perprolactinaemia in Patients P</w:t>
            </w:r>
            <w:r w:rsidR="00940EB6" w:rsidRPr="00975C61">
              <w:rPr>
                <w:rFonts w:ascii="Arial" w:hAnsi="Arial" w:cs="Arial"/>
                <w:b/>
              </w:rPr>
              <w:t>rescribed</w:t>
            </w:r>
            <w:r w:rsidRPr="00975C61">
              <w:rPr>
                <w:rFonts w:ascii="Arial" w:hAnsi="Arial" w:cs="Arial"/>
                <w:b/>
              </w:rPr>
              <w:t xml:space="preserve"> Antipsychotics</w:t>
            </w:r>
            <w:r w:rsidR="000D2D50" w:rsidRPr="00975C61">
              <w:rPr>
                <w:rFonts w:ascii="Arial" w:hAnsi="Arial" w:cs="Arial"/>
                <w:b/>
              </w:rPr>
              <w:t xml:space="preserve"> -</w:t>
            </w:r>
            <w:r w:rsidR="00825136" w:rsidRPr="00975C61">
              <w:rPr>
                <w:rFonts w:ascii="Arial" w:hAnsi="Arial" w:cs="Arial"/>
                <w:b/>
              </w:rPr>
              <w:t xml:space="preserve"> V0</w:t>
            </w:r>
            <w:r w:rsidR="005056BA">
              <w:rPr>
                <w:rFonts w:ascii="Arial" w:hAnsi="Arial" w:cs="Arial"/>
                <w:b/>
              </w:rPr>
              <w:t>4</w:t>
            </w:r>
          </w:p>
        </w:tc>
      </w:tr>
      <w:tr w:rsidR="00B66265" w:rsidRPr="002464EF" w14:paraId="3C46BB9B" w14:textId="77777777" w:rsidTr="009609D3">
        <w:trPr>
          <w:trHeight w:val="412"/>
          <w:jc w:val="center"/>
        </w:trPr>
        <w:tc>
          <w:tcPr>
            <w:tcW w:w="1441" w:type="pct"/>
            <w:shd w:val="clear" w:color="auto" w:fill="F2F2F2" w:themeFill="background1" w:themeFillShade="F2"/>
          </w:tcPr>
          <w:p w14:paraId="109807FE" w14:textId="0BC3A8D1" w:rsidR="00C71E4E" w:rsidRPr="00975C61" w:rsidRDefault="00B66265" w:rsidP="000D2D50">
            <w:pPr>
              <w:spacing w:before="60" w:after="60"/>
              <w:jc w:val="center"/>
              <w:rPr>
                <w:rFonts w:ascii="Arial" w:hAnsi="Arial" w:cs="Arial"/>
                <w:b/>
              </w:rPr>
            </w:pPr>
            <w:r w:rsidRPr="00975C61">
              <w:rPr>
                <w:rFonts w:ascii="Arial" w:hAnsi="Arial" w:cs="Arial"/>
                <w:b/>
              </w:rPr>
              <w:t>Date Issued</w:t>
            </w:r>
          </w:p>
        </w:tc>
        <w:tc>
          <w:tcPr>
            <w:tcW w:w="1386" w:type="pct"/>
            <w:shd w:val="clear" w:color="auto" w:fill="F2F2F2" w:themeFill="background1" w:themeFillShade="F2"/>
          </w:tcPr>
          <w:p w14:paraId="03068E13" w14:textId="4890ABEC" w:rsidR="00B66265" w:rsidRPr="00975C61" w:rsidRDefault="00B66265" w:rsidP="000D2D50">
            <w:pPr>
              <w:spacing w:before="60" w:after="60"/>
              <w:jc w:val="center"/>
              <w:rPr>
                <w:rFonts w:ascii="Arial" w:hAnsi="Arial" w:cs="Arial"/>
                <w:b/>
              </w:rPr>
            </w:pPr>
            <w:r w:rsidRPr="00975C61">
              <w:rPr>
                <w:rFonts w:ascii="Arial" w:hAnsi="Arial" w:cs="Arial"/>
                <w:b/>
              </w:rPr>
              <w:t>Planned Review</w:t>
            </w:r>
          </w:p>
        </w:tc>
        <w:tc>
          <w:tcPr>
            <w:tcW w:w="2173" w:type="pct"/>
            <w:shd w:val="clear" w:color="auto" w:fill="F2F2F2" w:themeFill="background1" w:themeFillShade="F2"/>
          </w:tcPr>
          <w:p w14:paraId="64CA3456" w14:textId="3A0D2704" w:rsidR="00B66265" w:rsidRPr="00975C61" w:rsidRDefault="000D2D50" w:rsidP="00A957A3">
            <w:pPr>
              <w:spacing w:before="60" w:after="60"/>
              <w:jc w:val="center"/>
              <w:rPr>
                <w:rFonts w:ascii="Arial" w:hAnsi="Arial" w:cs="Arial"/>
                <w:b/>
              </w:rPr>
            </w:pPr>
            <w:r w:rsidRPr="00975C61">
              <w:rPr>
                <w:rFonts w:ascii="Arial" w:hAnsi="Arial" w:cs="Arial"/>
                <w:b/>
              </w:rPr>
              <w:t>PGN No:</w:t>
            </w:r>
          </w:p>
        </w:tc>
      </w:tr>
      <w:tr w:rsidR="000D2D50" w:rsidRPr="002464EF" w14:paraId="3A9C0878" w14:textId="77777777" w:rsidTr="009609D3">
        <w:trPr>
          <w:trHeight w:val="1330"/>
          <w:jc w:val="center"/>
        </w:trPr>
        <w:tc>
          <w:tcPr>
            <w:tcW w:w="1441" w:type="pct"/>
            <w:shd w:val="clear" w:color="auto" w:fill="auto"/>
          </w:tcPr>
          <w:p w14:paraId="4BDAFD44" w14:textId="43632659" w:rsidR="004C379B" w:rsidRDefault="000D2D50" w:rsidP="002464EF">
            <w:pPr>
              <w:spacing w:before="120" w:after="120"/>
              <w:rPr>
                <w:rFonts w:ascii="Arial" w:hAnsi="Arial" w:cs="Arial"/>
                <w:b/>
                <w:szCs w:val="22"/>
              </w:rPr>
            </w:pPr>
            <w:r w:rsidRPr="00975C61">
              <w:rPr>
                <w:rFonts w:ascii="Arial" w:hAnsi="Arial" w:cs="Arial"/>
                <w:b/>
                <w:szCs w:val="22"/>
              </w:rPr>
              <w:t xml:space="preserve">Issue 1 – </w:t>
            </w:r>
            <w:r w:rsidR="005056BA">
              <w:rPr>
                <w:rFonts w:ascii="Arial" w:hAnsi="Arial" w:cs="Arial"/>
                <w:b/>
                <w:szCs w:val="22"/>
              </w:rPr>
              <w:t>Dec</w:t>
            </w:r>
            <w:r w:rsidRPr="00975C61">
              <w:rPr>
                <w:rFonts w:ascii="Arial" w:hAnsi="Arial" w:cs="Arial"/>
                <w:b/>
                <w:szCs w:val="22"/>
              </w:rPr>
              <w:t xml:space="preserve"> 202</w:t>
            </w:r>
            <w:r w:rsidR="005056BA">
              <w:rPr>
                <w:rFonts w:ascii="Arial" w:hAnsi="Arial" w:cs="Arial"/>
                <w:b/>
                <w:szCs w:val="22"/>
              </w:rPr>
              <w:t>5</w:t>
            </w:r>
          </w:p>
          <w:p w14:paraId="49F84C20" w14:textId="4DC2FD92" w:rsidR="009609D3" w:rsidRPr="009609D3" w:rsidRDefault="009609D3" w:rsidP="002464EF">
            <w:pPr>
              <w:spacing w:before="120" w:after="120"/>
              <w:rPr>
                <w:rFonts w:ascii="Arial" w:hAnsi="Arial" w:cs="Arial"/>
                <w:b/>
                <w:color w:val="0000FF"/>
                <w:szCs w:val="22"/>
              </w:rPr>
            </w:pPr>
          </w:p>
        </w:tc>
        <w:tc>
          <w:tcPr>
            <w:tcW w:w="1386" w:type="pct"/>
            <w:shd w:val="clear" w:color="auto" w:fill="auto"/>
          </w:tcPr>
          <w:p w14:paraId="558D4835" w14:textId="2C3E071B" w:rsidR="000D2D50" w:rsidRPr="00975C61" w:rsidRDefault="005056BA" w:rsidP="002464EF">
            <w:pPr>
              <w:spacing w:before="120" w:after="120"/>
              <w:rPr>
                <w:rFonts w:ascii="Arial" w:hAnsi="Arial" w:cs="Arial"/>
                <w:b/>
                <w:szCs w:val="22"/>
              </w:rPr>
            </w:pPr>
            <w:r>
              <w:rPr>
                <w:rFonts w:ascii="Arial" w:hAnsi="Arial" w:cs="Arial"/>
                <w:b/>
                <w:szCs w:val="22"/>
              </w:rPr>
              <w:t>Dec</w:t>
            </w:r>
            <w:r w:rsidR="000D2D50" w:rsidRPr="00975C61">
              <w:rPr>
                <w:rFonts w:ascii="Arial" w:hAnsi="Arial" w:cs="Arial"/>
                <w:b/>
                <w:szCs w:val="22"/>
              </w:rPr>
              <w:t xml:space="preserve"> 202</w:t>
            </w:r>
            <w:r>
              <w:rPr>
                <w:rFonts w:ascii="Arial" w:hAnsi="Arial" w:cs="Arial"/>
                <w:b/>
                <w:szCs w:val="22"/>
              </w:rPr>
              <w:t>8</w:t>
            </w:r>
          </w:p>
        </w:tc>
        <w:tc>
          <w:tcPr>
            <w:tcW w:w="2173" w:type="pct"/>
            <w:shd w:val="clear" w:color="auto" w:fill="auto"/>
          </w:tcPr>
          <w:p w14:paraId="72376380" w14:textId="77777777" w:rsidR="000D2D50" w:rsidRPr="00975C61" w:rsidRDefault="000D2D50" w:rsidP="000D2D50">
            <w:pPr>
              <w:spacing w:before="60" w:after="120"/>
              <w:rPr>
                <w:rFonts w:ascii="Arial" w:hAnsi="Arial" w:cs="Arial"/>
                <w:b/>
              </w:rPr>
            </w:pPr>
            <w:r w:rsidRPr="00975C61">
              <w:rPr>
                <w:rFonts w:ascii="Arial" w:hAnsi="Arial" w:cs="Arial"/>
                <w:b/>
                <w:sz w:val="36"/>
                <w:szCs w:val="36"/>
              </w:rPr>
              <w:t>PPT-PGN-24</w:t>
            </w:r>
          </w:p>
          <w:p w14:paraId="2817F844" w14:textId="535F1576" w:rsidR="000D2D50" w:rsidRPr="00975C61" w:rsidRDefault="000D2D50" w:rsidP="000D2D50">
            <w:pPr>
              <w:spacing w:before="120" w:after="120"/>
              <w:rPr>
                <w:rFonts w:ascii="Arial" w:hAnsi="Arial" w:cs="Arial"/>
                <w:b/>
                <w:sz w:val="36"/>
                <w:szCs w:val="36"/>
              </w:rPr>
            </w:pPr>
            <w:r w:rsidRPr="00975C61">
              <w:rPr>
                <w:rFonts w:ascii="Arial" w:hAnsi="Arial" w:cs="Arial"/>
                <w:szCs w:val="22"/>
              </w:rPr>
              <w:t xml:space="preserve">Part of CNTW(C)38 </w:t>
            </w:r>
            <w:r w:rsidR="009609D3">
              <w:rPr>
                <w:rFonts w:ascii="Arial" w:hAnsi="Arial" w:cs="Arial"/>
                <w:szCs w:val="22"/>
              </w:rPr>
              <w:t>-</w:t>
            </w:r>
            <w:r w:rsidRPr="00975C61">
              <w:rPr>
                <w:rFonts w:ascii="Arial" w:hAnsi="Arial" w:cs="Arial"/>
                <w:szCs w:val="22"/>
              </w:rPr>
              <w:t>Pharmacological Therap</w:t>
            </w:r>
            <w:r w:rsidR="00403104" w:rsidRPr="00975C61">
              <w:rPr>
                <w:rFonts w:ascii="Arial" w:hAnsi="Arial" w:cs="Arial"/>
                <w:szCs w:val="22"/>
              </w:rPr>
              <w:t>ies Policy</w:t>
            </w:r>
          </w:p>
        </w:tc>
      </w:tr>
      <w:tr w:rsidR="00825136" w:rsidRPr="000D2D50" w14:paraId="10571FEF" w14:textId="77777777" w:rsidTr="009609D3">
        <w:trPr>
          <w:jc w:val="center"/>
        </w:trPr>
        <w:tc>
          <w:tcPr>
            <w:tcW w:w="1441" w:type="pct"/>
            <w:shd w:val="clear" w:color="auto" w:fill="F3F3F3"/>
            <w:vAlign w:val="center"/>
          </w:tcPr>
          <w:p w14:paraId="00980686" w14:textId="77777777" w:rsidR="00825136" w:rsidRPr="00975C61" w:rsidRDefault="00825136" w:rsidP="000D2D50">
            <w:pPr>
              <w:spacing w:before="60" w:after="60"/>
              <w:rPr>
                <w:rFonts w:ascii="Arial" w:hAnsi="Arial" w:cs="Arial"/>
                <w:b/>
              </w:rPr>
            </w:pPr>
            <w:r w:rsidRPr="00975C61">
              <w:rPr>
                <w:rFonts w:ascii="Arial" w:hAnsi="Arial" w:cs="Arial"/>
                <w:b/>
              </w:rPr>
              <w:t>Author/Designation</w:t>
            </w:r>
          </w:p>
        </w:tc>
        <w:tc>
          <w:tcPr>
            <w:tcW w:w="3559" w:type="pct"/>
            <w:gridSpan w:val="2"/>
            <w:shd w:val="clear" w:color="auto" w:fill="auto"/>
            <w:vAlign w:val="center"/>
          </w:tcPr>
          <w:p w14:paraId="013CB0CC" w14:textId="1BF54F46" w:rsidR="00E16546" w:rsidRPr="00975C61" w:rsidRDefault="00E16546" w:rsidP="000D2D50">
            <w:pPr>
              <w:spacing w:before="60" w:after="60"/>
              <w:rPr>
                <w:rFonts w:ascii="Arial" w:hAnsi="Arial" w:cs="Arial"/>
                <w:b/>
              </w:rPr>
            </w:pPr>
            <w:r w:rsidRPr="00975C61">
              <w:rPr>
                <w:rFonts w:ascii="Arial" w:hAnsi="Arial" w:cs="Arial"/>
                <w:b/>
              </w:rPr>
              <w:t>Steve Storey – Lead Interface Pharmacist</w:t>
            </w:r>
          </w:p>
        </w:tc>
      </w:tr>
      <w:tr w:rsidR="00825136" w:rsidRPr="000D2D50" w14:paraId="44F3291E" w14:textId="77777777" w:rsidTr="009609D3">
        <w:trPr>
          <w:jc w:val="center"/>
        </w:trPr>
        <w:tc>
          <w:tcPr>
            <w:tcW w:w="1441" w:type="pct"/>
            <w:shd w:val="clear" w:color="auto" w:fill="F3F3F3"/>
          </w:tcPr>
          <w:p w14:paraId="7970D28A" w14:textId="77777777" w:rsidR="00825136" w:rsidRPr="000D2D50" w:rsidRDefault="00825136" w:rsidP="000D2D50">
            <w:pPr>
              <w:spacing w:before="60" w:after="60"/>
              <w:rPr>
                <w:rFonts w:ascii="Arial" w:hAnsi="Arial" w:cs="Arial"/>
                <w:b/>
              </w:rPr>
            </w:pPr>
            <w:r w:rsidRPr="000D2D50">
              <w:rPr>
                <w:rFonts w:ascii="Arial" w:hAnsi="Arial" w:cs="Arial"/>
                <w:b/>
              </w:rPr>
              <w:t>Responsible Officer / Designation</w:t>
            </w:r>
          </w:p>
        </w:tc>
        <w:tc>
          <w:tcPr>
            <w:tcW w:w="3559" w:type="pct"/>
            <w:gridSpan w:val="2"/>
            <w:shd w:val="clear" w:color="auto" w:fill="auto"/>
            <w:vAlign w:val="center"/>
          </w:tcPr>
          <w:p w14:paraId="7849DEBE" w14:textId="77777777" w:rsidR="00825136" w:rsidRPr="000D2D50" w:rsidRDefault="00C71E4E" w:rsidP="000D2D50">
            <w:pPr>
              <w:spacing w:before="60" w:after="60"/>
              <w:rPr>
                <w:rFonts w:ascii="Arial" w:hAnsi="Arial" w:cs="Arial"/>
                <w:b/>
              </w:rPr>
            </w:pPr>
            <w:r w:rsidRPr="000D2D50">
              <w:rPr>
                <w:rFonts w:ascii="Arial" w:hAnsi="Arial" w:cs="Arial"/>
                <w:b/>
              </w:rPr>
              <w:t xml:space="preserve">Tim Donaldson – </w:t>
            </w:r>
            <w:r w:rsidR="00641541" w:rsidRPr="000D2D50">
              <w:rPr>
                <w:rFonts w:ascii="Arial" w:hAnsi="Arial" w:cs="Arial"/>
                <w:b/>
              </w:rPr>
              <w:t>Chi</w:t>
            </w:r>
            <w:r w:rsidRPr="000D2D50">
              <w:rPr>
                <w:rFonts w:ascii="Arial" w:hAnsi="Arial" w:cs="Arial"/>
                <w:b/>
              </w:rPr>
              <w:t>ef Pharmacist</w:t>
            </w:r>
          </w:p>
        </w:tc>
      </w:tr>
    </w:tbl>
    <w:p w14:paraId="3F7D34BF" w14:textId="77777777" w:rsidR="00A0448E" w:rsidRPr="000D2D50" w:rsidRDefault="00A0448E" w:rsidP="002464EF">
      <w:pPr>
        <w:rPr>
          <w:vanish/>
        </w:rPr>
      </w:pPr>
    </w:p>
    <w:tbl>
      <w:tblPr>
        <w:tblW w:w="5000" w:type="pct"/>
        <w:jc w:val="center"/>
        <w:tblLook w:val="00A0" w:firstRow="1" w:lastRow="0" w:firstColumn="1" w:lastColumn="0" w:noHBand="0" w:noVBand="0"/>
      </w:tblPr>
      <w:tblGrid>
        <w:gridCol w:w="1424"/>
        <w:gridCol w:w="6353"/>
        <w:gridCol w:w="1239"/>
      </w:tblGrid>
      <w:tr w:rsidR="00E732B8" w:rsidRPr="000D2D50" w14:paraId="35BFEC64" w14:textId="77777777" w:rsidTr="009609D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14:paraId="415D5CDA" w14:textId="77777777" w:rsidR="00E732B8" w:rsidRPr="000D2D50" w:rsidRDefault="00E732B8" w:rsidP="002464EF">
            <w:pPr>
              <w:spacing w:before="60" w:after="60"/>
              <w:jc w:val="center"/>
              <w:rPr>
                <w:rFonts w:ascii="Arial" w:hAnsi="Arial" w:cs="Arial"/>
                <w:b/>
              </w:rPr>
            </w:pPr>
            <w:r w:rsidRPr="000D2D50">
              <w:rPr>
                <w:rFonts w:ascii="Arial" w:hAnsi="Arial" w:cs="Arial"/>
                <w:b/>
              </w:rPr>
              <w:t>Contents</w:t>
            </w:r>
          </w:p>
        </w:tc>
      </w:tr>
      <w:tr w:rsidR="00E732B8" w:rsidRPr="000D2D50" w14:paraId="1EAE8D2C"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shd w:val="clear" w:color="auto" w:fill="F3F3F3"/>
          </w:tcPr>
          <w:p w14:paraId="1EDC7FF6" w14:textId="77777777" w:rsidR="00E732B8" w:rsidRPr="000D2D50" w:rsidRDefault="00E732B8" w:rsidP="002464EF">
            <w:pPr>
              <w:spacing w:before="60" w:after="60"/>
              <w:jc w:val="center"/>
              <w:rPr>
                <w:rFonts w:ascii="Arial" w:hAnsi="Arial" w:cs="Arial"/>
                <w:b/>
              </w:rPr>
            </w:pPr>
            <w:r w:rsidRPr="000D2D50">
              <w:rPr>
                <w:rFonts w:ascii="Arial" w:hAnsi="Arial" w:cs="Arial"/>
                <w:b/>
              </w:rPr>
              <w:t>Section</w:t>
            </w:r>
          </w:p>
        </w:tc>
        <w:tc>
          <w:tcPr>
            <w:tcW w:w="3523" w:type="pct"/>
            <w:tcBorders>
              <w:top w:val="single" w:sz="4" w:space="0" w:color="auto"/>
              <w:left w:val="single" w:sz="4" w:space="0" w:color="auto"/>
              <w:bottom w:val="single" w:sz="4" w:space="0" w:color="auto"/>
              <w:right w:val="single" w:sz="4" w:space="0" w:color="auto"/>
            </w:tcBorders>
            <w:shd w:val="clear" w:color="auto" w:fill="F3F3F3"/>
          </w:tcPr>
          <w:p w14:paraId="0C25CCB9" w14:textId="77777777" w:rsidR="00E732B8" w:rsidRPr="000D2D50" w:rsidRDefault="00E732B8" w:rsidP="002464EF">
            <w:pPr>
              <w:spacing w:before="60" w:after="60"/>
              <w:jc w:val="center"/>
              <w:rPr>
                <w:rFonts w:ascii="Arial" w:hAnsi="Arial" w:cs="Arial"/>
                <w:b/>
              </w:rPr>
            </w:pPr>
            <w:r w:rsidRPr="000D2D50">
              <w:rPr>
                <w:rFonts w:ascii="Arial" w:hAnsi="Arial" w:cs="Arial"/>
                <w:b/>
              </w:rPr>
              <w:t>Description</w:t>
            </w:r>
          </w:p>
        </w:tc>
        <w:tc>
          <w:tcPr>
            <w:tcW w:w="687" w:type="pct"/>
            <w:tcBorders>
              <w:top w:val="single" w:sz="4" w:space="0" w:color="auto"/>
              <w:left w:val="single" w:sz="4" w:space="0" w:color="auto"/>
              <w:bottom w:val="single" w:sz="4" w:space="0" w:color="auto"/>
              <w:right w:val="single" w:sz="4" w:space="0" w:color="auto"/>
            </w:tcBorders>
            <w:shd w:val="clear" w:color="auto" w:fill="F3F3F3"/>
          </w:tcPr>
          <w:p w14:paraId="212B8C35" w14:textId="77777777" w:rsidR="00E732B8" w:rsidRPr="000D2D50" w:rsidRDefault="00E732B8" w:rsidP="002464EF">
            <w:pPr>
              <w:spacing w:before="60" w:after="60"/>
              <w:jc w:val="center"/>
              <w:rPr>
                <w:rFonts w:ascii="Arial" w:hAnsi="Arial" w:cs="Arial"/>
                <w:b/>
              </w:rPr>
            </w:pPr>
            <w:r w:rsidRPr="000D2D50">
              <w:rPr>
                <w:rFonts w:ascii="Arial" w:hAnsi="Arial" w:cs="Arial"/>
                <w:b/>
              </w:rPr>
              <w:t>Page No</w:t>
            </w:r>
          </w:p>
        </w:tc>
      </w:tr>
      <w:tr w:rsidR="00E732B8" w:rsidRPr="000D2D50" w14:paraId="2BC24BC5"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296A8224" w14:textId="77777777" w:rsidR="00E732B8" w:rsidRPr="000D2D50" w:rsidRDefault="00E732B8" w:rsidP="002464EF">
            <w:pPr>
              <w:spacing w:before="60" w:after="60"/>
              <w:jc w:val="center"/>
              <w:rPr>
                <w:rFonts w:ascii="Arial" w:hAnsi="Arial" w:cs="Arial"/>
              </w:rPr>
            </w:pPr>
            <w:bookmarkStart w:id="0" w:name="_Hlk215821509"/>
            <w:r w:rsidRPr="000D2D50">
              <w:rPr>
                <w:rFonts w:ascii="Arial" w:hAnsi="Arial" w:cs="Arial"/>
              </w:rPr>
              <w:t>1</w:t>
            </w:r>
          </w:p>
        </w:tc>
        <w:tc>
          <w:tcPr>
            <w:tcW w:w="3523" w:type="pct"/>
            <w:tcBorders>
              <w:top w:val="single" w:sz="4" w:space="0" w:color="auto"/>
              <w:left w:val="single" w:sz="4" w:space="0" w:color="auto"/>
              <w:bottom w:val="single" w:sz="4" w:space="0" w:color="auto"/>
              <w:right w:val="single" w:sz="4" w:space="0" w:color="auto"/>
            </w:tcBorders>
          </w:tcPr>
          <w:p w14:paraId="760F588C" w14:textId="77777777" w:rsidR="00E732B8" w:rsidRPr="000D2D50" w:rsidRDefault="00E732B8" w:rsidP="002464EF">
            <w:pPr>
              <w:spacing w:before="60" w:after="60"/>
              <w:rPr>
                <w:rFonts w:ascii="Arial" w:hAnsi="Arial" w:cs="Arial"/>
              </w:rPr>
            </w:pPr>
            <w:r w:rsidRPr="000D2D50">
              <w:rPr>
                <w:rFonts w:ascii="Arial" w:hAnsi="Arial" w:cs="Arial"/>
              </w:rPr>
              <w:t>Introduction</w:t>
            </w:r>
          </w:p>
        </w:tc>
        <w:tc>
          <w:tcPr>
            <w:tcW w:w="687" w:type="pct"/>
            <w:tcBorders>
              <w:top w:val="single" w:sz="4" w:space="0" w:color="auto"/>
              <w:left w:val="single" w:sz="4" w:space="0" w:color="auto"/>
              <w:bottom w:val="single" w:sz="4" w:space="0" w:color="auto"/>
              <w:right w:val="single" w:sz="4" w:space="0" w:color="auto"/>
            </w:tcBorders>
          </w:tcPr>
          <w:p w14:paraId="45C4D8E9" w14:textId="62BE05FC" w:rsidR="00E732B8" w:rsidRPr="000D2D50" w:rsidRDefault="00F0101B" w:rsidP="002464EF">
            <w:pPr>
              <w:spacing w:before="60" w:after="60"/>
              <w:jc w:val="center"/>
              <w:rPr>
                <w:rFonts w:ascii="Arial" w:hAnsi="Arial" w:cs="Arial"/>
              </w:rPr>
            </w:pPr>
            <w:r>
              <w:rPr>
                <w:rFonts w:ascii="Arial" w:hAnsi="Arial" w:cs="Arial"/>
              </w:rPr>
              <w:t>2</w:t>
            </w:r>
          </w:p>
        </w:tc>
      </w:tr>
      <w:tr w:rsidR="00E732B8" w:rsidRPr="000D2D50" w14:paraId="35E93335"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57E19856" w14:textId="77777777" w:rsidR="00E732B8" w:rsidRPr="000D2D50" w:rsidRDefault="00E732B8" w:rsidP="002464EF">
            <w:pPr>
              <w:spacing w:before="60" w:after="60"/>
              <w:jc w:val="center"/>
              <w:rPr>
                <w:rFonts w:ascii="Arial" w:hAnsi="Arial" w:cs="Arial"/>
              </w:rPr>
            </w:pPr>
            <w:r w:rsidRPr="000D2D50">
              <w:rPr>
                <w:rFonts w:ascii="Arial" w:hAnsi="Arial" w:cs="Arial"/>
              </w:rPr>
              <w:t>2</w:t>
            </w:r>
          </w:p>
        </w:tc>
        <w:tc>
          <w:tcPr>
            <w:tcW w:w="3523" w:type="pct"/>
            <w:tcBorders>
              <w:top w:val="single" w:sz="4" w:space="0" w:color="auto"/>
              <w:left w:val="single" w:sz="4" w:space="0" w:color="auto"/>
              <w:bottom w:val="single" w:sz="4" w:space="0" w:color="auto"/>
              <w:right w:val="single" w:sz="4" w:space="0" w:color="auto"/>
            </w:tcBorders>
          </w:tcPr>
          <w:p w14:paraId="049DF7EF" w14:textId="66239F24" w:rsidR="00E732B8" w:rsidRPr="000D2D50" w:rsidRDefault="00AE05FF" w:rsidP="002464EF">
            <w:pPr>
              <w:spacing w:before="60" w:after="60"/>
              <w:rPr>
                <w:rFonts w:ascii="Arial" w:hAnsi="Arial" w:cs="Arial"/>
                <w:bCs/>
                <w:color w:val="000000"/>
              </w:rPr>
            </w:pPr>
            <w:r w:rsidRPr="000D2D50">
              <w:rPr>
                <w:rFonts w:ascii="Arial" w:hAnsi="Arial" w:cs="Arial"/>
                <w:bCs/>
                <w:color w:val="000000"/>
              </w:rPr>
              <w:t xml:space="preserve">Monitoring </w:t>
            </w:r>
            <w:r w:rsidR="000D2D50" w:rsidRPr="000D2D50">
              <w:rPr>
                <w:rFonts w:ascii="Arial" w:hAnsi="Arial" w:cs="Arial"/>
                <w:bCs/>
                <w:color w:val="000000"/>
              </w:rPr>
              <w:t xml:space="preserve">Of Prolactin </w:t>
            </w:r>
            <w:proofErr w:type="gramStart"/>
            <w:r w:rsidR="000D2D50" w:rsidRPr="000D2D50">
              <w:rPr>
                <w:rFonts w:ascii="Arial" w:hAnsi="Arial" w:cs="Arial"/>
                <w:bCs/>
                <w:color w:val="000000"/>
              </w:rPr>
              <w:t>For</w:t>
            </w:r>
            <w:proofErr w:type="gramEnd"/>
            <w:r w:rsidR="000D2D50" w:rsidRPr="000D2D50">
              <w:rPr>
                <w:rFonts w:ascii="Arial" w:hAnsi="Arial" w:cs="Arial"/>
                <w:bCs/>
                <w:color w:val="000000"/>
              </w:rPr>
              <w:t xml:space="preserve"> Patients Prescribed Antipsychotic Medication</w:t>
            </w:r>
          </w:p>
        </w:tc>
        <w:tc>
          <w:tcPr>
            <w:tcW w:w="687" w:type="pct"/>
            <w:tcBorders>
              <w:top w:val="single" w:sz="4" w:space="0" w:color="auto"/>
              <w:left w:val="single" w:sz="4" w:space="0" w:color="auto"/>
              <w:bottom w:val="single" w:sz="4" w:space="0" w:color="auto"/>
              <w:right w:val="single" w:sz="4" w:space="0" w:color="auto"/>
            </w:tcBorders>
          </w:tcPr>
          <w:p w14:paraId="3B3D3363" w14:textId="38640261" w:rsidR="00E732B8" w:rsidRPr="000D2D50" w:rsidRDefault="009F4BA4" w:rsidP="002464EF">
            <w:pPr>
              <w:spacing w:before="60" w:after="60"/>
              <w:jc w:val="center"/>
              <w:rPr>
                <w:rFonts w:ascii="Arial" w:hAnsi="Arial" w:cs="Arial"/>
              </w:rPr>
            </w:pPr>
            <w:r>
              <w:rPr>
                <w:rFonts w:ascii="Arial" w:hAnsi="Arial" w:cs="Arial"/>
              </w:rPr>
              <w:t>3</w:t>
            </w:r>
          </w:p>
        </w:tc>
      </w:tr>
      <w:tr w:rsidR="00E732B8" w:rsidRPr="000D2D50" w14:paraId="4B5E8D2A"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4E5E54B7" w14:textId="77777777" w:rsidR="00E732B8" w:rsidRPr="000D2D50" w:rsidRDefault="00E732B8" w:rsidP="002464EF">
            <w:pPr>
              <w:spacing w:before="60" w:after="60"/>
              <w:jc w:val="center"/>
              <w:rPr>
                <w:rFonts w:ascii="Arial" w:hAnsi="Arial" w:cs="Arial"/>
              </w:rPr>
            </w:pPr>
            <w:r w:rsidRPr="000D2D50">
              <w:rPr>
                <w:rFonts w:ascii="Arial" w:hAnsi="Arial" w:cs="Arial"/>
              </w:rPr>
              <w:t>3</w:t>
            </w:r>
          </w:p>
        </w:tc>
        <w:tc>
          <w:tcPr>
            <w:tcW w:w="3523" w:type="pct"/>
            <w:tcBorders>
              <w:top w:val="single" w:sz="4" w:space="0" w:color="auto"/>
              <w:left w:val="single" w:sz="4" w:space="0" w:color="auto"/>
              <w:bottom w:val="single" w:sz="4" w:space="0" w:color="auto"/>
              <w:right w:val="single" w:sz="4" w:space="0" w:color="auto"/>
            </w:tcBorders>
          </w:tcPr>
          <w:p w14:paraId="13E4CFDE" w14:textId="161E2B9C" w:rsidR="00E732B8" w:rsidRPr="000D2D50" w:rsidRDefault="002548E9" w:rsidP="002464EF">
            <w:pPr>
              <w:spacing w:before="60" w:after="60"/>
              <w:rPr>
                <w:rFonts w:ascii="Arial" w:hAnsi="Arial" w:cs="Arial"/>
                <w:bCs/>
                <w:color w:val="000000"/>
              </w:rPr>
            </w:pPr>
            <w:r w:rsidRPr="000D2D50">
              <w:rPr>
                <w:rFonts w:ascii="Arial" w:hAnsi="Arial" w:cs="Arial"/>
                <w:bCs/>
                <w:color w:val="000000"/>
              </w:rPr>
              <w:t xml:space="preserve">Symptoms </w:t>
            </w:r>
            <w:r w:rsidR="000D2D50" w:rsidRPr="000D2D50">
              <w:rPr>
                <w:rFonts w:ascii="Arial" w:hAnsi="Arial" w:cs="Arial"/>
                <w:bCs/>
                <w:color w:val="000000"/>
              </w:rPr>
              <w:t>Of Hyperprolactinaemia</w:t>
            </w:r>
          </w:p>
        </w:tc>
        <w:tc>
          <w:tcPr>
            <w:tcW w:w="687" w:type="pct"/>
            <w:tcBorders>
              <w:top w:val="single" w:sz="4" w:space="0" w:color="auto"/>
              <w:left w:val="single" w:sz="4" w:space="0" w:color="auto"/>
              <w:bottom w:val="single" w:sz="4" w:space="0" w:color="auto"/>
              <w:right w:val="single" w:sz="4" w:space="0" w:color="auto"/>
            </w:tcBorders>
          </w:tcPr>
          <w:p w14:paraId="4C0733E4" w14:textId="0D9847A8" w:rsidR="00E732B8" w:rsidRPr="000D2D50" w:rsidRDefault="00F0101B" w:rsidP="002464EF">
            <w:pPr>
              <w:spacing w:before="60" w:after="60"/>
              <w:jc w:val="center"/>
              <w:rPr>
                <w:rFonts w:ascii="Arial" w:hAnsi="Arial" w:cs="Arial"/>
              </w:rPr>
            </w:pPr>
            <w:r>
              <w:rPr>
                <w:rFonts w:ascii="Arial" w:hAnsi="Arial" w:cs="Arial"/>
              </w:rPr>
              <w:t>4</w:t>
            </w:r>
          </w:p>
        </w:tc>
      </w:tr>
      <w:tr w:rsidR="002548E9" w:rsidRPr="000D2D50" w14:paraId="0A26F5B0"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055A6E36" w14:textId="77777777" w:rsidR="002548E9" w:rsidRPr="000D2D50" w:rsidRDefault="002548E9" w:rsidP="002464EF">
            <w:pPr>
              <w:spacing w:before="60" w:after="60"/>
              <w:jc w:val="center"/>
              <w:rPr>
                <w:rFonts w:ascii="Arial" w:hAnsi="Arial" w:cs="Arial"/>
              </w:rPr>
            </w:pPr>
            <w:r w:rsidRPr="000D2D50">
              <w:rPr>
                <w:rFonts w:ascii="Arial" w:hAnsi="Arial" w:cs="Arial"/>
              </w:rPr>
              <w:t>4</w:t>
            </w:r>
          </w:p>
        </w:tc>
        <w:tc>
          <w:tcPr>
            <w:tcW w:w="3523" w:type="pct"/>
            <w:tcBorders>
              <w:top w:val="single" w:sz="4" w:space="0" w:color="auto"/>
              <w:left w:val="single" w:sz="4" w:space="0" w:color="auto"/>
              <w:bottom w:val="single" w:sz="4" w:space="0" w:color="auto"/>
              <w:right w:val="single" w:sz="4" w:space="0" w:color="auto"/>
            </w:tcBorders>
          </w:tcPr>
          <w:p w14:paraId="7942BAF2" w14:textId="7E860EB9" w:rsidR="002548E9" w:rsidRPr="000D2D50" w:rsidRDefault="002548E9" w:rsidP="002464EF">
            <w:pPr>
              <w:spacing w:before="60" w:after="60"/>
              <w:rPr>
                <w:rFonts w:ascii="Arial" w:hAnsi="Arial" w:cs="Arial"/>
                <w:bCs/>
                <w:color w:val="000000"/>
              </w:rPr>
            </w:pPr>
            <w:r w:rsidRPr="000D2D50">
              <w:rPr>
                <w:rFonts w:ascii="Arial" w:hAnsi="Arial" w:cs="Arial"/>
                <w:bCs/>
                <w:color w:val="000000"/>
              </w:rPr>
              <w:t xml:space="preserve">Pharmacological </w:t>
            </w:r>
            <w:r w:rsidR="000D2D50" w:rsidRPr="000D2D50">
              <w:rPr>
                <w:rFonts w:ascii="Arial" w:hAnsi="Arial" w:cs="Arial"/>
                <w:bCs/>
                <w:color w:val="000000"/>
              </w:rPr>
              <w:t xml:space="preserve">Management </w:t>
            </w:r>
            <w:proofErr w:type="gramStart"/>
            <w:r w:rsidR="000D2D50" w:rsidRPr="000D2D50">
              <w:rPr>
                <w:rFonts w:ascii="Arial" w:hAnsi="Arial" w:cs="Arial"/>
                <w:bCs/>
                <w:color w:val="000000"/>
              </w:rPr>
              <w:t>Of</w:t>
            </w:r>
            <w:proofErr w:type="gramEnd"/>
            <w:r w:rsidR="000D2D50" w:rsidRPr="000D2D50">
              <w:rPr>
                <w:rFonts w:ascii="Arial" w:hAnsi="Arial" w:cs="Arial"/>
                <w:bCs/>
                <w:color w:val="000000"/>
              </w:rPr>
              <w:t xml:space="preserve"> Hyperprolactinaemia</w:t>
            </w:r>
          </w:p>
        </w:tc>
        <w:tc>
          <w:tcPr>
            <w:tcW w:w="687" w:type="pct"/>
            <w:tcBorders>
              <w:top w:val="single" w:sz="4" w:space="0" w:color="auto"/>
              <w:left w:val="single" w:sz="4" w:space="0" w:color="auto"/>
              <w:bottom w:val="single" w:sz="4" w:space="0" w:color="auto"/>
              <w:right w:val="single" w:sz="4" w:space="0" w:color="auto"/>
            </w:tcBorders>
          </w:tcPr>
          <w:p w14:paraId="100AD200" w14:textId="5B03EB48" w:rsidR="002548E9" w:rsidRPr="000D2D50" w:rsidRDefault="00403104" w:rsidP="002464EF">
            <w:pPr>
              <w:spacing w:before="60" w:after="60"/>
              <w:jc w:val="center"/>
              <w:rPr>
                <w:rFonts w:ascii="Arial" w:hAnsi="Arial" w:cs="Arial"/>
              </w:rPr>
            </w:pPr>
            <w:r w:rsidRPr="00476C23">
              <w:rPr>
                <w:rFonts w:ascii="Arial" w:hAnsi="Arial" w:cs="Arial"/>
              </w:rPr>
              <w:t>5</w:t>
            </w:r>
          </w:p>
        </w:tc>
      </w:tr>
      <w:tr w:rsidR="002548E9" w:rsidRPr="000D2D50" w14:paraId="450DD6ED"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13AC1072" w14:textId="77777777" w:rsidR="002548E9" w:rsidRPr="000D2D50" w:rsidRDefault="002548E9" w:rsidP="002464EF">
            <w:pPr>
              <w:spacing w:before="60" w:after="60"/>
              <w:jc w:val="center"/>
              <w:rPr>
                <w:rFonts w:ascii="Arial" w:hAnsi="Arial" w:cs="Arial"/>
              </w:rPr>
            </w:pPr>
            <w:r w:rsidRPr="000D2D50">
              <w:rPr>
                <w:rFonts w:ascii="Arial" w:hAnsi="Arial" w:cs="Arial"/>
              </w:rPr>
              <w:t>5</w:t>
            </w:r>
          </w:p>
        </w:tc>
        <w:tc>
          <w:tcPr>
            <w:tcW w:w="3523" w:type="pct"/>
            <w:tcBorders>
              <w:top w:val="single" w:sz="4" w:space="0" w:color="auto"/>
              <w:left w:val="single" w:sz="4" w:space="0" w:color="auto"/>
              <w:bottom w:val="single" w:sz="4" w:space="0" w:color="auto"/>
              <w:right w:val="single" w:sz="4" w:space="0" w:color="auto"/>
            </w:tcBorders>
          </w:tcPr>
          <w:p w14:paraId="4AFF9F09" w14:textId="77777777" w:rsidR="002548E9" w:rsidRPr="000D2D50" w:rsidRDefault="002548E9" w:rsidP="002464EF">
            <w:pPr>
              <w:spacing w:before="60" w:after="60"/>
              <w:rPr>
                <w:rFonts w:ascii="Arial" w:hAnsi="Arial" w:cs="Arial"/>
                <w:bCs/>
                <w:color w:val="000000"/>
              </w:rPr>
            </w:pPr>
            <w:r w:rsidRPr="000D2D50">
              <w:rPr>
                <w:rFonts w:ascii="Arial" w:hAnsi="Arial" w:cs="Arial"/>
                <w:bCs/>
                <w:color w:val="000000"/>
              </w:rPr>
              <w:t>References</w:t>
            </w:r>
          </w:p>
        </w:tc>
        <w:tc>
          <w:tcPr>
            <w:tcW w:w="687" w:type="pct"/>
            <w:tcBorders>
              <w:top w:val="single" w:sz="4" w:space="0" w:color="auto"/>
              <w:left w:val="single" w:sz="4" w:space="0" w:color="auto"/>
              <w:bottom w:val="single" w:sz="4" w:space="0" w:color="auto"/>
              <w:right w:val="single" w:sz="4" w:space="0" w:color="auto"/>
            </w:tcBorders>
          </w:tcPr>
          <w:p w14:paraId="4B84E9E5" w14:textId="6972DC43" w:rsidR="002548E9" w:rsidRPr="000D2D50" w:rsidRDefault="00274D7F" w:rsidP="002464EF">
            <w:pPr>
              <w:spacing w:before="60" w:after="60"/>
              <w:jc w:val="center"/>
              <w:rPr>
                <w:rFonts w:ascii="Arial" w:hAnsi="Arial" w:cs="Arial"/>
              </w:rPr>
            </w:pPr>
            <w:r>
              <w:rPr>
                <w:rFonts w:ascii="Arial" w:hAnsi="Arial" w:cs="Arial"/>
              </w:rPr>
              <w:t>8</w:t>
            </w:r>
          </w:p>
        </w:tc>
      </w:tr>
      <w:bookmarkEnd w:id="0"/>
      <w:tr w:rsidR="008E10AE" w:rsidRPr="000D2D50" w14:paraId="41DE022A" w14:textId="77777777" w:rsidTr="009609D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9E1F3" w14:textId="2905A5D6" w:rsidR="008E10AE" w:rsidRPr="000D2D50" w:rsidRDefault="007B2AFC" w:rsidP="002464EF">
            <w:pPr>
              <w:spacing w:before="60" w:after="60"/>
              <w:jc w:val="center"/>
              <w:rPr>
                <w:rFonts w:ascii="Arial" w:hAnsi="Arial" w:cs="Arial"/>
                <w:b/>
                <w:bCs/>
              </w:rPr>
            </w:pPr>
            <w:r>
              <w:rPr>
                <w:rFonts w:ascii="Arial" w:hAnsi="Arial" w:cs="Arial"/>
                <w:b/>
                <w:bCs/>
              </w:rPr>
              <w:fldChar w:fldCharType="begin"/>
            </w:r>
            <w:r>
              <w:rPr>
                <w:rFonts w:ascii="Arial" w:hAnsi="Arial" w:cs="Arial"/>
                <w:b/>
                <w:bCs/>
              </w:rPr>
              <w:instrText>HYPERLINK "https://ntwnhs.sharepoint.com/:f:/r/sites/Policies/Policies/Clinical/Pharmacological%20Therapies%20Policy/PGN%2024%20-%20Management%20of%20Hyperprolactinaemia%20in%20Patients%20Prescribed%20Antipsychotics?csf=1&amp;web=1&amp;e=LoajLR"</w:instrText>
            </w:r>
            <w:r>
              <w:rPr>
                <w:rFonts w:ascii="Arial" w:hAnsi="Arial" w:cs="Arial"/>
                <w:b/>
                <w:bCs/>
              </w:rPr>
            </w:r>
            <w:r>
              <w:rPr>
                <w:rFonts w:ascii="Arial" w:hAnsi="Arial" w:cs="Arial"/>
                <w:b/>
                <w:bCs/>
              </w:rPr>
              <w:fldChar w:fldCharType="separate"/>
            </w:r>
            <w:r w:rsidR="008E10AE" w:rsidRPr="007B2AFC">
              <w:rPr>
                <w:rStyle w:val="Hyperlink"/>
                <w:rFonts w:ascii="Arial" w:hAnsi="Arial" w:cs="Arial"/>
                <w:b/>
                <w:bCs/>
              </w:rPr>
              <w:t xml:space="preserve">Appendices </w:t>
            </w:r>
            <w:r w:rsidR="000D2D50" w:rsidRPr="007B2AFC">
              <w:rPr>
                <w:rStyle w:val="Hyperlink"/>
                <w:rFonts w:ascii="Arial" w:hAnsi="Arial" w:cs="Arial"/>
                <w:b/>
                <w:bCs/>
              </w:rPr>
              <w:t>– separate to PGN</w:t>
            </w:r>
            <w:r>
              <w:rPr>
                <w:rFonts w:ascii="Arial" w:hAnsi="Arial" w:cs="Arial"/>
                <w:b/>
                <w:bCs/>
              </w:rPr>
              <w:fldChar w:fldCharType="end"/>
            </w:r>
          </w:p>
        </w:tc>
      </w:tr>
      <w:tr w:rsidR="000D2D50" w:rsidRPr="000D2D50" w14:paraId="77B7769E"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7497F" w14:textId="0676C8AA" w:rsidR="000D2D50" w:rsidRPr="000D2D50" w:rsidRDefault="000D2D50" w:rsidP="002464EF">
            <w:pPr>
              <w:spacing w:before="60" w:after="60"/>
              <w:jc w:val="center"/>
              <w:rPr>
                <w:rFonts w:ascii="Arial" w:hAnsi="Arial" w:cs="Arial"/>
                <w:b/>
              </w:rPr>
            </w:pPr>
            <w:r w:rsidRPr="000D2D50">
              <w:rPr>
                <w:rFonts w:ascii="Arial" w:hAnsi="Arial" w:cs="Arial"/>
                <w:b/>
              </w:rPr>
              <w:t>Appendix No:</w:t>
            </w:r>
          </w:p>
        </w:tc>
        <w:tc>
          <w:tcPr>
            <w:tcW w:w="421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B66E6" w14:textId="53B7E665" w:rsidR="000D2D50" w:rsidRPr="000D2D50" w:rsidRDefault="000D2D50" w:rsidP="000D2D50">
            <w:pPr>
              <w:spacing w:before="60" w:after="60"/>
              <w:rPr>
                <w:rFonts w:ascii="Arial" w:hAnsi="Arial" w:cs="Arial"/>
                <w:b/>
                <w:bCs/>
              </w:rPr>
            </w:pPr>
            <w:r w:rsidRPr="000D2D50">
              <w:rPr>
                <w:rFonts w:ascii="Arial" w:hAnsi="Arial" w:cs="Arial"/>
                <w:b/>
                <w:bCs/>
              </w:rPr>
              <w:t>Description</w:t>
            </w:r>
          </w:p>
        </w:tc>
      </w:tr>
      <w:tr w:rsidR="000D2D50" w:rsidRPr="000D2D50" w14:paraId="361BC32D"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3EFB08AE" w14:textId="77777777" w:rsidR="000D2D50" w:rsidRPr="000D2D50" w:rsidRDefault="000D2D50" w:rsidP="000D2D50">
            <w:pPr>
              <w:spacing w:before="60" w:after="60"/>
              <w:rPr>
                <w:rFonts w:ascii="Arial" w:hAnsi="Arial" w:cs="Arial"/>
              </w:rPr>
            </w:pPr>
            <w:r w:rsidRPr="000D2D50">
              <w:rPr>
                <w:rFonts w:ascii="Arial" w:hAnsi="Arial" w:cs="Arial"/>
              </w:rPr>
              <w:t>Appendix 1</w:t>
            </w:r>
          </w:p>
        </w:tc>
        <w:tc>
          <w:tcPr>
            <w:tcW w:w="4210" w:type="pct"/>
            <w:gridSpan w:val="2"/>
            <w:tcBorders>
              <w:top w:val="single" w:sz="4" w:space="0" w:color="auto"/>
              <w:left w:val="single" w:sz="4" w:space="0" w:color="auto"/>
              <w:bottom w:val="single" w:sz="4" w:space="0" w:color="auto"/>
              <w:right w:val="single" w:sz="4" w:space="0" w:color="auto"/>
            </w:tcBorders>
          </w:tcPr>
          <w:p w14:paraId="7FFD5E68" w14:textId="1849D03F" w:rsidR="000D2D50" w:rsidRPr="00975C61" w:rsidRDefault="00403104" w:rsidP="00403104">
            <w:pPr>
              <w:spacing w:before="60" w:after="60"/>
              <w:rPr>
                <w:rFonts w:ascii="Arial" w:hAnsi="Arial" w:cs="Arial"/>
              </w:rPr>
            </w:pPr>
            <w:r w:rsidRPr="00975C61">
              <w:rPr>
                <w:rFonts w:ascii="Arial" w:hAnsi="Arial" w:cs="Arial"/>
                <w:bCs/>
              </w:rPr>
              <w:t>Clinical F</w:t>
            </w:r>
            <w:r w:rsidR="000D2D50" w:rsidRPr="00975C61">
              <w:rPr>
                <w:rFonts w:ascii="Arial" w:hAnsi="Arial" w:cs="Arial"/>
                <w:bCs/>
              </w:rPr>
              <w:t>eatures of Hyperprolactinaemic Hypogonadism in Males</w:t>
            </w:r>
          </w:p>
        </w:tc>
      </w:tr>
      <w:tr w:rsidR="000D2D50" w:rsidRPr="000D2D50" w14:paraId="12B83F10"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621B77E0" w14:textId="77777777" w:rsidR="000D2D50" w:rsidRPr="000D2D50" w:rsidRDefault="000D2D50" w:rsidP="000D2D50">
            <w:pPr>
              <w:spacing w:before="60" w:after="60"/>
              <w:rPr>
                <w:rFonts w:ascii="Arial" w:hAnsi="Arial" w:cs="Arial"/>
              </w:rPr>
            </w:pPr>
            <w:r w:rsidRPr="000D2D50">
              <w:rPr>
                <w:rFonts w:ascii="Arial" w:hAnsi="Arial" w:cs="Arial"/>
              </w:rPr>
              <w:t>Appendix 2</w:t>
            </w:r>
          </w:p>
        </w:tc>
        <w:tc>
          <w:tcPr>
            <w:tcW w:w="4210" w:type="pct"/>
            <w:gridSpan w:val="2"/>
            <w:tcBorders>
              <w:top w:val="single" w:sz="4" w:space="0" w:color="auto"/>
              <w:left w:val="single" w:sz="4" w:space="0" w:color="auto"/>
              <w:bottom w:val="single" w:sz="4" w:space="0" w:color="auto"/>
              <w:right w:val="single" w:sz="4" w:space="0" w:color="auto"/>
            </w:tcBorders>
          </w:tcPr>
          <w:p w14:paraId="7B2D44E0" w14:textId="33BD73A1" w:rsidR="000D2D50" w:rsidRPr="00975C61" w:rsidRDefault="000D2D50" w:rsidP="00403104">
            <w:pPr>
              <w:spacing w:before="60" w:after="60"/>
              <w:rPr>
                <w:rFonts w:ascii="Arial" w:hAnsi="Arial" w:cs="Arial"/>
              </w:rPr>
            </w:pPr>
            <w:r w:rsidRPr="00975C61">
              <w:rPr>
                <w:rFonts w:ascii="Arial" w:hAnsi="Arial" w:cs="Arial"/>
                <w:bCs/>
              </w:rPr>
              <w:t>Hyperprolactinaemic Hypogonadism in Females of Reproductive Age</w:t>
            </w:r>
          </w:p>
        </w:tc>
      </w:tr>
      <w:tr w:rsidR="000D2D50" w:rsidRPr="000D2D50" w14:paraId="1D5AFBAB"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59D3DC7A" w14:textId="0D5A1CD3" w:rsidR="000D2D50" w:rsidRPr="000D2D50" w:rsidRDefault="000D2D50" w:rsidP="000D2D50">
            <w:pPr>
              <w:spacing w:before="60" w:after="60"/>
              <w:rPr>
                <w:rFonts w:ascii="Arial" w:hAnsi="Arial" w:cs="Arial"/>
              </w:rPr>
            </w:pPr>
            <w:r w:rsidRPr="000D2D50">
              <w:rPr>
                <w:rFonts w:ascii="Arial" w:hAnsi="Arial" w:cs="Arial"/>
              </w:rPr>
              <w:t>Appendix 3</w:t>
            </w:r>
          </w:p>
        </w:tc>
        <w:tc>
          <w:tcPr>
            <w:tcW w:w="4210" w:type="pct"/>
            <w:gridSpan w:val="2"/>
            <w:tcBorders>
              <w:top w:val="single" w:sz="4" w:space="0" w:color="auto"/>
              <w:left w:val="single" w:sz="4" w:space="0" w:color="auto"/>
              <w:bottom w:val="single" w:sz="4" w:space="0" w:color="auto"/>
              <w:right w:val="single" w:sz="4" w:space="0" w:color="auto"/>
            </w:tcBorders>
          </w:tcPr>
          <w:p w14:paraId="71A6548A" w14:textId="77777777" w:rsidR="000D2D50" w:rsidRPr="000D2D50" w:rsidRDefault="000D2D50" w:rsidP="00213020">
            <w:pPr>
              <w:rPr>
                <w:rFonts w:ascii="Arial" w:hAnsi="Arial" w:cs="Arial"/>
                <w:lang w:val="en-US"/>
              </w:rPr>
            </w:pPr>
            <w:r w:rsidRPr="000D2D50">
              <w:rPr>
                <w:rFonts w:ascii="Arial" w:hAnsi="Arial" w:cs="Arial"/>
                <w:lang w:val="en-US"/>
              </w:rPr>
              <w:t xml:space="preserve">Flowchart for Management of </w:t>
            </w:r>
            <w:proofErr w:type="spellStart"/>
            <w:r w:rsidRPr="000D2D50">
              <w:rPr>
                <w:rFonts w:ascii="Arial" w:hAnsi="Arial" w:cs="Arial"/>
                <w:lang w:val="en-US"/>
              </w:rPr>
              <w:t>Hyperprolactinaemia</w:t>
            </w:r>
            <w:proofErr w:type="spellEnd"/>
            <w:r w:rsidRPr="000D2D50">
              <w:rPr>
                <w:rFonts w:ascii="Arial" w:hAnsi="Arial" w:cs="Arial"/>
                <w:lang w:val="en-US"/>
              </w:rPr>
              <w:t xml:space="preserve"> in Adults </w:t>
            </w:r>
          </w:p>
          <w:p w14:paraId="2AE1392B" w14:textId="150637E2" w:rsidR="000D2D50" w:rsidRPr="000D2D50" w:rsidRDefault="000D2D50" w:rsidP="00414D57">
            <w:pPr>
              <w:spacing w:before="60" w:after="60"/>
              <w:rPr>
                <w:rFonts w:ascii="Arial" w:hAnsi="Arial" w:cs="Arial"/>
                <w:color w:val="0070C0"/>
              </w:rPr>
            </w:pPr>
            <w:r w:rsidRPr="000D2D50">
              <w:rPr>
                <w:rFonts w:ascii="Arial" w:hAnsi="Arial" w:cs="Arial"/>
                <w:lang w:val="en-US"/>
              </w:rPr>
              <w:t>Prescribed Antipsychotics</w:t>
            </w:r>
          </w:p>
        </w:tc>
      </w:tr>
      <w:tr w:rsidR="000D2D50" w:rsidRPr="000D2D50" w14:paraId="1792781D" w14:textId="77777777" w:rsidTr="009609D3">
        <w:trPr>
          <w:jc w:val="center"/>
        </w:trPr>
        <w:tc>
          <w:tcPr>
            <w:tcW w:w="790" w:type="pct"/>
            <w:tcBorders>
              <w:top w:val="single" w:sz="4" w:space="0" w:color="auto"/>
              <w:left w:val="single" w:sz="4" w:space="0" w:color="auto"/>
              <w:bottom w:val="single" w:sz="4" w:space="0" w:color="auto"/>
              <w:right w:val="single" w:sz="4" w:space="0" w:color="auto"/>
            </w:tcBorders>
          </w:tcPr>
          <w:p w14:paraId="11B91D63" w14:textId="63645D50" w:rsidR="000D2D50" w:rsidRPr="000D2D50" w:rsidRDefault="000D2D50" w:rsidP="000D2D50">
            <w:pPr>
              <w:spacing w:before="60" w:after="60"/>
              <w:rPr>
                <w:rFonts w:ascii="Arial" w:hAnsi="Arial" w:cs="Arial"/>
              </w:rPr>
            </w:pPr>
            <w:r w:rsidRPr="000D2D50">
              <w:rPr>
                <w:rFonts w:ascii="Arial" w:hAnsi="Arial" w:cs="Arial"/>
              </w:rPr>
              <w:t>Appendix 4</w:t>
            </w:r>
          </w:p>
        </w:tc>
        <w:tc>
          <w:tcPr>
            <w:tcW w:w="4210" w:type="pct"/>
            <w:gridSpan w:val="2"/>
            <w:tcBorders>
              <w:top w:val="single" w:sz="4" w:space="0" w:color="auto"/>
              <w:left w:val="single" w:sz="4" w:space="0" w:color="auto"/>
              <w:bottom w:val="single" w:sz="4" w:space="0" w:color="auto"/>
              <w:right w:val="single" w:sz="4" w:space="0" w:color="auto"/>
            </w:tcBorders>
          </w:tcPr>
          <w:p w14:paraId="413B35F9" w14:textId="461EFEB4" w:rsidR="000D2D50" w:rsidRPr="00065721" w:rsidRDefault="000D2D50" w:rsidP="00065721">
            <w:pPr>
              <w:rPr>
                <w:rFonts w:ascii="Arial" w:hAnsi="Arial" w:cs="Arial"/>
                <w:lang w:val="en-US"/>
              </w:rPr>
            </w:pPr>
            <w:r w:rsidRPr="000D2D50">
              <w:rPr>
                <w:rFonts w:ascii="Arial" w:hAnsi="Arial" w:cs="Arial"/>
                <w:lang w:val="en-US"/>
              </w:rPr>
              <w:t xml:space="preserve">Flowchart for Management of </w:t>
            </w:r>
            <w:proofErr w:type="spellStart"/>
            <w:r w:rsidRPr="000D2D50">
              <w:rPr>
                <w:rFonts w:ascii="Arial" w:hAnsi="Arial" w:cs="Arial"/>
                <w:lang w:val="en-US"/>
              </w:rPr>
              <w:t>Hyperprolactinaemia</w:t>
            </w:r>
            <w:proofErr w:type="spellEnd"/>
            <w:r w:rsidRPr="000D2D50">
              <w:rPr>
                <w:rFonts w:ascii="Arial" w:hAnsi="Arial" w:cs="Arial"/>
                <w:lang w:val="en-US"/>
              </w:rPr>
              <w:t xml:space="preserve"> in Children and Young People Prescribed Antipsychotics</w:t>
            </w:r>
          </w:p>
        </w:tc>
      </w:tr>
    </w:tbl>
    <w:p w14:paraId="675F7596" w14:textId="2D43D3C4" w:rsidR="00494C6E" w:rsidRDefault="00494C6E" w:rsidP="002464EF">
      <w:pPr>
        <w:rPr>
          <w:rFonts w:ascii="Arial" w:hAnsi="Arial" w:cs="Arial"/>
          <w:lang w:val="en-US"/>
        </w:rPr>
      </w:pPr>
    </w:p>
    <w:p w14:paraId="1E1FD3E8" w14:textId="49E7C7DD" w:rsidR="00403104" w:rsidRDefault="00403104" w:rsidP="002464EF">
      <w:pPr>
        <w:rPr>
          <w:rFonts w:ascii="Arial" w:hAnsi="Arial" w:cs="Arial"/>
          <w:lang w:val="en-US"/>
        </w:rPr>
      </w:pPr>
    </w:p>
    <w:p w14:paraId="5BEB3DE1" w14:textId="27AA466A" w:rsidR="00403104" w:rsidRDefault="00403104" w:rsidP="002464EF">
      <w:pPr>
        <w:rPr>
          <w:rFonts w:ascii="Arial" w:hAnsi="Arial" w:cs="Arial"/>
          <w:lang w:val="en-US"/>
        </w:rPr>
      </w:pPr>
    </w:p>
    <w:p w14:paraId="4A5C25B3" w14:textId="5244775A" w:rsidR="00403104" w:rsidRDefault="00403104" w:rsidP="002464EF">
      <w:pPr>
        <w:rPr>
          <w:rFonts w:ascii="Arial" w:hAnsi="Arial" w:cs="Arial"/>
          <w:lang w:val="en-US"/>
        </w:rPr>
      </w:pPr>
    </w:p>
    <w:p w14:paraId="27A3A625" w14:textId="488765F0" w:rsidR="00403104" w:rsidRDefault="00403104" w:rsidP="002464EF">
      <w:pPr>
        <w:rPr>
          <w:rFonts w:ascii="Arial" w:hAnsi="Arial" w:cs="Arial"/>
          <w:lang w:val="en-US"/>
        </w:rPr>
      </w:pPr>
    </w:p>
    <w:p w14:paraId="0D5E9270" w14:textId="6F8D1829" w:rsidR="00403104" w:rsidRDefault="00403104" w:rsidP="002464EF">
      <w:pPr>
        <w:rPr>
          <w:rFonts w:ascii="Arial" w:hAnsi="Arial" w:cs="Arial"/>
          <w:lang w:val="en-US"/>
        </w:rPr>
      </w:pPr>
    </w:p>
    <w:p w14:paraId="12E4C7F9" w14:textId="0E51A1CC" w:rsidR="00403104" w:rsidRDefault="00403104" w:rsidP="002464EF">
      <w:pPr>
        <w:rPr>
          <w:rFonts w:ascii="Arial" w:hAnsi="Arial" w:cs="Arial"/>
          <w:lang w:val="en-US"/>
        </w:rPr>
      </w:pPr>
    </w:p>
    <w:p w14:paraId="3BF28AC4" w14:textId="45ACC07D" w:rsidR="00403104" w:rsidRPr="002464EF" w:rsidRDefault="00403104" w:rsidP="002464EF">
      <w:pPr>
        <w:rPr>
          <w:rFonts w:ascii="Arial" w:hAnsi="Arial" w:cs="Arial"/>
          <w:lang w:val="en-US"/>
        </w:rPr>
      </w:pPr>
    </w:p>
    <w:p w14:paraId="542EF5D9" w14:textId="5CD77026" w:rsidR="00973B28" w:rsidRPr="002464EF" w:rsidRDefault="00403104" w:rsidP="00403104">
      <w:pPr>
        <w:ind w:left="794" w:hanging="794"/>
        <w:rPr>
          <w:rFonts w:ascii="Arial" w:hAnsi="Arial" w:cs="Arial"/>
          <w:color w:val="000000"/>
        </w:rPr>
      </w:pPr>
      <w:r>
        <w:rPr>
          <w:rFonts w:ascii="Arial" w:hAnsi="Arial" w:cs="Arial"/>
          <w:b/>
          <w:bCs/>
          <w:color w:val="000000"/>
        </w:rPr>
        <w:lastRenderedPageBreak/>
        <w:t>1.</w:t>
      </w:r>
      <w:r>
        <w:rPr>
          <w:rFonts w:ascii="Arial" w:hAnsi="Arial" w:cs="Arial"/>
          <w:b/>
          <w:bCs/>
          <w:color w:val="000000"/>
        </w:rPr>
        <w:tab/>
      </w:r>
      <w:r w:rsidR="003D66F3" w:rsidRPr="002464EF">
        <w:rPr>
          <w:rFonts w:ascii="Arial" w:hAnsi="Arial" w:cs="Arial"/>
          <w:b/>
          <w:bCs/>
          <w:color w:val="000000"/>
        </w:rPr>
        <w:t>Introduction</w:t>
      </w:r>
    </w:p>
    <w:p w14:paraId="289A776D" w14:textId="77777777" w:rsidR="00973B28" w:rsidRPr="002464EF" w:rsidRDefault="00973B28" w:rsidP="00403104">
      <w:pPr>
        <w:ind w:left="794" w:hanging="794"/>
        <w:rPr>
          <w:rFonts w:ascii="Arial" w:hAnsi="Arial" w:cs="Arial"/>
          <w:color w:val="000000"/>
        </w:rPr>
      </w:pPr>
    </w:p>
    <w:p w14:paraId="48E45229" w14:textId="4CBC2401" w:rsidR="00973B28" w:rsidRPr="00975C61" w:rsidRDefault="00403104" w:rsidP="00403104">
      <w:pPr>
        <w:ind w:left="794" w:hanging="794"/>
        <w:rPr>
          <w:rFonts w:ascii="Arial" w:hAnsi="Arial" w:cs="Arial"/>
        </w:rPr>
      </w:pPr>
      <w:r>
        <w:rPr>
          <w:rFonts w:ascii="Arial" w:hAnsi="Arial" w:cs="Arial"/>
        </w:rPr>
        <w:t>1.1</w:t>
      </w:r>
      <w:r>
        <w:rPr>
          <w:rFonts w:ascii="Arial" w:hAnsi="Arial" w:cs="Arial"/>
        </w:rPr>
        <w:tab/>
      </w:r>
      <w:r w:rsidR="00973B28" w:rsidRPr="002464EF">
        <w:rPr>
          <w:rFonts w:ascii="Arial" w:hAnsi="Arial" w:cs="Arial"/>
        </w:rPr>
        <w:t xml:space="preserve">Elevated prolactin levels (hyperprolactinaemia) are a known side </w:t>
      </w:r>
      <w:r>
        <w:rPr>
          <w:rFonts w:ascii="Arial" w:hAnsi="Arial" w:cs="Arial"/>
        </w:rPr>
        <w:t xml:space="preserve">effect of antipsychotic drugs. </w:t>
      </w:r>
      <w:r w:rsidR="00973B28" w:rsidRPr="002464EF">
        <w:rPr>
          <w:rFonts w:ascii="Arial" w:hAnsi="Arial" w:cs="Arial"/>
        </w:rPr>
        <w:t xml:space="preserve">All antipsychotics have the potential to cause </w:t>
      </w:r>
      <w:r>
        <w:rPr>
          <w:rFonts w:ascii="Arial" w:hAnsi="Arial" w:cs="Arial"/>
        </w:rPr>
        <w:t>measurable changes in prolactin</w:t>
      </w:r>
      <w:r w:rsidR="00973B28" w:rsidRPr="002464EF">
        <w:rPr>
          <w:rFonts w:ascii="Arial" w:hAnsi="Arial" w:cs="Arial"/>
        </w:rPr>
        <w:t xml:space="preserve"> and the degree to which this is affected is probably dose relate</w:t>
      </w:r>
      <w:r w:rsidR="002D6119" w:rsidRPr="002464EF">
        <w:rPr>
          <w:rFonts w:ascii="Arial" w:hAnsi="Arial" w:cs="Arial"/>
        </w:rPr>
        <w:t>d, but some (</w:t>
      </w:r>
      <w:r w:rsidR="00973B28" w:rsidRPr="002464EF">
        <w:rPr>
          <w:rFonts w:ascii="Arial" w:hAnsi="Arial" w:cs="Arial"/>
        </w:rPr>
        <w:t>clozapine, quetiapine and</w:t>
      </w:r>
      <w:r w:rsidR="00242D5C" w:rsidRPr="002464EF">
        <w:rPr>
          <w:rFonts w:ascii="Arial" w:hAnsi="Arial" w:cs="Arial"/>
        </w:rPr>
        <w:t xml:space="preserve">, </w:t>
      </w:r>
      <w:r w:rsidR="00242D5C" w:rsidRPr="00975C61">
        <w:rPr>
          <w:rFonts w:ascii="Arial" w:hAnsi="Arial" w:cs="Arial"/>
        </w:rPr>
        <w:t>particularly,</w:t>
      </w:r>
      <w:r w:rsidR="00973B28" w:rsidRPr="00975C61">
        <w:rPr>
          <w:rFonts w:ascii="Arial" w:hAnsi="Arial" w:cs="Arial"/>
        </w:rPr>
        <w:t xml:space="preserve"> aripiprazole) do not</w:t>
      </w:r>
      <w:r w:rsidR="00C24000" w:rsidRPr="00975C61">
        <w:rPr>
          <w:rFonts w:ascii="Arial" w:hAnsi="Arial" w:cs="Arial"/>
        </w:rPr>
        <w:t xml:space="preserve"> </w:t>
      </w:r>
      <w:r w:rsidR="004F1DB3" w:rsidRPr="00975C61">
        <w:rPr>
          <w:rFonts w:ascii="Arial" w:hAnsi="Arial" w:cs="Arial"/>
        </w:rPr>
        <w:t>typically</w:t>
      </w:r>
      <w:r w:rsidR="00973B28" w:rsidRPr="00975C61">
        <w:rPr>
          <w:rFonts w:ascii="Arial" w:hAnsi="Arial" w:cs="Arial"/>
        </w:rPr>
        <w:t xml:space="preserve"> increase prolactin above the n</w:t>
      </w:r>
      <w:r w:rsidRPr="00975C61">
        <w:rPr>
          <w:rFonts w:ascii="Arial" w:hAnsi="Arial" w:cs="Arial"/>
        </w:rPr>
        <w:t xml:space="preserve">ormal range at standard doses. </w:t>
      </w:r>
      <w:r w:rsidR="00973B28" w:rsidRPr="00975C61">
        <w:rPr>
          <w:rFonts w:ascii="Arial" w:hAnsi="Arial" w:cs="Arial"/>
        </w:rPr>
        <w:t>Antipsychotic-induced hyperprolactinaemia is reversible on discontinuation of the causative drug.</w:t>
      </w:r>
    </w:p>
    <w:p w14:paraId="7A30C642" w14:textId="77777777" w:rsidR="00973B28" w:rsidRPr="00975C61" w:rsidRDefault="00973B28" w:rsidP="00403104">
      <w:pPr>
        <w:ind w:left="794" w:hanging="794"/>
        <w:rPr>
          <w:rFonts w:ascii="Arial" w:hAnsi="Arial" w:cs="Arial"/>
        </w:rPr>
      </w:pPr>
    </w:p>
    <w:p w14:paraId="3C32CA3D" w14:textId="08B7FC20" w:rsidR="00973B28" w:rsidRPr="00975C61" w:rsidRDefault="00403104" w:rsidP="00403104">
      <w:pPr>
        <w:ind w:left="794" w:hanging="794"/>
        <w:rPr>
          <w:rFonts w:ascii="Arial" w:hAnsi="Arial" w:cs="Arial"/>
        </w:rPr>
      </w:pPr>
      <w:r w:rsidRPr="00975C61">
        <w:rPr>
          <w:rFonts w:ascii="Arial" w:hAnsi="Arial" w:cs="Arial"/>
        </w:rPr>
        <w:t>1.2</w:t>
      </w:r>
      <w:r w:rsidRPr="00975C61">
        <w:rPr>
          <w:rFonts w:ascii="Arial" w:hAnsi="Arial" w:cs="Arial"/>
        </w:rPr>
        <w:tab/>
      </w:r>
      <w:r w:rsidR="009D3BE2" w:rsidRPr="00975C61">
        <w:rPr>
          <w:rFonts w:ascii="Arial" w:hAnsi="Arial" w:cs="Arial"/>
        </w:rPr>
        <w:t>Prolactin is secreted by the pituitary gland</w:t>
      </w:r>
      <w:r w:rsidR="00242D5C" w:rsidRPr="00975C61">
        <w:rPr>
          <w:rFonts w:ascii="Arial" w:hAnsi="Arial" w:cs="Arial"/>
        </w:rPr>
        <w:t xml:space="preserve"> under negative control from the hypothalamus, which </w:t>
      </w:r>
      <w:r w:rsidR="009D3BE2" w:rsidRPr="00975C61">
        <w:rPr>
          <w:rFonts w:ascii="Arial" w:hAnsi="Arial" w:cs="Arial"/>
        </w:rPr>
        <w:t>release</w:t>
      </w:r>
      <w:r w:rsidR="00242D5C" w:rsidRPr="00975C61">
        <w:rPr>
          <w:rFonts w:ascii="Arial" w:hAnsi="Arial" w:cs="Arial"/>
        </w:rPr>
        <w:t>s</w:t>
      </w:r>
      <w:r w:rsidR="009D3BE2" w:rsidRPr="00975C61">
        <w:rPr>
          <w:rFonts w:ascii="Arial" w:hAnsi="Arial" w:cs="Arial"/>
        </w:rPr>
        <w:t xml:space="preserve"> </w:t>
      </w:r>
      <w:r w:rsidR="00242D5C" w:rsidRPr="00975C61">
        <w:rPr>
          <w:rFonts w:ascii="Arial" w:hAnsi="Arial" w:cs="Arial"/>
        </w:rPr>
        <w:t>dopamine to</w:t>
      </w:r>
      <w:r w:rsidR="00483C9A" w:rsidRPr="00975C61">
        <w:rPr>
          <w:rFonts w:ascii="Arial" w:hAnsi="Arial" w:cs="Arial"/>
        </w:rPr>
        <w:t xml:space="preserve"> inhibit</w:t>
      </w:r>
      <w:r w:rsidR="009D3BE2" w:rsidRPr="00975C61">
        <w:rPr>
          <w:rFonts w:ascii="Arial" w:hAnsi="Arial" w:cs="Arial"/>
        </w:rPr>
        <w:t xml:space="preserve"> </w:t>
      </w:r>
      <w:r w:rsidR="00242D5C" w:rsidRPr="00975C61">
        <w:rPr>
          <w:rFonts w:ascii="Arial" w:hAnsi="Arial" w:cs="Arial"/>
        </w:rPr>
        <w:t>prolactin secretion</w:t>
      </w:r>
      <w:r w:rsidR="00483C9A" w:rsidRPr="00975C61">
        <w:rPr>
          <w:rFonts w:ascii="Arial" w:hAnsi="Arial" w:cs="Arial"/>
        </w:rPr>
        <w:t xml:space="preserve">. </w:t>
      </w:r>
      <w:r w:rsidR="009D3BE2" w:rsidRPr="00975C61">
        <w:rPr>
          <w:rFonts w:ascii="Arial" w:hAnsi="Arial" w:cs="Arial"/>
        </w:rPr>
        <w:t xml:space="preserve">This action is blocked by </w:t>
      </w:r>
      <w:r w:rsidR="002760DF" w:rsidRPr="00975C61">
        <w:rPr>
          <w:rFonts w:ascii="Arial" w:hAnsi="Arial" w:cs="Arial"/>
        </w:rPr>
        <w:t xml:space="preserve">anti-dopaminergic </w:t>
      </w:r>
      <w:r w:rsidR="009D3BE2" w:rsidRPr="00975C61">
        <w:rPr>
          <w:rFonts w:ascii="Arial" w:hAnsi="Arial" w:cs="Arial"/>
        </w:rPr>
        <w:t xml:space="preserve">antipsychotic </w:t>
      </w:r>
      <w:r w:rsidRPr="00975C61">
        <w:rPr>
          <w:rFonts w:ascii="Arial" w:hAnsi="Arial" w:cs="Arial"/>
        </w:rPr>
        <w:t>and a</w:t>
      </w:r>
      <w:r w:rsidR="002760DF" w:rsidRPr="00975C61">
        <w:rPr>
          <w:rFonts w:ascii="Arial" w:hAnsi="Arial" w:cs="Arial"/>
        </w:rPr>
        <w:t xml:space="preserve">ntiemetic </w:t>
      </w:r>
      <w:r w:rsidR="009D3BE2" w:rsidRPr="00975C61">
        <w:rPr>
          <w:rFonts w:ascii="Arial" w:hAnsi="Arial" w:cs="Arial"/>
        </w:rPr>
        <w:t xml:space="preserve">drugs, </w:t>
      </w:r>
      <w:r w:rsidR="002D6119" w:rsidRPr="00975C61">
        <w:rPr>
          <w:rFonts w:ascii="Arial" w:hAnsi="Arial" w:cs="Arial"/>
        </w:rPr>
        <w:t>which may increase</w:t>
      </w:r>
      <w:r w:rsidR="00483C9A" w:rsidRPr="00975C61">
        <w:rPr>
          <w:rFonts w:ascii="Arial" w:hAnsi="Arial" w:cs="Arial"/>
        </w:rPr>
        <w:t xml:space="preserve"> prolactin levels. </w:t>
      </w:r>
      <w:r w:rsidR="009D3BE2" w:rsidRPr="00975C61">
        <w:rPr>
          <w:rFonts w:ascii="Arial" w:hAnsi="Arial" w:cs="Arial"/>
        </w:rPr>
        <w:t xml:space="preserve">Other factors </w:t>
      </w:r>
      <w:r w:rsidR="00203BAB" w:rsidRPr="00975C61">
        <w:rPr>
          <w:rFonts w:ascii="Arial" w:hAnsi="Arial" w:cs="Arial"/>
        </w:rPr>
        <w:t>influencing</w:t>
      </w:r>
      <w:r w:rsidR="009D3BE2" w:rsidRPr="00975C61">
        <w:rPr>
          <w:rFonts w:ascii="Arial" w:hAnsi="Arial" w:cs="Arial"/>
        </w:rPr>
        <w:t xml:space="preserve"> prolactin secretion includ</w:t>
      </w:r>
      <w:r w:rsidR="00203BAB" w:rsidRPr="00975C61">
        <w:rPr>
          <w:rFonts w:ascii="Arial" w:hAnsi="Arial" w:cs="Arial"/>
        </w:rPr>
        <w:t>e</w:t>
      </w:r>
      <w:r w:rsidR="009D3BE2" w:rsidRPr="00975C61">
        <w:rPr>
          <w:rFonts w:ascii="Arial" w:hAnsi="Arial" w:cs="Arial"/>
        </w:rPr>
        <w:t xml:space="preserve"> </w:t>
      </w:r>
      <w:r w:rsidR="00242D5C" w:rsidRPr="00975C61">
        <w:rPr>
          <w:rFonts w:ascii="Arial" w:hAnsi="Arial" w:cs="Arial"/>
        </w:rPr>
        <w:t xml:space="preserve">levels of </w:t>
      </w:r>
      <w:r w:rsidR="009D3BE2" w:rsidRPr="00975C61">
        <w:rPr>
          <w:rFonts w:ascii="Arial" w:hAnsi="Arial" w:cs="Arial"/>
        </w:rPr>
        <w:t xml:space="preserve">serotonin, </w:t>
      </w:r>
      <w:r w:rsidR="00BF4343" w:rsidRPr="00975C61">
        <w:rPr>
          <w:rFonts w:ascii="Arial" w:hAnsi="Arial" w:cs="Arial"/>
        </w:rPr>
        <w:t>thyroid stimulating hormone (TSH)</w:t>
      </w:r>
      <w:r w:rsidR="009D3BE2" w:rsidRPr="00975C61">
        <w:rPr>
          <w:rFonts w:ascii="Arial" w:hAnsi="Arial" w:cs="Arial"/>
        </w:rPr>
        <w:t xml:space="preserve"> and oestrogen</w:t>
      </w:r>
      <w:r w:rsidR="002760DF" w:rsidRPr="00975C61">
        <w:rPr>
          <w:rFonts w:ascii="Arial" w:hAnsi="Arial" w:cs="Arial"/>
        </w:rPr>
        <w:t xml:space="preserve">, along with </w:t>
      </w:r>
      <w:r w:rsidR="00242D5C" w:rsidRPr="00975C61">
        <w:rPr>
          <w:rFonts w:ascii="Arial" w:hAnsi="Arial" w:cs="Arial"/>
        </w:rPr>
        <w:t xml:space="preserve">the </w:t>
      </w:r>
      <w:r w:rsidR="002760DF" w:rsidRPr="00975C61">
        <w:rPr>
          <w:rFonts w:ascii="Arial" w:hAnsi="Arial" w:cs="Arial"/>
        </w:rPr>
        <w:t xml:space="preserve">other issues listed in </w:t>
      </w:r>
      <w:r w:rsidRPr="00975C61">
        <w:rPr>
          <w:rFonts w:ascii="Arial" w:hAnsi="Arial" w:cs="Arial"/>
        </w:rPr>
        <w:t xml:space="preserve">section </w:t>
      </w:r>
      <w:r w:rsidR="002760DF" w:rsidRPr="00975C61">
        <w:rPr>
          <w:rFonts w:ascii="Arial" w:hAnsi="Arial" w:cs="Arial"/>
        </w:rPr>
        <w:t>1.5</w:t>
      </w:r>
      <w:r w:rsidRPr="00975C61">
        <w:rPr>
          <w:rFonts w:ascii="Arial" w:hAnsi="Arial" w:cs="Arial"/>
        </w:rPr>
        <w:t xml:space="preserve"> below</w:t>
      </w:r>
      <w:r w:rsidR="002760DF" w:rsidRPr="00975C61">
        <w:rPr>
          <w:rFonts w:ascii="Arial" w:hAnsi="Arial" w:cs="Arial"/>
        </w:rPr>
        <w:t>.</w:t>
      </w:r>
    </w:p>
    <w:p w14:paraId="03854E2C" w14:textId="77777777" w:rsidR="00973B28" w:rsidRPr="00975C61" w:rsidRDefault="00973B28" w:rsidP="00403104">
      <w:pPr>
        <w:pStyle w:val="ListParagraph"/>
        <w:ind w:left="794" w:hanging="794"/>
        <w:rPr>
          <w:rFonts w:ascii="Arial" w:hAnsi="Arial" w:cs="Arial"/>
          <w:b/>
        </w:rPr>
      </w:pPr>
    </w:p>
    <w:p w14:paraId="2C149074" w14:textId="670C5A12" w:rsidR="00973B28" w:rsidRPr="00975C61" w:rsidRDefault="00403104" w:rsidP="00403104">
      <w:pPr>
        <w:ind w:left="794" w:hanging="794"/>
        <w:rPr>
          <w:rFonts w:ascii="Arial" w:hAnsi="Arial" w:cs="Arial"/>
        </w:rPr>
      </w:pPr>
      <w:r w:rsidRPr="00975C61">
        <w:rPr>
          <w:rFonts w:ascii="Arial" w:hAnsi="Arial" w:cs="Arial"/>
        </w:rPr>
        <w:t>1.3</w:t>
      </w:r>
      <w:r w:rsidRPr="00975C61">
        <w:rPr>
          <w:rFonts w:ascii="Arial" w:hAnsi="Arial" w:cs="Arial"/>
        </w:rPr>
        <w:tab/>
      </w:r>
      <w:r w:rsidR="00FB75CA" w:rsidRPr="00975C61">
        <w:rPr>
          <w:rFonts w:ascii="Arial" w:hAnsi="Arial" w:cs="Arial"/>
        </w:rPr>
        <w:t>Macroprolactin</w:t>
      </w:r>
      <w:r w:rsidR="00973B28" w:rsidRPr="00975C61">
        <w:rPr>
          <w:rFonts w:ascii="Arial" w:hAnsi="Arial" w:cs="Arial"/>
        </w:rPr>
        <w:t xml:space="preserve"> is a</w:t>
      </w:r>
      <w:r w:rsidR="00973B28" w:rsidRPr="00975C61">
        <w:rPr>
          <w:rFonts w:ascii="Arial" w:hAnsi="Arial" w:cs="Arial"/>
          <w:b/>
        </w:rPr>
        <w:t xml:space="preserve"> </w:t>
      </w:r>
      <w:r w:rsidR="00FB75CA" w:rsidRPr="00975C61">
        <w:rPr>
          <w:rFonts w:ascii="Arial" w:hAnsi="Arial" w:cs="Arial"/>
        </w:rPr>
        <w:t>protein</w:t>
      </w:r>
      <w:r w:rsidR="00483C9A" w:rsidRPr="00975C61">
        <w:rPr>
          <w:rFonts w:ascii="Arial" w:hAnsi="Arial" w:cs="Arial"/>
        </w:rPr>
        <w:t>-</w:t>
      </w:r>
      <w:r w:rsidR="00FB75CA" w:rsidRPr="00975C61">
        <w:rPr>
          <w:rFonts w:ascii="Arial" w:hAnsi="Arial" w:cs="Arial"/>
        </w:rPr>
        <w:t xml:space="preserve">bound form of prolactin which is not biologically active. </w:t>
      </w:r>
      <w:r w:rsidR="00E15F85" w:rsidRPr="00975C61">
        <w:rPr>
          <w:rFonts w:ascii="Arial" w:hAnsi="Arial" w:cs="Arial"/>
        </w:rPr>
        <w:t>Delayed clearance of macroprolactin may produce artificially raised prolactin levels</w:t>
      </w:r>
      <w:r w:rsidR="00A72306" w:rsidRPr="00975C61">
        <w:rPr>
          <w:rFonts w:ascii="Arial" w:hAnsi="Arial" w:cs="Arial"/>
        </w:rPr>
        <w:t>. I</w:t>
      </w:r>
      <w:r w:rsidR="00E15F85" w:rsidRPr="00975C61">
        <w:rPr>
          <w:rFonts w:ascii="Arial" w:hAnsi="Arial" w:cs="Arial"/>
        </w:rPr>
        <w:t xml:space="preserve">t is therefore important to rule out </w:t>
      </w:r>
      <w:proofErr w:type="spellStart"/>
      <w:r w:rsidR="00E15F85" w:rsidRPr="00975C61">
        <w:rPr>
          <w:rFonts w:ascii="Arial" w:hAnsi="Arial" w:cs="Arial"/>
        </w:rPr>
        <w:t>macroprolactinaemia</w:t>
      </w:r>
      <w:proofErr w:type="spellEnd"/>
      <w:r w:rsidR="00E15F85" w:rsidRPr="00975C61">
        <w:rPr>
          <w:rFonts w:ascii="Arial" w:hAnsi="Arial" w:cs="Arial"/>
        </w:rPr>
        <w:t xml:space="preserve"> in asymptomatic patients</w:t>
      </w:r>
      <w:r w:rsidR="0047350A" w:rsidRPr="00975C61">
        <w:rPr>
          <w:rFonts w:ascii="Arial" w:hAnsi="Arial" w:cs="Arial"/>
        </w:rPr>
        <w:t>, but</w:t>
      </w:r>
      <w:r w:rsidR="002760DF" w:rsidRPr="00975C61">
        <w:rPr>
          <w:rFonts w:ascii="Arial" w:hAnsi="Arial" w:cs="Arial"/>
        </w:rPr>
        <w:t xml:space="preserve"> laboratories in the </w:t>
      </w:r>
      <w:proofErr w:type="gramStart"/>
      <w:r w:rsidR="002760DF" w:rsidRPr="00975C61">
        <w:rPr>
          <w:rFonts w:ascii="Arial" w:hAnsi="Arial" w:cs="Arial"/>
        </w:rPr>
        <w:t>North East</w:t>
      </w:r>
      <w:proofErr w:type="gramEnd"/>
      <w:r w:rsidR="002760DF" w:rsidRPr="00975C61">
        <w:rPr>
          <w:rFonts w:ascii="Arial" w:hAnsi="Arial" w:cs="Arial"/>
        </w:rPr>
        <w:t xml:space="preserve"> will generally do this automatically</w:t>
      </w:r>
      <w:r w:rsidR="00E15F85" w:rsidRPr="00975C61">
        <w:rPr>
          <w:rFonts w:ascii="Arial" w:hAnsi="Arial" w:cs="Arial"/>
        </w:rPr>
        <w:t xml:space="preserve">. </w:t>
      </w:r>
    </w:p>
    <w:p w14:paraId="2BF67AE6" w14:textId="77777777" w:rsidR="00E15F85" w:rsidRPr="00975C61" w:rsidRDefault="00E15F85" w:rsidP="00403104">
      <w:pPr>
        <w:ind w:left="794" w:hanging="794"/>
        <w:rPr>
          <w:rFonts w:ascii="Arial" w:hAnsi="Arial" w:cs="Arial"/>
        </w:rPr>
      </w:pPr>
    </w:p>
    <w:p w14:paraId="29D58B58" w14:textId="30BFF97D" w:rsidR="00290B08" w:rsidRPr="00975C61" w:rsidRDefault="00403104" w:rsidP="00403104">
      <w:pPr>
        <w:ind w:left="794" w:hanging="794"/>
        <w:rPr>
          <w:rFonts w:ascii="Arial" w:hAnsi="Arial" w:cs="Arial"/>
        </w:rPr>
      </w:pPr>
      <w:r w:rsidRPr="00975C61">
        <w:rPr>
          <w:rFonts w:ascii="Arial" w:hAnsi="Arial" w:cs="Arial"/>
        </w:rPr>
        <w:t>1.4</w:t>
      </w:r>
      <w:r w:rsidRPr="00975C61">
        <w:rPr>
          <w:rFonts w:ascii="Arial" w:hAnsi="Arial" w:cs="Arial"/>
        </w:rPr>
        <w:tab/>
      </w:r>
      <w:r w:rsidR="00290B08" w:rsidRPr="00975C61">
        <w:rPr>
          <w:rFonts w:ascii="Arial" w:hAnsi="Arial" w:cs="Arial"/>
        </w:rPr>
        <w:t>Prolactin level reference ranges</w:t>
      </w:r>
      <w:r w:rsidR="00973B28" w:rsidRPr="00975C61">
        <w:rPr>
          <w:rFonts w:ascii="Arial" w:hAnsi="Arial" w:cs="Arial"/>
        </w:rPr>
        <w:t xml:space="preserve"> </w:t>
      </w:r>
      <w:r w:rsidR="00203BAB" w:rsidRPr="00975C61">
        <w:rPr>
          <w:rFonts w:ascii="Arial" w:hAnsi="Arial" w:cs="Arial"/>
        </w:rPr>
        <w:t>may vary depending on the laboratory used</w:t>
      </w:r>
      <w:r w:rsidR="0058283D" w:rsidRPr="00975C61">
        <w:rPr>
          <w:rFonts w:ascii="Arial" w:hAnsi="Arial" w:cs="Arial"/>
        </w:rPr>
        <w:t>. The reference ranges in this practice guidance note</w:t>
      </w:r>
      <w:r w:rsidR="00483C9A" w:rsidRPr="00975C61">
        <w:rPr>
          <w:rFonts w:ascii="Arial" w:hAnsi="Arial" w:cs="Arial"/>
        </w:rPr>
        <w:t xml:space="preserve"> (PGN)</w:t>
      </w:r>
      <w:r w:rsidR="0058283D" w:rsidRPr="00975C61">
        <w:rPr>
          <w:rFonts w:ascii="Arial" w:hAnsi="Arial" w:cs="Arial"/>
        </w:rPr>
        <w:t xml:space="preserve"> </w:t>
      </w:r>
      <w:r w:rsidR="00290B08" w:rsidRPr="00975C61">
        <w:rPr>
          <w:rFonts w:ascii="Arial" w:hAnsi="Arial" w:cs="Arial"/>
        </w:rPr>
        <w:t>are</w:t>
      </w:r>
      <w:r w:rsidR="0058283D" w:rsidRPr="00975C61">
        <w:rPr>
          <w:rFonts w:ascii="Arial" w:hAnsi="Arial" w:cs="Arial"/>
        </w:rPr>
        <w:t xml:space="preserve"> to be used as a</w:t>
      </w:r>
      <w:r w:rsidR="00290B08" w:rsidRPr="00975C61">
        <w:rPr>
          <w:rFonts w:ascii="Arial" w:hAnsi="Arial" w:cs="Arial"/>
        </w:rPr>
        <w:t xml:space="preserve"> guide only</w:t>
      </w:r>
      <w:r w:rsidR="00483C9A" w:rsidRPr="00975C61">
        <w:rPr>
          <w:rFonts w:ascii="Arial" w:hAnsi="Arial" w:cs="Arial"/>
        </w:rPr>
        <w:t xml:space="preserve">. </w:t>
      </w:r>
      <w:r w:rsidR="00CF640D" w:rsidRPr="00975C61">
        <w:rPr>
          <w:rFonts w:ascii="Arial" w:hAnsi="Arial" w:cs="Arial"/>
        </w:rPr>
        <w:t>S</w:t>
      </w:r>
      <w:r w:rsidR="00290B08" w:rsidRPr="00975C61">
        <w:rPr>
          <w:rFonts w:ascii="Arial" w:hAnsi="Arial" w:cs="Arial"/>
        </w:rPr>
        <w:t>pecific reference ranges should be sought from the analysing laboratory</w:t>
      </w:r>
      <w:r w:rsidR="00980680" w:rsidRPr="00975C61">
        <w:rPr>
          <w:rFonts w:ascii="Arial" w:hAnsi="Arial" w:cs="Arial"/>
        </w:rPr>
        <w:t>.</w:t>
      </w:r>
      <w:r w:rsidR="00290B08" w:rsidRPr="00975C61">
        <w:rPr>
          <w:rFonts w:ascii="Arial" w:hAnsi="Arial" w:cs="Arial"/>
        </w:rPr>
        <w:t xml:space="preserve"> </w:t>
      </w:r>
    </w:p>
    <w:p w14:paraId="004F74E2" w14:textId="77777777" w:rsidR="00F953F7" w:rsidRPr="00975C61" w:rsidRDefault="00F953F7" w:rsidP="00403104">
      <w:pPr>
        <w:pStyle w:val="ListParagraph"/>
        <w:ind w:left="794" w:hanging="794"/>
        <w:rPr>
          <w:rFonts w:ascii="Arial" w:hAnsi="Arial" w:cs="Arial"/>
        </w:rPr>
      </w:pPr>
    </w:p>
    <w:p w14:paraId="0343A147" w14:textId="6E2DED09" w:rsidR="00F953F7" w:rsidRPr="00975C61" w:rsidRDefault="00403104" w:rsidP="00403104">
      <w:pPr>
        <w:pStyle w:val="Header"/>
        <w:tabs>
          <w:tab w:val="clear" w:pos="4153"/>
          <w:tab w:val="clear" w:pos="8306"/>
        </w:tabs>
        <w:ind w:left="794" w:hanging="794"/>
        <w:rPr>
          <w:rFonts w:ascii="Arial" w:hAnsi="Arial" w:cs="Arial"/>
        </w:rPr>
      </w:pPr>
      <w:r w:rsidRPr="00975C61">
        <w:rPr>
          <w:rFonts w:ascii="Arial" w:hAnsi="Arial" w:cs="Arial"/>
        </w:rPr>
        <w:t>1.5</w:t>
      </w:r>
      <w:r w:rsidRPr="00975C61">
        <w:rPr>
          <w:rFonts w:ascii="Arial" w:hAnsi="Arial" w:cs="Arial"/>
        </w:rPr>
        <w:tab/>
      </w:r>
      <w:r w:rsidR="00F953F7" w:rsidRPr="00975C61">
        <w:rPr>
          <w:rFonts w:ascii="Arial" w:hAnsi="Arial" w:cs="Arial"/>
        </w:rPr>
        <w:t>Common causes of hyperprolactinaemia include:</w:t>
      </w:r>
    </w:p>
    <w:p w14:paraId="72EB7278" w14:textId="77777777" w:rsidR="00403104" w:rsidRPr="00975C61" w:rsidRDefault="00403104" w:rsidP="00403104">
      <w:pPr>
        <w:pStyle w:val="Header"/>
        <w:tabs>
          <w:tab w:val="clear" w:pos="4153"/>
          <w:tab w:val="clear" w:pos="8306"/>
        </w:tabs>
        <w:ind w:left="794" w:hanging="794"/>
        <w:rPr>
          <w:rFonts w:ascii="Arial" w:hAnsi="Arial" w:cs="Arial"/>
        </w:rPr>
      </w:pPr>
    </w:p>
    <w:p w14:paraId="548EC37C" w14:textId="624C0AEF" w:rsidR="00F953F7" w:rsidRPr="00975C61" w:rsidRDefault="00F953F7"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Stress (including venepuncture)</w:t>
      </w:r>
      <w:r w:rsidR="00483C9A" w:rsidRPr="00975C61">
        <w:rPr>
          <w:rFonts w:ascii="Arial" w:hAnsi="Arial" w:cs="Arial"/>
        </w:rPr>
        <w:t>.</w:t>
      </w:r>
    </w:p>
    <w:p w14:paraId="03EE5816" w14:textId="797AD3E6" w:rsidR="00F953F7" w:rsidRPr="00975C61" w:rsidRDefault="00F953F7"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Physical exercise</w:t>
      </w:r>
      <w:r w:rsidR="00242D5C" w:rsidRPr="00975C61">
        <w:rPr>
          <w:rFonts w:ascii="Arial" w:hAnsi="Arial" w:cs="Arial"/>
        </w:rPr>
        <w:t>, especially with nipple friction</w:t>
      </w:r>
      <w:r w:rsidR="00483C9A" w:rsidRPr="00975C61">
        <w:rPr>
          <w:rFonts w:ascii="Arial" w:hAnsi="Arial" w:cs="Arial"/>
        </w:rPr>
        <w:t>.</w:t>
      </w:r>
    </w:p>
    <w:p w14:paraId="69B5F4B2" w14:textId="6AB90B82" w:rsidR="00F953F7" w:rsidRPr="00975C61" w:rsidRDefault="00F953F7"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Pregnancy / lactation</w:t>
      </w:r>
      <w:r w:rsidR="00483C9A" w:rsidRPr="00975C61">
        <w:rPr>
          <w:rFonts w:ascii="Arial" w:hAnsi="Arial" w:cs="Arial"/>
        </w:rPr>
        <w:t>.</w:t>
      </w:r>
    </w:p>
    <w:p w14:paraId="6233BF0D" w14:textId="276B64A1" w:rsidR="002760DF" w:rsidRPr="00975C61" w:rsidRDefault="002760DF"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Nipple</w:t>
      </w:r>
      <w:r w:rsidR="00B62C98">
        <w:rPr>
          <w:rFonts w:ascii="Arial" w:hAnsi="Arial" w:cs="Arial"/>
        </w:rPr>
        <w:t>-</w:t>
      </w:r>
      <w:r w:rsidRPr="00975C61">
        <w:rPr>
          <w:rFonts w:ascii="Arial" w:hAnsi="Arial" w:cs="Arial"/>
        </w:rPr>
        <w:t>piercing jewellery</w:t>
      </w:r>
      <w:r w:rsidR="00483C9A" w:rsidRPr="00975C61">
        <w:rPr>
          <w:rFonts w:ascii="Arial" w:hAnsi="Arial" w:cs="Arial"/>
        </w:rPr>
        <w:t>.</w:t>
      </w:r>
    </w:p>
    <w:p w14:paraId="04792D0E" w14:textId="2D1225EC" w:rsidR="00F953F7" w:rsidRPr="00975C61" w:rsidRDefault="00203BAB"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M</w:t>
      </w:r>
      <w:r w:rsidR="00F953F7" w:rsidRPr="00975C61">
        <w:rPr>
          <w:rFonts w:ascii="Arial" w:hAnsi="Arial" w:cs="Arial"/>
        </w:rPr>
        <w:t>edication</w:t>
      </w:r>
      <w:r w:rsidRPr="00975C61">
        <w:rPr>
          <w:rFonts w:ascii="Arial" w:hAnsi="Arial" w:cs="Arial"/>
        </w:rPr>
        <w:t xml:space="preserve"> </w:t>
      </w:r>
      <w:r w:rsidR="00F953F7" w:rsidRPr="00975C61">
        <w:rPr>
          <w:rFonts w:ascii="Arial" w:hAnsi="Arial" w:cs="Arial"/>
        </w:rPr>
        <w:t>(</w:t>
      </w:r>
      <w:r w:rsidR="00483C9A" w:rsidRPr="00975C61">
        <w:rPr>
          <w:rFonts w:ascii="Arial" w:hAnsi="Arial" w:cs="Arial"/>
        </w:rPr>
        <w:t>see s</w:t>
      </w:r>
      <w:r w:rsidRPr="00975C61">
        <w:rPr>
          <w:rFonts w:ascii="Arial" w:hAnsi="Arial" w:cs="Arial"/>
        </w:rPr>
        <w:t xml:space="preserve">ection </w:t>
      </w:r>
      <w:r w:rsidR="00B030A4" w:rsidRPr="00975C61">
        <w:rPr>
          <w:rFonts w:ascii="Arial" w:hAnsi="Arial" w:cs="Arial"/>
        </w:rPr>
        <w:t>4</w:t>
      </w:r>
      <w:r w:rsidR="00483C9A" w:rsidRPr="00975C61">
        <w:rPr>
          <w:rFonts w:ascii="Arial" w:hAnsi="Arial" w:cs="Arial"/>
        </w:rPr>
        <w:t>.6</w:t>
      </w:r>
      <w:r w:rsidR="00B62C98">
        <w:rPr>
          <w:rFonts w:ascii="Arial" w:hAnsi="Arial" w:cs="Arial"/>
        </w:rPr>
        <w:t xml:space="preserve"> below</w:t>
      </w:r>
      <w:r w:rsidR="00F953F7" w:rsidRPr="00975C61">
        <w:rPr>
          <w:rFonts w:ascii="Arial" w:hAnsi="Arial" w:cs="Arial"/>
        </w:rPr>
        <w:t>)</w:t>
      </w:r>
      <w:r w:rsidR="00483C9A" w:rsidRPr="00975C61">
        <w:rPr>
          <w:rFonts w:ascii="Arial" w:hAnsi="Arial" w:cs="Arial"/>
        </w:rPr>
        <w:t>.</w:t>
      </w:r>
    </w:p>
    <w:p w14:paraId="37C22424" w14:textId="756C077E" w:rsidR="00F953F7" w:rsidRPr="00975C61" w:rsidRDefault="00F953F7"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Medical conditions (</w:t>
      </w:r>
      <w:r w:rsidR="00821F13" w:rsidRPr="00975C61">
        <w:rPr>
          <w:rFonts w:ascii="Arial" w:hAnsi="Arial" w:cs="Arial"/>
        </w:rPr>
        <w:t>e</w:t>
      </w:r>
      <w:r w:rsidR="00242D5C" w:rsidRPr="00975C61">
        <w:rPr>
          <w:rFonts w:ascii="Arial" w:hAnsi="Arial" w:cs="Arial"/>
        </w:rPr>
        <w:t>.</w:t>
      </w:r>
      <w:r w:rsidR="00821F13" w:rsidRPr="00975C61">
        <w:rPr>
          <w:rFonts w:ascii="Arial" w:hAnsi="Arial" w:cs="Arial"/>
        </w:rPr>
        <w:t>g</w:t>
      </w:r>
      <w:r w:rsidR="00242D5C" w:rsidRPr="00975C61">
        <w:rPr>
          <w:rFonts w:ascii="Arial" w:hAnsi="Arial" w:cs="Arial"/>
        </w:rPr>
        <w:t>.</w:t>
      </w:r>
      <w:r w:rsidR="00821F13" w:rsidRPr="00975C61">
        <w:rPr>
          <w:rFonts w:ascii="Arial" w:hAnsi="Arial" w:cs="Arial"/>
        </w:rPr>
        <w:t xml:space="preserve"> </w:t>
      </w:r>
      <w:r w:rsidR="00242D5C" w:rsidRPr="00975C61">
        <w:rPr>
          <w:rFonts w:ascii="Arial" w:hAnsi="Arial" w:cs="Arial"/>
        </w:rPr>
        <w:t>chronic kidney</w:t>
      </w:r>
      <w:r w:rsidRPr="00975C61">
        <w:rPr>
          <w:rFonts w:ascii="Arial" w:hAnsi="Arial" w:cs="Arial"/>
        </w:rPr>
        <w:t xml:space="preserve"> disease, hypothyroidism, prolactinoma)</w:t>
      </w:r>
      <w:r w:rsidR="00483C9A" w:rsidRPr="00975C61">
        <w:rPr>
          <w:rFonts w:ascii="Arial" w:hAnsi="Arial" w:cs="Arial"/>
        </w:rPr>
        <w:t>.</w:t>
      </w:r>
    </w:p>
    <w:p w14:paraId="2DF13971" w14:textId="3A658C95" w:rsidR="00F953F7" w:rsidRPr="00975C61" w:rsidRDefault="00F953F7" w:rsidP="00483C9A">
      <w:pPr>
        <w:pStyle w:val="Header"/>
        <w:numPr>
          <w:ilvl w:val="0"/>
          <w:numId w:val="7"/>
        </w:numPr>
        <w:tabs>
          <w:tab w:val="clear" w:pos="4153"/>
          <w:tab w:val="clear" w:pos="8306"/>
        </w:tabs>
        <w:spacing w:after="120"/>
        <w:ind w:left="1151" w:hanging="357"/>
        <w:rPr>
          <w:rFonts w:ascii="Arial" w:hAnsi="Arial" w:cs="Arial"/>
        </w:rPr>
      </w:pPr>
      <w:r w:rsidRPr="00975C61">
        <w:rPr>
          <w:rFonts w:ascii="Arial" w:hAnsi="Arial" w:cs="Arial"/>
        </w:rPr>
        <w:t>Spontaneous generalised seizure, including seizures induced by electroconvulsive therapy (ECT)</w:t>
      </w:r>
      <w:r w:rsidR="00483C9A" w:rsidRPr="00975C61">
        <w:rPr>
          <w:rFonts w:ascii="Arial" w:hAnsi="Arial" w:cs="Arial"/>
        </w:rPr>
        <w:t>.</w:t>
      </w:r>
    </w:p>
    <w:p w14:paraId="1A357F04" w14:textId="53F13FE5" w:rsidR="00F953F7" w:rsidRPr="00975C61" w:rsidRDefault="00F953F7" w:rsidP="00403104">
      <w:pPr>
        <w:pStyle w:val="Header"/>
        <w:numPr>
          <w:ilvl w:val="0"/>
          <w:numId w:val="7"/>
        </w:numPr>
        <w:tabs>
          <w:tab w:val="clear" w:pos="4153"/>
          <w:tab w:val="clear" w:pos="8306"/>
        </w:tabs>
        <w:ind w:left="1151" w:hanging="357"/>
        <w:rPr>
          <w:rFonts w:ascii="Arial" w:hAnsi="Arial" w:cs="Arial"/>
        </w:rPr>
      </w:pPr>
      <w:r w:rsidRPr="00975C61">
        <w:rPr>
          <w:rFonts w:ascii="Arial" w:hAnsi="Arial" w:cs="Arial"/>
        </w:rPr>
        <w:t>Prolactin levels also rise in response to orgasm</w:t>
      </w:r>
      <w:r w:rsidR="00483C9A" w:rsidRPr="00975C61">
        <w:rPr>
          <w:rFonts w:ascii="Arial" w:hAnsi="Arial" w:cs="Arial"/>
        </w:rPr>
        <w:t>.</w:t>
      </w:r>
    </w:p>
    <w:p w14:paraId="2D822ED4" w14:textId="77777777" w:rsidR="001415BC" w:rsidRPr="00975C61" w:rsidRDefault="001415BC" w:rsidP="00B32596">
      <w:pPr>
        <w:pStyle w:val="Header"/>
        <w:tabs>
          <w:tab w:val="left" w:pos="1276"/>
        </w:tabs>
        <w:ind w:left="916"/>
        <w:jc w:val="both"/>
        <w:rPr>
          <w:rFonts w:ascii="Arial" w:hAnsi="Arial" w:cs="Arial"/>
        </w:rPr>
      </w:pPr>
    </w:p>
    <w:p w14:paraId="08906F9D" w14:textId="0E1C5DAC" w:rsidR="001415BC" w:rsidRPr="00975C61" w:rsidRDefault="00403104" w:rsidP="00403104">
      <w:pPr>
        <w:pStyle w:val="Header"/>
        <w:tabs>
          <w:tab w:val="left" w:pos="1276"/>
        </w:tabs>
        <w:ind w:left="794" w:hanging="794"/>
        <w:rPr>
          <w:rFonts w:ascii="Arial" w:hAnsi="Arial" w:cs="Arial"/>
        </w:rPr>
      </w:pPr>
      <w:r w:rsidRPr="00975C61">
        <w:rPr>
          <w:rFonts w:ascii="Arial" w:hAnsi="Arial" w:cs="Arial"/>
        </w:rPr>
        <w:t>1.6</w:t>
      </w:r>
      <w:r w:rsidRPr="00975C61">
        <w:rPr>
          <w:rFonts w:ascii="Arial" w:hAnsi="Arial" w:cs="Arial"/>
        </w:rPr>
        <w:tab/>
      </w:r>
      <w:r w:rsidR="001415BC" w:rsidRPr="00975C61">
        <w:rPr>
          <w:rFonts w:ascii="Arial" w:hAnsi="Arial" w:cs="Arial"/>
        </w:rPr>
        <w:t xml:space="preserve">Where </w:t>
      </w:r>
      <w:proofErr w:type="gramStart"/>
      <w:r w:rsidR="001415BC" w:rsidRPr="00975C61">
        <w:rPr>
          <w:rFonts w:ascii="Arial" w:hAnsi="Arial" w:cs="Arial"/>
        </w:rPr>
        <w:t>a number of</w:t>
      </w:r>
      <w:proofErr w:type="gramEnd"/>
      <w:r w:rsidR="001415BC" w:rsidRPr="00975C61">
        <w:rPr>
          <w:rFonts w:ascii="Arial" w:hAnsi="Arial" w:cs="Arial"/>
        </w:rPr>
        <w:t xml:space="preserve"> </w:t>
      </w:r>
      <w:r w:rsidR="00C165AC" w:rsidRPr="00975C61">
        <w:rPr>
          <w:rFonts w:ascii="Arial" w:hAnsi="Arial" w:cs="Arial"/>
        </w:rPr>
        <w:t xml:space="preserve">similar </w:t>
      </w:r>
      <w:r w:rsidR="001415BC" w:rsidRPr="00975C61">
        <w:rPr>
          <w:rFonts w:ascii="Arial" w:hAnsi="Arial" w:cs="Arial"/>
        </w:rPr>
        <w:t>prolactin concentrations have been measured within a 12-month timeframe under similar medication regimens, the lowest level</w:t>
      </w:r>
      <w:r w:rsidR="00E16546" w:rsidRPr="00975C61">
        <w:rPr>
          <w:rFonts w:ascii="Arial" w:hAnsi="Arial" w:cs="Arial"/>
        </w:rPr>
        <w:t xml:space="preserve"> </w:t>
      </w:r>
      <w:r w:rsidR="00C165AC" w:rsidRPr="00975C61">
        <w:rPr>
          <w:rFonts w:ascii="Arial" w:hAnsi="Arial" w:cs="Arial"/>
        </w:rPr>
        <w:t>may</w:t>
      </w:r>
      <w:r w:rsidR="00E16546" w:rsidRPr="00975C61">
        <w:rPr>
          <w:rFonts w:ascii="Arial" w:hAnsi="Arial" w:cs="Arial"/>
        </w:rPr>
        <w:t xml:space="preserve"> be considered the true result</w:t>
      </w:r>
      <w:r w:rsidR="001415BC" w:rsidRPr="00975C61">
        <w:rPr>
          <w:rFonts w:ascii="Arial" w:hAnsi="Arial" w:cs="Arial"/>
        </w:rPr>
        <w:t>.</w:t>
      </w:r>
    </w:p>
    <w:p w14:paraId="11568390" w14:textId="77777777" w:rsidR="00F953F7" w:rsidRPr="002464EF" w:rsidRDefault="00F953F7" w:rsidP="002464EF">
      <w:pPr>
        <w:ind w:left="567"/>
        <w:jc w:val="both"/>
        <w:rPr>
          <w:rFonts w:ascii="Arial" w:hAnsi="Arial" w:cs="Arial"/>
          <w:color w:val="000000"/>
        </w:rPr>
      </w:pPr>
    </w:p>
    <w:p w14:paraId="3F01ED40" w14:textId="77777777" w:rsidR="00480269" w:rsidRPr="002464EF" w:rsidRDefault="00480269" w:rsidP="002464EF">
      <w:pPr>
        <w:pStyle w:val="Header"/>
        <w:tabs>
          <w:tab w:val="left" w:pos="720"/>
        </w:tabs>
        <w:jc w:val="both"/>
        <w:rPr>
          <w:rFonts w:ascii="Arial" w:hAnsi="Arial" w:cs="Arial"/>
        </w:rPr>
      </w:pPr>
    </w:p>
    <w:p w14:paraId="47F78418" w14:textId="39DD8EFD" w:rsidR="00973B28" w:rsidRPr="002464EF" w:rsidRDefault="00483C9A" w:rsidP="00483C9A">
      <w:pPr>
        <w:pStyle w:val="Header"/>
        <w:tabs>
          <w:tab w:val="clear" w:pos="4153"/>
          <w:tab w:val="clear" w:pos="8306"/>
        </w:tabs>
        <w:ind w:left="794" w:hanging="794"/>
        <w:rPr>
          <w:rFonts w:ascii="Arial" w:hAnsi="Arial" w:cs="Arial"/>
        </w:rPr>
      </w:pPr>
      <w:r>
        <w:rPr>
          <w:rFonts w:ascii="Arial" w:hAnsi="Arial" w:cs="Arial"/>
          <w:b/>
        </w:rPr>
        <w:lastRenderedPageBreak/>
        <w:t>2.</w:t>
      </w:r>
      <w:r>
        <w:rPr>
          <w:rFonts w:ascii="Arial" w:hAnsi="Arial" w:cs="Arial"/>
          <w:b/>
        </w:rPr>
        <w:tab/>
      </w:r>
      <w:r w:rsidR="00973B28" w:rsidRPr="002464EF">
        <w:rPr>
          <w:rFonts w:ascii="Arial" w:hAnsi="Arial" w:cs="Arial"/>
          <w:b/>
        </w:rPr>
        <w:t xml:space="preserve">Monitoring </w:t>
      </w:r>
      <w:r>
        <w:rPr>
          <w:rFonts w:ascii="Arial" w:hAnsi="Arial" w:cs="Arial"/>
          <w:b/>
        </w:rPr>
        <w:t>of Prolactin f</w:t>
      </w:r>
      <w:r w:rsidRPr="002464EF">
        <w:rPr>
          <w:rFonts w:ascii="Arial" w:hAnsi="Arial" w:cs="Arial"/>
          <w:b/>
        </w:rPr>
        <w:t>or Patients Prescribed Antipsychotic Medication</w:t>
      </w:r>
    </w:p>
    <w:p w14:paraId="7F00D5E6" w14:textId="77777777" w:rsidR="00973B28" w:rsidRPr="002464EF" w:rsidRDefault="00973B28" w:rsidP="00483C9A">
      <w:pPr>
        <w:pStyle w:val="Header"/>
        <w:tabs>
          <w:tab w:val="clear" w:pos="4153"/>
          <w:tab w:val="clear" w:pos="8306"/>
        </w:tabs>
        <w:ind w:left="794" w:hanging="794"/>
        <w:rPr>
          <w:rFonts w:ascii="Arial" w:hAnsi="Arial" w:cs="Arial"/>
        </w:rPr>
      </w:pPr>
    </w:p>
    <w:p w14:paraId="2F2F3703" w14:textId="70CEBCCB" w:rsidR="00242D5C" w:rsidRPr="00C165AC" w:rsidRDefault="00483C9A" w:rsidP="00483C9A">
      <w:pPr>
        <w:pStyle w:val="Header"/>
        <w:tabs>
          <w:tab w:val="clear" w:pos="4153"/>
          <w:tab w:val="clear" w:pos="8306"/>
        </w:tabs>
        <w:ind w:left="794" w:hanging="794"/>
        <w:rPr>
          <w:rFonts w:ascii="Arial" w:hAnsi="Arial" w:cs="Arial"/>
          <w:color w:val="FF0000"/>
        </w:rPr>
      </w:pPr>
      <w:r>
        <w:rPr>
          <w:rFonts w:ascii="Arial" w:hAnsi="Arial" w:cs="Arial"/>
        </w:rPr>
        <w:t>2.1</w:t>
      </w:r>
      <w:r>
        <w:rPr>
          <w:rFonts w:ascii="Arial" w:hAnsi="Arial" w:cs="Arial"/>
        </w:rPr>
        <w:tab/>
      </w:r>
      <w:r w:rsidR="00973B28" w:rsidRPr="002464EF">
        <w:rPr>
          <w:rFonts w:ascii="Arial" w:hAnsi="Arial" w:cs="Arial"/>
        </w:rPr>
        <w:t>All patients</w:t>
      </w:r>
      <w:r w:rsidR="00BD7FC3" w:rsidRPr="002464EF">
        <w:rPr>
          <w:rFonts w:ascii="Arial" w:hAnsi="Arial" w:cs="Arial"/>
          <w:color w:val="0070C0"/>
        </w:rPr>
        <w:t xml:space="preserve"> </w:t>
      </w:r>
      <w:r w:rsidR="002760DF" w:rsidRPr="00975C61">
        <w:rPr>
          <w:rFonts w:ascii="Arial" w:hAnsi="Arial" w:cs="Arial"/>
        </w:rPr>
        <w:t xml:space="preserve">to be </w:t>
      </w:r>
      <w:r w:rsidR="00BD7FC3" w:rsidRPr="00975C61">
        <w:rPr>
          <w:rFonts w:ascii="Arial" w:hAnsi="Arial" w:cs="Arial"/>
        </w:rPr>
        <w:t>start</w:t>
      </w:r>
      <w:r w:rsidR="002760DF" w:rsidRPr="00975C61">
        <w:rPr>
          <w:rFonts w:ascii="Arial" w:hAnsi="Arial" w:cs="Arial"/>
        </w:rPr>
        <w:t>ed</w:t>
      </w:r>
      <w:r w:rsidR="00BD7FC3" w:rsidRPr="00975C61">
        <w:rPr>
          <w:rFonts w:ascii="Arial" w:hAnsi="Arial" w:cs="Arial"/>
        </w:rPr>
        <w:t xml:space="preserve"> on an antipsychotic</w:t>
      </w:r>
      <w:r w:rsidR="00973B28" w:rsidRPr="00975C61">
        <w:rPr>
          <w:rFonts w:ascii="Arial" w:hAnsi="Arial" w:cs="Arial"/>
        </w:rPr>
        <w:t xml:space="preserve"> should have </w:t>
      </w:r>
      <w:r w:rsidR="00BC3CCF" w:rsidRPr="00975C61">
        <w:rPr>
          <w:rFonts w:ascii="Arial" w:hAnsi="Arial" w:cs="Arial"/>
        </w:rPr>
        <w:t xml:space="preserve">plasma </w:t>
      </w:r>
      <w:r w:rsidR="00973B28" w:rsidRPr="00975C61">
        <w:rPr>
          <w:rFonts w:ascii="Arial" w:hAnsi="Arial" w:cs="Arial"/>
        </w:rPr>
        <w:t xml:space="preserve">prolactin </w:t>
      </w:r>
      <w:r w:rsidR="00BC3CCF" w:rsidRPr="00975C61">
        <w:rPr>
          <w:rFonts w:ascii="Arial" w:hAnsi="Arial" w:cs="Arial"/>
        </w:rPr>
        <w:t>level</w:t>
      </w:r>
      <w:r w:rsidR="00973B28" w:rsidRPr="00975C61">
        <w:rPr>
          <w:rFonts w:ascii="Arial" w:hAnsi="Arial" w:cs="Arial"/>
        </w:rPr>
        <w:t xml:space="preserve"> measured at baseline</w:t>
      </w:r>
      <w:r w:rsidR="00DE716C" w:rsidRPr="00975C61">
        <w:rPr>
          <w:rFonts w:ascii="Arial" w:hAnsi="Arial" w:cs="Arial"/>
        </w:rPr>
        <w:t xml:space="preserve"> </w:t>
      </w:r>
      <w:r w:rsidR="00DE716C" w:rsidRPr="00975C61">
        <w:rPr>
          <w:rFonts w:ascii="Arial" w:hAnsi="Arial" w:cs="Arial"/>
          <w:b/>
        </w:rPr>
        <w:t>before</w:t>
      </w:r>
      <w:r w:rsidR="00DE716C" w:rsidRPr="00975C61">
        <w:rPr>
          <w:rFonts w:ascii="Arial" w:hAnsi="Arial" w:cs="Arial"/>
        </w:rPr>
        <w:t xml:space="preserve"> initiation</w:t>
      </w:r>
      <w:r w:rsidR="003C10A3" w:rsidRPr="00975C61">
        <w:rPr>
          <w:rFonts w:ascii="Arial" w:hAnsi="Arial" w:cs="Arial"/>
        </w:rPr>
        <w:t>.</w:t>
      </w:r>
      <w:r w:rsidR="00C165AC" w:rsidRPr="00975C61">
        <w:rPr>
          <w:rFonts w:ascii="Arial" w:hAnsi="Arial" w:cs="Arial"/>
        </w:rPr>
        <w:t xml:space="preserve"> This is detailed in </w:t>
      </w:r>
      <w:hyperlink r:id="rId12" w:history="1">
        <w:r w:rsidR="0038742A" w:rsidRPr="005056BA">
          <w:rPr>
            <w:rStyle w:val="Hyperlink"/>
            <w:rFonts w:ascii="Arial" w:hAnsi="Arial" w:cs="Arial"/>
          </w:rPr>
          <w:t>PPT-PGN-08 – Physical Health Monitoring of Patients Prescribed Antipsychotics and Other Psychotropic Medicines</w:t>
        </w:r>
      </w:hyperlink>
      <w:r w:rsidR="00C165AC" w:rsidRPr="00975C61">
        <w:rPr>
          <w:rFonts w:ascii="Arial" w:hAnsi="Arial" w:cs="Arial"/>
        </w:rPr>
        <w:t>, Appendix 1</w:t>
      </w:r>
      <w:r w:rsidR="00C165AC" w:rsidRPr="009F4BA4">
        <w:rPr>
          <w:rFonts w:ascii="Arial" w:hAnsi="Arial" w:cs="Arial"/>
          <w:color w:val="0000FF"/>
        </w:rPr>
        <w:t>.</w:t>
      </w:r>
    </w:p>
    <w:p w14:paraId="47E331AC" w14:textId="77777777" w:rsidR="00736136" w:rsidRPr="002464EF" w:rsidRDefault="00736136" w:rsidP="00483C9A">
      <w:pPr>
        <w:pStyle w:val="Header"/>
        <w:tabs>
          <w:tab w:val="clear" w:pos="4153"/>
          <w:tab w:val="clear" w:pos="8306"/>
        </w:tabs>
        <w:ind w:left="794" w:hanging="794"/>
        <w:rPr>
          <w:rFonts w:ascii="Arial" w:hAnsi="Arial" w:cs="Arial"/>
        </w:rPr>
      </w:pPr>
    </w:p>
    <w:p w14:paraId="71F57856" w14:textId="751B59D5" w:rsidR="00736136" w:rsidRPr="00975C61" w:rsidRDefault="00483C9A" w:rsidP="00483C9A">
      <w:pPr>
        <w:pStyle w:val="Header"/>
        <w:tabs>
          <w:tab w:val="clear" w:pos="4153"/>
          <w:tab w:val="clear" w:pos="8306"/>
        </w:tabs>
        <w:ind w:left="794" w:hanging="794"/>
        <w:rPr>
          <w:rFonts w:ascii="Arial" w:hAnsi="Arial" w:cs="Arial"/>
        </w:rPr>
      </w:pPr>
      <w:r>
        <w:rPr>
          <w:rFonts w:ascii="Arial" w:hAnsi="Arial" w:cs="Arial"/>
        </w:rPr>
        <w:t>2.2</w:t>
      </w:r>
      <w:r>
        <w:rPr>
          <w:rFonts w:ascii="Arial" w:hAnsi="Arial" w:cs="Arial"/>
        </w:rPr>
        <w:tab/>
      </w:r>
      <w:r w:rsidR="00736136" w:rsidRPr="002464EF">
        <w:rPr>
          <w:rFonts w:ascii="Arial" w:hAnsi="Arial" w:cs="Arial"/>
        </w:rPr>
        <w:t>Ideally</w:t>
      </w:r>
      <w:r w:rsidR="00A20779">
        <w:rPr>
          <w:rFonts w:ascii="Arial" w:hAnsi="Arial" w:cs="Arial"/>
        </w:rPr>
        <w:t>,</w:t>
      </w:r>
      <w:r w:rsidR="00736136" w:rsidRPr="002464EF">
        <w:rPr>
          <w:rFonts w:ascii="Arial" w:hAnsi="Arial" w:cs="Arial"/>
        </w:rPr>
        <w:t xml:space="preserve"> the blood sample should be a fasting sample taken by an </w:t>
      </w:r>
      <w:r w:rsidR="00736136" w:rsidRPr="00975C61">
        <w:rPr>
          <w:rFonts w:ascii="Arial" w:hAnsi="Arial" w:cs="Arial"/>
        </w:rPr>
        <w:t>experienced phlebotomist with relevant medication withheld if possible</w:t>
      </w:r>
      <w:r w:rsidR="002760DF" w:rsidRPr="00975C61">
        <w:rPr>
          <w:rFonts w:ascii="Arial" w:hAnsi="Arial" w:cs="Arial"/>
        </w:rPr>
        <w:t xml:space="preserve">, and </w:t>
      </w:r>
      <w:r w:rsidR="00E16546" w:rsidRPr="00975C61">
        <w:rPr>
          <w:rFonts w:ascii="Arial" w:hAnsi="Arial" w:cs="Arial"/>
        </w:rPr>
        <w:t xml:space="preserve">ideally </w:t>
      </w:r>
      <w:r w:rsidR="002760DF" w:rsidRPr="00975C61">
        <w:rPr>
          <w:rFonts w:ascii="Arial" w:hAnsi="Arial" w:cs="Arial"/>
        </w:rPr>
        <w:t xml:space="preserve">within 7 days of </w:t>
      </w:r>
      <w:r w:rsidR="001E4ED2" w:rsidRPr="00975C61">
        <w:rPr>
          <w:rFonts w:ascii="Arial" w:hAnsi="Arial" w:cs="Arial"/>
        </w:rPr>
        <w:t xml:space="preserve">the patient </w:t>
      </w:r>
      <w:r w:rsidR="002760DF" w:rsidRPr="00975C61">
        <w:rPr>
          <w:rFonts w:ascii="Arial" w:hAnsi="Arial" w:cs="Arial"/>
        </w:rPr>
        <w:t xml:space="preserve">starting </w:t>
      </w:r>
      <w:r w:rsidR="001E4ED2" w:rsidRPr="00975C61">
        <w:rPr>
          <w:rFonts w:ascii="Arial" w:hAnsi="Arial" w:cs="Arial"/>
        </w:rPr>
        <w:t xml:space="preserve">their </w:t>
      </w:r>
      <w:r w:rsidR="002731C4" w:rsidRPr="00975C61">
        <w:rPr>
          <w:rFonts w:ascii="Arial" w:hAnsi="Arial" w:cs="Arial"/>
        </w:rPr>
        <w:t>most recent</w:t>
      </w:r>
      <w:r w:rsidR="002A135B" w:rsidRPr="00975C61">
        <w:rPr>
          <w:rFonts w:ascii="Arial" w:hAnsi="Arial" w:cs="Arial"/>
        </w:rPr>
        <w:t xml:space="preserve"> menstrual</w:t>
      </w:r>
      <w:r w:rsidR="002731C4" w:rsidRPr="00975C61">
        <w:rPr>
          <w:rFonts w:ascii="Arial" w:hAnsi="Arial" w:cs="Arial"/>
        </w:rPr>
        <w:t xml:space="preserve"> </w:t>
      </w:r>
      <w:r w:rsidR="002760DF" w:rsidRPr="00975C61">
        <w:rPr>
          <w:rFonts w:ascii="Arial" w:hAnsi="Arial" w:cs="Arial"/>
        </w:rPr>
        <w:t>period</w:t>
      </w:r>
      <w:r w:rsidR="00E16546" w:rsidRPr="00975C61">
        <w:rPr>
          <w:rFonts w:ascii="Arial" w:hAnsi="Arial" w:cs="Arial"/>
        </w:rPr>
        <w:t xml:space="preserve"> where relevant</w:t>
      </w:r>
      <w:r w:rsidR="002760DF" w:rsidRPr="00975C61">
        <w:rPr>
          <w:rFonts w:ascii="Arial" w:hAnsi="Arial" w:cs="Arial"/>
        </w:rPr>
        <w:t>.</w:t>
      </w:r>
    </w:p>
    <w:p w14:paraId="711667D0" w14:textId="77777777" w:rsidR="00736136" w:rsidRPr="00975C61" w:rsidRDefault="00736136" w:rsidP="00483C9A">
      <w:pPr>
        <w:pStyle w:val="ListParagraph"/>
        <w:ind w:left="794" w:hanging="794"/>
        <w:rPr>
          <w:rFonts w:ascii="Arial" w:hAnsi="Arial" w:cs="Arial"/>
        </w:rPr>
      </w:pPr>
    </w:p>
    <w:p w14:paraId="0399780C" w14:textId="188DAC9A" w:rsidR="00736136" w:rsidRPr="00975C61" w:rsidRDefault="00483C9A" w:rsidP="00483C9A">
      <w:pPr>
        <w:pStyle w:val="Header"/>
        <w:tabs>
          <w:tab w:val="clear" w:pos="4153"/>
          <w:tab w:val="clear" w:pos="8306"/>
        </w:tabs>
        <w:ind w:left="794" w:hanging="794"/>
        <w:rPr>
          <w:rFonts w:ascii="Arial" w:hAnsi="Arial" w:cs="Arial"/>
        </w:rPr>
      </w:pPr>
      <w:r w:rsidRPr="00975C61">
        <w:rPr>
          <w:rFonts w:ascii="Arial" w:hAnsi="Arial" w:cs="Arial"/>
        </w:rPr>
        <w:t>2.3</w:t>
      </w:r>
      <w:r w:rsidRPr="00975C61">
        <w:rPr>
          <w:rFonts w:ascii="Arial" w:hAnsi="Arial" w:cs="Arial"/>
        </w:rPr>
        <w:tab/>
      </w:r>
      <w:r w:rsidR="00736136" w:rsidRPr="00975C61">
        <w:rPr>
          <w:rFonts w:ascii="Arial" w:hAnsi="Arial" w:cs="Arial"/>
        </w:rPr>
        <w:t>Stress</w:t>
      </w:r>
      <w:r w:rsidR="001E4ED2" w:rsidRPr="00975C61">
        <w:rPr>
          <w:rFonts w:ascii="Arial" w:hAnsi="Arial" w:cs="Arial"/>
        </w:rPr>
        <w:t>,</w:t>
      </w:r>
      <w:r w:rsidR="00736136" w:rsidRPr="00975C61">
        <w:rPr>
          <w:rFonts w:ascii="Arial" w:hAnsi="Arial" w:cs="Arial"/>
        </w:rPr>
        <w:t xml:space="preserve"> including venepuncture</w:t>
      </w:r>
      <w:r w:rsidR="001E4ED2" w:rsidRPr="00975C61">
        <w:rPr>
          <w:rFonts w:ascii="Arial" w:hAnsi="Arial" w:cs="Arial"/>
        </w:rPr>
        <w:t>,</w:t>
      </w:r>
      <w:r w:rsidR="00736136" w:rsidRPr="00975C61">
        <w:rPr>
          <w:rFonts w:ascii="Arial" w:hAnsi="Arial" w:cs="Arial"/>
        </w:rPr>
        <w:t xml:space="preserve"> may ca</w:t>
      </w:r>
      <w:r w:rsidR="001E4ED2" w:rsidRPr="00975C61">
        <w:rPr>
          <w:rFonts w:ascii="Arial" w:hAnsi="Arial" w:cs="Arial"/>
        </w:rPr>
        <w:t>use a spike in prolactin levels. C</w:t>
      </w:r>
      <w:r w:rsidR="00736136" w:rsidRPr="00975C61">
        <w:rPr>
          <w:rFonts w:ascii="Arial" w:hAnsi="Arial" w:cs="Arial"/>
        </w:rPr>
        <w:t>are should be taken to minimise stress to avoid false-positive results.</w:t>
      </w:r>
      <w:r w:rsidR="0038742A" w:rsidRPr="00975C61">
        <w:rPr>
          <w:rFonts w:ascii="Arial" w:hAnsi="Arial" w:cs="Arial"/>
        </w:rPr>
        <w:t xml:space="preserve"> </w:t>
      </w:r>
      <w:r w:rsidR="002760DF" w:rsidRPr="00975C61">
        <w:rPr>
          <w:rFonts w:ascii="Arial" w:hAnsi="Arial" w:cs="Arial"/>
        </w:rPr>
        <w:t>Venepuncture stress can be mitigated by performing cannulation, allowing the patient to relax, then drawing blood after 30-60 minutes</w:t>
      </w:r>
      <w:r w:rsidR="00E16546" w:rsidRPr="00975C61">
        <w:rPr>
          <w:rFonts w:ascii="Arial" w:hAnsi="Arial" w:cs="Arial"/>
        </w:rPr>
        <w:t>.</w:t>
      </w:r>
    </w:p>
    <w:p w14:paraId="319F23FA" w14:textId="77777777" w:rsidR="00973B28" w:rsidRPr="00975C61" w:rsidRDefault="00973B28" w:rsidP="00483C9A">
      <w:pPr>
        <w:pStyle w:val="ListParagraph"/>
        <w:ind w:left="794" w:hanging="794"/>
        <w:rPr>
          <w:rFonts w:ascii="Arial" w:hAnsi="Arial" w:cs="Arial"/>
        </w:rPr>
      </w:pPr>
    </w:p>
    <w:p w14:paraId="6FA9A717" w14:textId="3311C6CE" w:rsidR="001E6A96" w:rsidRPr="00975C61" w:rsidRDefault="00483C9A" w:rsidP="00483C9A">
      <w:pPr>
        <w:pStyle w:val="Header"/>
        <w:tabs>
          <w:tab w:val="clear" w:pos="4153"/>
          <w:tab w:val="clear" w:pos="8306"/>
        </w:tabs>
        <w:ind w:left="794" w:hanging="794"/>
        <w:rPr>
          <w:rFonts w:ascii="Arial" w:hAnsi="Arial" w:cs="Arial"/>
        </w:rPr>
      </w:pPr>
      <w:r w:rsidRPr="00975C61">
        <w:rPr>
          <w:rFonts w:ascii="Arial" w:hAnsi="Arial" w:cs="Arial"/>
        </w:rPr>
        <w:t>2.4</w:t>
      </w:r>
      <w:r w:rsidRPr="00975C61">
        <w:rPr>
          <w:rFonts w:ascii="Arial" w:hAnsi="Arial" w:cs="Arial"/>
        </w:rPr>
        <w:tab/>
      </w:r>
      <w:r w:rsidR="001E6A96" w:rsidRPr="00975C61">
        <w:rPr>
          <w:rFonts w:ascii="Arial" w:hAnsi="Arial" w:cs="Arial"/>
        </w:rPr>
        <w:t>A second prolactin level should be taken 3 months after initiation of the antipsychotic medication.</w:t>
      </w:r>
    </w:p>
    <w:p w14:paraId="0E5811F3" w14:textId="77777777" w:rsidR="001E6A96" w:rsidRPr="00975C61" w:rsidRDefault="001E6A96" w:rsidP="00483C9A">
      <w:pPr>
        <w:pStyle w:val="Header"/>
        <w:tabs>
          <w:tab w:val="clear" w:pos="4153"/>
          <w:tab w:val="clear" w:pos="8306"/>
        </w:tabs>
        <w:ind w:left="794" w:hanging="794"/>
        <w:rPr>
          <w:rFonts w:ascii="Arial" w:hAnsi="Arial" w:cs="Arial"/>
        </w:rPr>
      </w:pPr>
    </w:p>
    <w:p w14:paraId="7F90442E" w14:textId="3FC306EC" w:rsidR="00973B28" w:rsidRPr="00975C61" w:rsidRDefault="00483C9A" w:rsidP="00483C9A">
      <w:pPr>
        <w:pStyle w:val="Header"/>
        <w:tabs>
          <w:tab w:val="clear" w:pos="4153"/>
          <w:tab w:val="clear" w:pos="8306"/>
        </w:tabs>
        <w:ind w:left="794" w:hanging="794"/>
        <w:rPr>
          <w:rFonts w:ascii="Arial" w:hAnsi="Arial" w:cs="Arial"/>
        </w:rPr>
      </w:pPr>
      <w:r w:rsidRPr="00975C61">
        <w:rPr>
          <w:rFonts w:ascii="Arial" w:hAnsi="Arial" w:cs="Arial"/>
        </w:rPr>
        <w:t>2.5</w:t>
      </w:r>
      <w:r w:rsidRPr="00975C61">
        <w:rPr>
          <w:rFonts w:ascii="Arial" w:hAnsi="Arial" w:cs="Arial"/>
        </w:rPr>
        <w:tab/>
      </w:r>
      <w:r w:rsidR="00BC3CCF" w:rsidRPr="00975C61">
        <w:rPr>
          <w:rFonts w:ascii="Arial" w:hAnsi="Arial" w:cs="Arial"/>
        </w:rPr>
        <w:t xml:space="preserve">For adults, </w:t>
      </w:r>
      <w:r w:rsidR="001E4ED2" w:rsidRPr="00975C61">
        <w:rPr>
          <w:rFonts w:ascii="Arial" w:hAnsi="Arial" w:cs="Arial"/>
        </w:rPr>
        <w:t>p</w:t>
      </w:r>
      <w:r w:rsidR="00BC3CCF" w:rsidRPr="00975C61">
        <w:rPr>
          <w:rFonts w:ascii="Arial" w:hAnsi="Arial" w:cs="Arial"/>
        </w:rPr>
        <w:t>lasma prolactin level should</w:t>
      </w:r>
      <w:r w:rsidR="00A14FCD" w:rsidRPr="00975C61">
        <w:rPr>
          <w:rFonts w:ascii="Arial" w:hAnsi="Arial" w:cs="Arial"/>
        </w:rPr>
        <w:t xml:space="preserve"> </w:t>
      </w:r>
      <w:r w:rsidR="00A14FCD" w:rsidRPr="007B2AFC">
        <w:rPr>
          <w:rFonts w:ascii="Arial" w:hAnsi="Arial" w:cs="Arial"/>
        </w:rPr>
        <w:t>be</w:t>
      </w:r>
      <w:r w:rsidR="00BC3CCF" w:rsidRPr="007B2AFC">
        <w:rPr>
          <w:rFonts w:ascii="Arial" w:hAnsi="Arial" w:cs="Arial"/>
        </w:rPr>
        <w:t xml:space="preserve"> repeated </w:t>
      </w:r>
      <w:r w:rsidR="00DA0983" w:rsidRPr="007B2AFC">
        <w:rPr>
          <w:rFonts w:ascii="Arial" w:hAnsi="Arial" w:cs="Arial"/>
        </w:rPr>
        <w:t xml:space="preserve">annually and </w:t>
      </w:r>
      <w:r w:rsidR="00BC3CCF" w:rsidRPr="00975C61">
        <w:rPr>
          <w:rFonts w:ascii="Arial" w:hAnsi="Arial" w:cs="Arial"/>
        </w:rPr>
        <w:t>if</w:t>
      </w:r>
      <w:r w:rsidR="0039679C" w:rsidRPr="00975C61">
        <w:rPr>
          <w:rFonts w:ascii="Arial" w:hAnsi="Arial" w:cs="Arial"/>
        </w:rPr>
        <w:t xml:space="preserve"> </w:t>
      </w:r>
      <w:r w:rsidR="00973B28" w:rsidRPr="00975C61">
        <w:rPr>
          <w:rFonts w:ascii="Arial" w:hAnsi="Arial" w:cs="Arial"/>
        </w:rPr>
        <w:t xml:space="preserve">patients </w:t>
      </w:r>
      <w:r w:rsidR="0039679C" w:rsidRPr="00975C61">
        <w:rPr>
          <w:rFonts w:ascii="Arial" w:hAnsi="Arial" w:cs="Arial"/>
        </w:rPr>
        <w:t xml:space="preserve">develop </w:t>
      </w:r>
      <w:r w:rsidR="00973B28" w:rsidRPr="00975C61">
        <w:rPr>
          <w:rFonts w:ascii="Arial" w:hAnsi="Arial" w:cs="Arial"/>
        </w:rPr>
        <w:t>s</w:t>
      </w:r>
      <w:r w:rsidR="00242D5C" w:rsidRPr="00975C61">
        <w:rPr>
          <w:rFonts w:ascii="Arial" w:hAnsi="Arial" w:cs="Arial"/>
        </w:rPr>
        <w:t>uggestive clinical features (see Appendi</w:t>
      </w:r>
      <w:r w:rsidR="00F438FF" w:rsidRPr="00975C61">
        <w:rPr>
          <w:rFonts w:ascii="Arial" w:hAnsi="Arial" w:cs="Arial"/>
        </w:rPr>
        <w:t>ces</w:t>
      </w:r>
      <w:r w:rsidR="00242D5C" w:rsidRPr="00975C61">
        <w:rPr>
          <w:rFonts w:ascii="Arial" w:hAnsi="Arial" w:cs="Arial"/>
        </w:rPr>
        <w:t xml:space="preserve"> 1 and 2)</w:t>
      </w:r>
      <w:r w:rsidR="00E16546" w:rsidRPr="00975C61">
        <w:rPr>
          <w:rFonts w:ascii="Arial" w:hAnsi="Arial" w:cs="Arial"/>
        </w:rPr>
        <w:t>.</w:t>
      </w:r>
    </w:p>
    <w:p w14:paraId="4D562856" w14:textId="77777777" w:rsidR="00736136" w:rsidRPr="00975C61" w:rsidRDefault="00736136" w:rsidP="00483C9A">
      <w:pPr>
        <w:pStyle w:val="ListParagraph"/>
        <w:ind w:left="794" w:hanging="794"/>
        <w:rPr>
          <w:rFonts w:ascii="Arial" w:hAnsi="Arial" w:cs="Arial"/>
        </w:rPr>
      </w:pPr>
    </w:p>
    <w:p w14:paraId="7D5644B4" w14:textId="02BD2924" w:rsidR="00736136" w:rsidRPr="00975C61" w:rsidRDefault="00483C9A" w:rsidP="00483C9A">
      <w:pPr>
        <w:pStyle w:val="Header"/>
        <w:tabs>
          <w:tab w:val="clear" w:pos="4153"/>
          <w:tab w:val="clear" w:pos="8306"/>
        </w:tabs>
        <w:ind w:left="794" w:hanging="794"/>
        <w:rPr>
          <w:rFonts w:ascii="Arial" w:hAnsi="Arial" w:cs="Arial"/>
        </w:rPr>
      </w:pPr>
      <w:r w:rsidRPr="00975C61">
        <w:rPr>
          <w:rFonts w:ascii="Arial" w:hAnsi="Arial" w:cs="Arial"/>
        </w:rPr>
        <w:t>2.6</w:t>
      </w:r>
      <w:r w:rsidRPr="00975C61">
        <w:rPr>
          <w:rFonts w:ascii="Arial" w:hAnsi="Arial" w:cs="Arial"/>
        </w:rPr>
        <w:tab/>
      </w:r>
      <w:r w:rsidR="00736136" w:rsidRPr="00975C61">
        <w:rPr>
          <w:rFonts w:ascii="Arial" w:hAnsi="Arial" w:cs="Arial"/>
        </w:rPr>
        <w:t xml:space="preserve">For children and young people </w:t>
      </w:r>
      <w:r w:rsidR="00805C4B" w:rsidRPr="00975C61">
        <w:rPr>
          <w:rFonts w:ascii="Arial" w:hAnsi="Arial" w:cs="Arial"/>
        </w:rPr>
        <w:t>(&lt;18 years)</w:t>
      </w:r>
      <w:r w:rsidR="00736136" w:rsidRPr="00975C61">
        <w:rPr>
          <w:rFonts w:ascii="Arial" w:hAnsi="Arial" w:cs="Arial"/>
        </w:rPr>
        <w:t xml:space="preserve">, NICE </w:t>
      </w:r>
      <w:r w:rsidR="005056BA">
        <w:rPr>
          <w:rFonts w:ascii="Arial" w:hAnsi="Arial" w:cs="Arial"/>
        </w:rPr>
        <w:t>(</w:t>
      </w:r>
      <w:r w:rsidR="005056BA" w:rsidRPr="005056BA">
        <w:rPr>
          <w:rFonts w:ascii="Arial" w:hAnsi="Arial" w:cs="Arial"/>
        </w:rPr>
        <w:t>National Institute for Health and Care Excellence</w:t>
      </w:r>
      <w:r w:rsidR="005056BA">
        <w:rPr>
          <w:rFonts w:ascii="Arial" w:hAnsi="Arial" w:cs="Arial"/>
        </w:rPr>
        <w:t xml:space="preserve">) </w:t>
      </w:r>
      <w:r w:rsidR="00736136" w:rsidRPr="00975C61">
        <w:rPr>
          <w:rFonts w:ascii="Arial" w:hAnsi="Arial" w:cs="Arial"/>
        </w:rPr>
        <w:t xml:space="preserve">recommend </w:t>
      </w:r>
      <w:r w:rsidR="00366901" w:rsidRPr="00975C61">
        <w:rPr>
          <w:rFonts w:ascii="Arial" w:hAnsi="Arial" w:cs="Arial"/>
        </w:rPr>
        <w:t xml:space="preserve">further </w:t>
      </w:r>
      <w:r w:rsidR="00805C4B" w:rsidRPr="00975C61">
        <w:rPr>
          <w:rFonts w:ascii="Arial" w:hAnsi="Arial" w:cs="Arial"/>
        </w:rPr>
        <w:t>monitoring</w:t>
      </w:r>
      <w:r w:rsidR="00736136" w:rsidRPr="00975C61">
        <w:rPr>
          <w:rFonts w:ascii="Arial" w:hAnsi="Arial" w:cs="Arial"/>
        </w:rPr>
        <w:t xml:space="preserve"> </w:t>
      </w:r>
      <w:r w:rsidR="00821F13" w:rsidRPr="00975C61">
        <w:rPr>
          <w:rFonts w:ascii="Arial" w:hAnsi="Arial" w:cs="Arial"/>
        </w:rPr>
        <w:t>at</w:t>
      </w:r>
      <w:r w:rsidR="00736136" w:rsidRPr="00975C61">
        <w:rPr>
          <w:rFonts w:ascii="Arial" w:hAnsi="Arial" w:cs="Arial"/>
        </w:rPr>
        <w:t xml:space="preserve"> 24 weeks and </w:t>
      </w:r>
      <w:r w:rsidR="00821F13" w:rsidRPr="00975C61">
        <w:rPr>
          <w:rFonts w:ascii="Arial" w:hAnsi="Arial" w:cs="Arial"/>
        </w:rPr>
        <w:t>6</w:t>
      </w:r>
      <w:r w:rsidR="00242D5C" w:rsidRPr="00975C61">
        <w:rPr>
          <w:rFonts w:ascii="Arial" w:hAnsi="Arial" w:cs="Arial"/>
        </w:rPr>
        <w:t>-</w:t>
      </w:r>
      <w:r w:rsidR="00821F13" w:rsidRPr="00975C61">
        <w:rPr>
          <w:rFonts w:ascii="Arial" w:hAnsi="Arial" w:cs="Arial"/>
        </w:rPr>
        <w:t>monthly</w:t>
      </w:r>
      <w:r w:rsidR="001E4ED2" w:rsidRPr="00975C61">
        <w:rPr>
          <w:rFonts w:ascii="Arial" w:hAnsi="Arial" w:cs="Arial"/>
        </w:rPr>
        <w:t xml:space="preserve"> thereafter. </w:t>
      </w:r>
      <w:r w:rsidR="00805C4B" w:rsidRPr="00975C61">
        <w:rPr>
          <w:rFonts w:ascii="Arial" w:hAnsi="Arial" w:cs="Arial"/>
        </w:rPr>
        <w:t>Consider additional monitoring</w:t>
      </w:r>
      <w:r w:rsidR="006172CF" w:rsidRPr="00975C61">
        <w:rPr>
          <w:rFonts w:ascii="Arial" w:hAnsi="Arial" w:cs="Arial"/>
        </w:rPr>
        <w:t xml:space="preserve"> </w:t>
      </w:r>
      <w:r w:rsidR="00805C4B" w:rsidRPr="00975C61">
        <w:rPr>
          <w:rFonts w:ascii="Arial" w:hAnsi="Arial" w:cs="Arial"/>
        </w:rPr>
        <w:t xml:space="preserve">in </w:t>
      </w:r>
      <w:r w:rsidR="00242D5C" w:rsidRPr="00975C61">
        <w:rPr>
          <w:rFonts w:ascii="Arial" w:hAnsi="Arial" w:cs="Arial"/>
        </w:rPr>
        <w:t>those who may</w:t>
      </w:r>
      <w:r w:rsidR="00805C4B" w:rsidRPr="00975C61">
        <w:rPr>
          <w:rFonts w:ascii="Arial" w:hAnsi="Arial" w:cs="Arial"/>
        </w:rPr>
        <w:t xml:space="preserve"> not yet </w:t>
      </w:r>
      <w:r w:rsidR="00242D5C" w:rsidRPr="00975C61">
        <w:rPr>
          <w:rFonts w:ascii="Arial" w:hAnsi="Arial" w:cs="Arial"/>
        </w:rPr>
        <w:t xml:space="preserve">have </w:t>
      </w:r>
      <w:r w:rsidR="00805C4B" w:rsidRPr="00975C61">
        <w:rPr>
          <w:rFonts w:ascii="Arial" w:hAnsi="Arial" w:cs="Arial"/>
        </w:rPr>
        <w:t>reached peak bone mass</w:t>
      </w:r>
      <w:r w:rsidR="00242D5C" w:rsidRPr="00975C61">
        <w:rPr>
          <w:rFonts w:ascii="Arial" w:hAnsi="Arial" w:cs="Arial"/>
        </w:rPr>
        <w:t xml:space="preserve"> (</w:t>
      </w:r>
      <w:r w:rsidR="00AC0899" w:rsidRPr="00975C61">
        <w:rPr>
          <w:rFonts w:ascii="Arial" w:hAnsi="Arial" w:cs="Arial"/>
        </w:rPr>
        <w:t xml:space="preserve">under </w:t>
      </w:r>
      <w:r w:rsidR="00242D5C" w:rsidRPr="00975C61">
        <w:rPr>
          <w:rFonts w:ascii="Arial" w:hAnsi="Arial" w:cs="Arial"/>
        </w:rPr>
        <w:t>21-24 years) or final height</w:t>
      </w:r>
      <w:r w:rsidR="00805C4B" w:rsidRPr="00975C61">
        <w:rPr>
          <w:rFonts w:ascii="Arial" w:hAnsi="Arial" w:cs="Arial"/>
        </w:rPr>
        <w:t xml:space="preserve"> </w:t>
      </w:r>
      <w:r w:rsidR="00242D5C" w:rsidRPr="00975C61">
        <w:rPr>
          <w:rFonts w:ascii="Arial" w:hAnsi="Arial" w:cs="Arial"/>
        </w:rPr>
        <w:t>(</w:t>
      </w:r>
      <w:r w:rsidR="00AC0899" w:rsidRPr="00975C61">
        <w:rPr>
          <w:rFonts w:ascii="Arial" w:hAnsi="Arial" w:cs="Arial"/>
        </w:rPr>
        <w:t>under 15-19 years).</w:t>
      </w:r>
    </w:p>
    <w:p w14:paraId="7196A8F2" w14:textId="77777777" w:rsidR="00736136" w:rsidRPr="002464EF" w:rsidRDefault="00736136" w:rsidP="00483C9A">
      <w:pPr>
        <w:pStyle w:val="ListParagraph"/>
        <w:ind w:left="794" w:hanging="794"/>
        <w:rPr>
          <w:rFonts w:ascii="Arial" w:hAnsi="Arial" w:cs="Arial"/>
        </w:rPr>
      </w:pPr>
    </w:p>
    <w:p w14:paraId="3BDC39FC" w14:textId="0F1D8ED9" w:rsidR="00736136" w:rsidRPr="002464EF" w:rsidRDefault="00483C9A" w:rsidP="00483C9A">
      <w:pPr>
        <w:pStyle w:val="Header"/>
        <w:tabs>
          <w:tab w:val="clear" w:pos="4153"/>
          <w:tab w:val="clear" w:pos="8306"/>
        </w:tabs>
        <w:ind w:left="794" w:hanging="794"/>
        <w:rPr>
          <w:rFonts w:ascii="Arial" w:hAnsi="Arial" w:cs="Arial"/>
        </w:rPr>
      </w:pPr>
      <w:r>
        <w:rPr>
          <w:rFonts w:ascii="Arial" w:hAnsi="Arial" w:cs="Arial"/>
        </w:rPr>
        <w:t>2.7</w:t>
      </w:r>
      <w:r>
        <w:rPr>
          <w:rFonts w:ascii="Arial" w:hAnsi="Arial" w:cs="Arial"/>
        </w:rPr>
        <w:tab/>
      </w:r>
      <w:r w:rsidR="00736136" w:rsidRPr="002464EF">
        <w:rPr>
          <w:rFonts w:ascii="Arial" w:hAnsi="Arial" w:cs="Arial"/>
        </w:rPr>
        <w:t>There are no specific monitoring requirements for elderly patients. Follow adult recommendations.</w:t>
      </w:r>
    </w:p>
    <w:p w14:paraId="0AA94BF2" w14:textId="77777777" w:rsidR="00BD7FC3" w:rsidRPr="002464EF" w:rsidRDefault="00BD7FC3" w:rsidP="00483C9A">
      <w:pPr>
        <w:pStyle w:val="ListParagraph"/>
        <w:ind w:left="794" w:hanging="794"/>
        <w:rPr>
          <w:rFonts w:ascii="Arial" w:hAnsi="Arial" w:cs="Arial"/>
        </w:rPr>
      </w:pPr>
    </w:p>
    <w:p w14:paraId="1BD33CC3" w14:textId="05BBEEE7" w:rsidR="00BD7FC3" w:rsidRPr="002464EF" w:rsidRDefault="00483C9A" w:rsidP="00483C9A">
      <w:pPr>
        <w:pStyle w:val="Header"/>
        <w:tabs>
          <w:tab w:val="clear" w:pos="4153"/>
          <w:tab w:val="clear" w:pos="8306"/>
        </w:tabs>
        <w:ind w:left="794" w:hanging="794"/>
        <w:rPr>
          <w:rFonts w:ascii="Arial" w:hAnsi="Arial" w:cs="Arial"/>
        </w:rPr>
      </w:pPr>
      <w:r>
        <w:rPr>
          <w:rFonts w:ascii="Arial" w:hAnsi="Arial" w:cs="Arial"/>
        </w:rPr>
        <w:t>2.8</w:t>
      </w:r>
      <w:r>
        <w:rPr>
          <w:rFonts w:ascii="Arial" w:hAnsi="Arial" w:cs="Arial"/>
        </w:rPr>
        <w:tab/>
      </w:r>
      <w:r w:rsidR="00BD7FC3" w:rsidRPr="002464EF">
        <w:rPr>
          <w:rFonts w:ascii="Arial" w:hAnsi="Arial" w:cs="Arial"/>
        </w:rPr>
        <w:t>For patients already established on ant</w:t>
      </w:r>
      <w:r w:rsidR="001E4ED2">
        <w:rPr>
          <w:rFonts w:ascii="Arial" w:hAnsi="Arial" w:cs="Arial"/>
        </w:rPr>
        <w:t>ipsychotic treatment, see s</w:t>
      </w:r>
      <w:r w:rsidR="00B030A4">
        <w:rPr>
          <w:rFonts w:ascii="Arial" w:hAnsi="Arial" w:cs="Arial"/>
        </w:rPr>
        <w:t>ection 4.2</w:t>
      </w:r>
      <w:r w:rsidR="00BD7FC3" w:rsidRPr="002464EF">
        <w:rPr>
          <w:rFonts w:ascii="Arial" w:hAnsi="Arial" w:cs="Arial"/>
        </w:rPr>
        <w:t>.</w:t>
      </w:r>
    </w:p>
    <w:p w14:paraId="11CEC103" w14:textId="77777777" w:rsidR="00EB5D61" w:rsidRPr="002464EF" w:rsidRDefault="00EB5D61" w:rsidP="00483C9A">
      <w:pPr>
        <w:pStyle w:val="ListParagraph"/>
        <w:ind w:left="794" w:hanging="794"/>
        <w:rPr>
          <w:rFonts w:ascii="Arial" w:hAnsi="Arial" w:cs="Arial"/>
        </w:rPr>
      </w:pPr>
    </w:p>
    <w:p w14:paraId="43CF3E19" w14:textId="43E758C3" w:rsidR="00973B28" w:rsidRPr="00975C61" w:rsidRDefault="00483C9A" w:rsidP="00483C9A">
      <w:pPr>
        <w:pStyle w:val="Header"/>
        <w:tabs>
          <w:tab w:val="clear" w:pos="4153"/>
          <w:tab w:val="clear" w:pos="8306"/>
        </w:tabs>
        <w:ind w:left="794" w:hanging="794"/>
        <w:rPr>
          <w:rFonts w:ascii="Arial" w:hAnsi="Arial" w:cs="Arial"/>
        </w:rPr>
      </w:pPr>
      <w:bookmarkStart w:id="1" w:name="Section_2_10"/>
      <w:bookmarkEnd w:id="1"/>
      <w:r>
        <w:rPr>
          <w:rFonts w:ascii="Arial" w:hAnsi="Arial" w:cs="Arial"/>
        </w:rPr>
        <w:t>2.9</w:t>
      </w:r>
      <w:r>
        <w:rPr>
          <w:rFonts w:ascii="Arial" w:hAnsi="Arial" w:cs="Arial"/>
        </w:rPr>
        <w:tab/>
      </w:r>
      <w:r w:rsidR="00EB5D61" w:rsidRPr="002464EF">
        <w:rPr>
          <w:rFonts w:ascii="Arial" w:hAnsi="Arial" w:cs="Arial"/>
        </w:rPr>
        <w:t xml:space="preserve">For asymptomatic patients </w:t>
      </w:r>
      <w:r w:rsidR="00EB5D61" w:rsidRPr="00975C61">
        <w:rPr>
          <w:rFonts w:ascii="Arial" w:hAnsi="Arial" w:cs="Arial"/>
        </w:rPr>
        <w:t xml:space="preserve">prescribed high potency </w:t>
      </w:r>
      <w:r w:rsidR="00794656" w:rsidRPr="00975C61">
        <w:rPr>
          <w:rFonts w:ascii="Arial" w:hAnsi="Arial" w:cs="Arial"/>
        </w:rPr>
        <w:t>D2 receptor</w:t>
      </w:r>
      <w:r w:rsidR="00366901" w:rsidRPr="00975C61">
        <w:rPr>
          <w:rFonts w:ascii="Arial" w:hAnsi="Arial" w:cs="Arial"/>
        </w:rPr>
        <w:t xml:space="preserve"> antagonist antipsychotics (risperidone, </w:t>
      </w:r>
      <w:proofErr w:type="spellStart"/>
      <w:r w:rsidR="00BC3CCF" w:rsidRPr="00975C61">
        <w:rPr>
          <w:rFonts w:ascii="Arial" w:hAnsi="Arial" w:cs="Arial"/>
        </w:rPr>
        <w:t>sulpiride</w:t>
      </w:r>
      <w:proofErr w:type="spellEnd"/>
      <w:r w:rsidR="00BC3CCF" w:rsidRPr="00975C61">
        <w:rPr>
          <w:rFonts w:ascii="Arial" w:hAnsi="Arial" w:cs="Arial"/>
        </w:rPr>
        <w:t xml:space="preserve">, </w:t>
      </w:r>
      <w:r w:rsidR="001E4ED2" w:rsidRPr="00975C61">
        <w:rPr>
          <w:rFonts w:ascii="Arial" w:hAnsi="Arial" w:cs="Arial"/>
        </w:rPr>
        <w:t>amisulpride, paliperidone and first-</w:t>
      </w:r>
      <w:r w:rsidR="00366901" w:rsidRPr="00975C61">
        <w:rPr>
          <w:rFonts w:ascii="Arial" w:hAnsi="Arial" w:cs="Arial"/>
        </w:rPr>
        <w:t>generation antipsychotics</w:t>
      </w:r>
      <w:r w:rsidR="00AE05FF" w:rsidRPr="00975C61">
        <w:rPr>
          <w:rFonts w:ascii="Arial" w:hAnsi="Arial" w:cs="Arial"/>
        </w:rPr>
        <w:t>)</w:t>
      </w:r>
      <w:r w:rsidR="00EB5D61" w:rsidRPr="00975C61">
        <w:rPr>
          <w:rFonts w:ascii="Arial" w:hAnsi="Arial" w:cs="Arial"/>
        </w:rPr>
        <w:t xml:space="preserve">, a </w:t>
      </w:r>
      <w:r w:rsidR="00AC0899" w:rsidRPr="00975C61">
        <w:rPr>
          <w:rFonts w:ascii="Arial" w:hAnsi="Arial" w:cs="Arial"/>
        </w:rPr>
        <w:t xml:space="preserve">particularly </w:t>
      </w:r>
      <w:r w:rsidR="00EB5D61" w:rsidRPr="00975C61">
        <w:rPr>
          <w:rFonts w:ascii="Arial" w:hAnsi="Arial" w:cs="Arial"/>
        </w:rPr>
        <w:t>high level of suspicion</w:t>
      </w:r>
      <w:r w:rsidR="00736136" w:rsidRPr="00975C61">
        <w:rPr>
          <w:rFonts w:ascii="Arial" w:hAnsi="Arial" w:cs="Arial"/>
        </w:rPr>
        <w:t xml:space="preserve"> for hyperprolactinaemi</w:t>
      </w:r>
      <w:r w:rsidR="00AC0899" w:rsidRPr="00975C61">
        <w:rPr>
          <w:rFonts w:ascii="Arial" w:hAnsi="Arial" w:cs="Arial"/>
        </w:rPr>
        <w:t>c hypogonadism</w:t>
      </w:r>
      <w:r w:rsidR="00EB5D61" w:rsidRPr="00975C61">
        <w:rPr>
          <w:rFonts w:ascii="Arial" w:hAnsi="Arial" w:cs="Arial"/>
        </w:rPr>
        <w:t xml:space="preserve"> is recommended.  </w:t>
      </w:r>
    </w:p>
    <w:p w14:paraId="008E0CCB" w14:textId="77777777" w:rsidR="00973B28" w:rsidRPr="00975C61" w:rsidRDefault="00973B28" w:rsidP="00483C9A">
      <w:pPr>
        <w:pStyle w:val="ListParagraph"/>
        <w:ind w:left="794" w:hanging="794"/>
        <w:rPr>
          <w:rFonts w:ascii="Arial" w:hAnsi="Arial" w:cs="Arial"/>
        </w:rPr>
      </w:pPr>
    </w:p>
    <w:p w14:paraId="648D74B3" w14:textId="330CF225" w:rsidR="00FB24CC" w:rsidRPr="00975C61" w:rsidRDefault="00483C9A" w:rsidP="00483C9A">
      <w:pPr>
        <w:pStyle w:val="Header"/>
        <w:tabs>
          <w:tab w:val="clear" w:pos="4153"/>
          <w:tab w:val="clear" w:pos="8306"/>
        </w:tabs>
        <w:ind w:left="794" w:hanging="794"/>
        <w:rPr>
          <w:rFonts w:ascii="Arial" w:hAnsi="Arial" w:cs="Arial"/>
        </w:rPr>
      </w:pPr>
      <w:r w:rsidRPr="00975C61">
        <w:rPr>
          <w:rFonts w:ascii="Arial" w:hAnsi="Arial" w:cs="Arial"/>
        </w:rPr>
        <w:t>2.10</w:t>
      </w:r>
      <w:r w:rsidRPr="00975C61">
        <w:rPr>
          <w:rFonts w:ascii="Arial" w:hAnsi="Arial" w:cs="Arial"/>
        </w:rPr>
        <w:tab/>
      </w:r>
      <w:r w:rsidR="00366901" w:rsidRPr="00975C61">
        <w:rPr>
          <w:rFonts w:ascii="Arial" w:hAnsi="Arial" w:cs="Arial"/>
        </w:rPr>
        <w:t>S</w:t>
      </w:r>
      <w:r w:rsidR="00973B28" w:rsidRPr="00975C61">
        <w:rPr>
          <w:rFonts w:ascii="Arial" w:hAnsi="Arial" w:cs="Arial"/>
        </w:rPr>
        <w:t xml:space="preserve">ome patients may feel uncomfortable discussing sexual </w:t>
      </w:r>
      <w:r w:rsidR="00B030A4" w:rsidRPr="00975C61">
        <w:rPr>
          <w:rFonts w:ascii="Arial" w:hAnsi="Arial" w:cs="Arial"/>
        </w:rPr>
        <w:t xml:space="preserve">side </w:t>
      </w:r>
      <w:r w:rsidR="00973B28" w:rsidRPr="00975C61">
        <w:rPr>
          <w:rFonts w:ascii="Arial" w:hAnsi="Arial" w:cs="Arial"/>
        </w:rPr>
        <w:t>effects</w:t>
      </w:r>
      <w:r w:rsidR="0039679C" w:rsidRPr="00975C61">
        <w:rPr>
          <w:rFonts w:ascii="Arial" w:hAnsi="Arial" w:cs="Arial"/>
        </w:rPr>
        <w:t>, especially amenorrhoea or oligomenorrhoea in women</w:t>
      </w:r>
      <w:r w:rsidR="00B030A4" w:rsidRPr="00975C61">
        <w:rPr>
          <w:rFonts w:ascii="Arial" w:hAnsi="Arial" w:cs="Arial"/>
        </w:rPr>
        <w:t xml:space="preserve">. </w:t>
      </w:r>
      <w:r w:rsidR="00366901" w:rsidRPr="00975C61">
        <w:rPr>
          <w:rFonts w:ascii="Arial" w:hAnsi="Arial" w:cs="Arial"/>
        </w:rPr>
        <w:t>I</w:t>
      </w:r>
      <w:r w:rsidR="00973B28" w:rsidRPr="00975C61">
        <w:rPr>
          <w:rFonts w:ascii="Arial" w:hAnsi="Arial" w:cs="Arial"/>
        </w:rPr>
        <w:t>t is good practice to proactively enquire about such effects in patients prescribed antipsychotics</w:t>
      </w:r>
      <w:r w:rsidR="00596118" w:rsidRPr="00975C61">
        <w:rPr>
          <w:rFonts w:ascii="Arial" w:hAnsi="Arial" w:cs="Arial"/>
        </w:rPr>
        <w:t xml:space="preserve"> (as per Appendi</w:t>
      </w:r>
      <w:r w:rsidR="00F438FF" w:rsidRPr="00975C61">
        <w:rPr>
          <w:rFonts w:ascii="Arial" w:hAnsi="Arial" w:cs="Arial"/>
        </w:rPr>
        <w:t>ces</w:t>
      </w:r>
      <w:r w:rsidR="00596118" w:rsidRPr="00975C61">
        <w:rPr>
          <w:rFonts w:ascii="Arial" w:hAnsi="Arial" w:cs="Arial"/>
        </w:rPr>
        <w:t xml:space="preserve"> 1 and 2)</w:t>
      </w:r>
      <w:r w:rsidR="00975C61">
        <w:rPr>
          <w:rFonts w:ascii="Arial" w:hAnsi="Arial" w:cs="Arial"/>
        </w:rPr>
        <w:t xml:space="preserve">. </w:t>
      </w:r>
      <w:r w:rsidR="00973B28" w:rsidRPr="00975C61">
        <w:rPr>
          <w:rFonts w:ascii="Arial" w:hAnsi="Arial" w:cs="Arial"/>
        </w:rPr>
        <w:t>Failure to do so may have implications for adherence.</w:t>
      </w:r>
      <w:r w:rsidR="00931A10" w:rsidRPr="00975C61">
        <w:rPr>
          <w:rFonts w:ascii="Arial" w:hAnsi="Arial" w:cs="Arial"/>
        </w:rPr>
        <w:t xml:space="preserve">  </w:t>
      </w:r>
    </w:p>
    <w:p w14:paraId="21C2F6A2" w14:textId="77777777" w:rsidR="00FB24CC" w:rsidRPr="007B2AFC" w:rsidRDefault="00FB24CC" w:rsidP="00483C9A">
      <w:pPr>
        <w:pStyle w:val="ListParagraph"/>
        <w:ind w:left="794" w:hanging="794"/>
        <w:rPr>
          <w:rFonts w:ascii="Arial" w:hAnsi="Arial" w:cs="Arial"/>
        </w:rPr>
      </w:pPr>
    </w:p>
    <w:p w14:paraId="73F8B648" w14:textId="1516FA85" w:rsidR="00861A6E" w:rsidRPr="00A20779" w:rsidRDefault="00483C9A" w:rsidP="00A20779">
      <w:pPr>
        <w:pStyle w:val="Header"/>
        <w:tabs>
          <w:tab w:val="clear" w:pos="4153"/>
          <w:tab w:val="clear" w:pos="8306"/>
        </w:tabs>
        <w:ind w:left="794" w:hanging="794"/>
        <w:rPr>
          <w:rFonts w:ascii="Arial" w:hAnsi="Arial" w:cs="Arial"/>
        </w:rPr>
      </w:pPr>
      <w:r w:rsidRPr="007B2AFC">
        <w:rPr>
          <w:rFonts w:ascii="Arial" w:hAnsi="Arial" w:cs="Arial"/>
        </w:rPr>
        <w:t>2.11</w:t>
      </w:r>
      <w:r w:rsidRPr="007B2AFC">
        <w:rPr>
          <w:rFonts w:ascii="Arial" w:hAnsi="Arial" w:cs="Arial"/>
        </w:rPr>
        <w:tab/>
      </w:r>
      <w:r w:rsidR="00FB24CC" w:rsidRPr="007B2AFC">
        <w:rPr>
          <w:rFonts w:ascii="Arial" w:hAnsi="Arial" w:cs="Arial"/>
        </w:rPr>
        <w:t>A</w:t>
      </w:r>
      <w:r w:rsidR="00F04E52" w:rsidRPr="007B2AFC">
        <w:rPr>
          <w:rFonts w:ascii="Arial" w:hAnsi="Arial" w:cs="Arial"/>
        </w:rPr>
        <w:t xml:space="preserve"> validated</w:t>
      </w:r>
      <w:r w:rsidR="00BC1DC1" w:rsidRPr="007B2AFC">
        <w:rPr>
          <w:rFonts w:ascii="Arial" w:hAnsi="Arial" w:cs="Arial"/>
        </w:rPr>
        <w:t xml:space="preserve"> antipsychotic</w:t>
      </w:r>
      <w:r w:rsidR="00931A10" w:rsidRPr="007B2AFC">
        <w:rPr>
          <w:rFonts w:ascii="Arial" w:hAnsi="Arial" w:cs="Arial"/>
        </w:rPr>
        <w:t xml:space="preserve"> side-effect rating scale such as GASS</w:t>
      </w:r>
      <w:r w:rsidR="00B030A4" w:rsidRPr="007B2AFC">
        <w:rPr>
          <w:rFonts w:ascii="Arial" w:hAnsi="Arial" w:cs="Arial"/>
        </w:rPr>
        <w:t xml:space="preserve"> (</w:t>
      </w:r>
      <w:r w:rsidR="00F04E52" w:rsidRPr="007B2AFC">
        <w:rPr>
          <w:rFonts w:ascii="Arial" w:hAnsi="Arial" w:cs="Arial"/>
        </w:rPr>
        <w:t xml:space="preserve">Glasgow </w:t>
      </w:r>
      <w:r w:rsidR="00B030A4" w:rsidRPr="007B2AFC">
        <w:rPr>
          <w:rFonts w:ascii="Arial" w:hAnsi="Arial" w:cs="Arial"/>
        </w:rPr>
        <w:t>Antipsychotic Side-Effect Scale)</w:t>
      </w:r>
      <w:r w:rsidR="00F04E52" w:rsidRPr="007B2AFC">
        <w:rPr>
          <w:rFonts w:ascii="Arial" w:hAnsi="Arial" w:cs="Arial"/>
        </w:rPr>
        <w:t xml:space="preserve"> </w:t>
      </w:r>
      <w:r w:rsidR="009E6430" w:rsidRPr="007B2AFC">
        <w:rPr>
          <w:rFonts w:ascii="Arial" w:hAnsi="Arial" w:cs="Arial"/>
        </w:rPr>
        <w:t xml:space="preserve">or LUNSERS (Liverpool University Neuroleptic Side Effect Rating Scale) </w:t>
      </w:r>
      <w:r w:rsidR="00931A10" w:rsidRPr="007B2AFC">
        <w:rPr>
          <w:rFonts w:ascii="Arial" w:hAnsi="Arial" w:cs="Arial"/>
        </w:rPr>
        <w:t xml:space="preserve">will </w:t>
      </w:r>
      <w:r w:rsidR="00596118" w:rsidRPr="007B2AFC">
        <w:rPr>
          <w:rFonts w:ascii="Arial" w:hAnsi="Arial" w:cs="Arial"/>
        </w:rPr>
        <w:t xml:space="preserve">usually </w:t>
      </w:r>
      <w:r w:rsidR="00931A10" w:rsidRPr="007B2AFC">
        <w:rPr>
          <w:rFonts w:ascii="Arial" w:hAnsi="Arial" w:cs="Arial"/>
        </w:rPr>
        <w:t xml:space="preserve">flag </w:t>
      </w:r>
      <w:r w:rsidR="00B030A4" w:rsidRPr="007B2AFC">
        <w:rPr>
          <w:rFonts w:ascii="Arial" w:hAnsi="Arial" w:cs="Arial"/>
        </w:rPr>
        <w:t>prolactin-mediated side effects and</w:t>
      </w:r>
      <w:r w:rsidR="00FB24CC" w:rsidRPr="007B2AFC">
        <w:rPr>
          <w:rFonts w:ascii="Arial" w:hAnsi="Arial" w:cs="Arial"/>
        </w:rPr>
        <w:t xml:space="preserve"> may be completed in private by patients if preferred.</w:t>
      </w:r>
      <w:r w:rsidR="00BC1DC1" w:rsidRPr="007B2AFC">
        <w:rPr>
          <w:rFonts w:ascii="Arial" w:hAnsi="Arial" w:cs="Arial"/>
        </w:rPr>
        <w:t xml:space="preserve"> </w:t>
      </w:r>
      <w:r w:rsidR="00AF3081" w:rsidRPr="007B2AFC">
        <w:rPr>
          <w:rFonts w:ascii="Arial" w:hAnsi="Arial" w:cs="Arial"/>
        </w:rPr>
        <w:t xml:space="preserve">A paper </w:t>
      </w:r>
      <w:r w:rsidR="00AF3081" w:rsidRPr="007B2AFC">
        <w:rPr>
          <w:rFonts w:ascii="Arial" w:hAnsi="Arial" w:cs="Arial"/>
        </w:rPr>
        <w:lastRenderedPageBreak/>
        <w:t>copy of the</w:t>
      </w:r>
      <w:r w:rsidR="009E6430" w:rsidRPr="007B2AFC">
        <w:rPr>
          <w:rFonts w:ascii="Arial" w:hAnsi="Arial" w:cs="Arial"/>
        </w:rPr>
        <w:t xml:space="preserve"> </w:t>
      </w:r>
      <w:hyperlink r:id="rId13" w:history="1">
        <w:r w:rsidR="009E6430" w:rsidRPr="007B2AFC">
          <w:rPr>
            <w:rStyle w:val="Hyperlink"/>
            <w:rFonts w:ascii="Arial" w:hAnsi="Arial" w:cs="Arial"/>
          </w:rPr>
          <w:t>GASS</w:t>
        </w:r>
        <w:r w:rsidR="00AF3081" w:rsidRPr="007B2AFC">
          <w:rPr>
            <w:rStyle w:val="Hyperlink"/>
            <w:rFonts w:ascii="Arial" w:hAnsi="Arial" w:cs="Arial"/>
          </w:rPr>
          <w:t xml:space="preserve"> questionnaire may be accessed h</w:t>
        </w:r>
        <w:r w:rsidR="00AF3081" w:rsidRPr="007B2AFC">
          <w:rPr>
            <w:rStyle w:val="Hyperlink"/>
            <w:rFonts w:ascii="Arial" w:hAnsi="Arial" w:cs="Arial"/>
          </w:rPr>
          <w:t>e</w:t>
        </w:r>
        <w:r w:rsidR="00AF3081" w:rsidRPr="007B2AFC">
          <w:rPr>
            <w:rStyle w:val="Hyperlink"/>
            <w:rFonts w:ascii="Arial" w:hAnsi="Arial" w:cs="Arial"/>
          </w:rPr>
          <w:t>re</w:t>
        </w:r>
      </w:hyperlink>
      <w:r w:rsidR="00AF3081" w:rsidRPr="002464EF">
        <w:rPr>
          <w:rFonts w:ascii="Arial" w:hAnsi="Arial" w:cs="Arial"/>
        </w:rPr>
        <w:t xml:space="preserve"> using Athens </w:t>
      </w:r>
      <w:r w:rsidR="00AF3081" w:rsidRPr="007B2AFC">
        <w:rPr>
          <w:rFonts w:ascii="Arial" w:hAnsi="Arial" w:cs="Arial"/>
        </w:rPr>
        <w:t xml:space="preserve">credentials. </w:t>
      </w:r>
      <w:r w:rsidR="000E17D5" w:rsidRPr="007B2AFC">
        <w:rPr>
          <w:rFonts w:ascii="Arial" w:hAnsi="Arial" w:cs="Arial"/>
        </w:rPr>
        <w:t xml:space="preserve">Results </w:t>
      </w:r>
      <w:r w:rsidR="00AF3081" w:rsidRPr="007B2AFC">
        <w:rPr>
          <w:rFonts w:ascii="Arial" w:hAnsi="Arial" w:cs="Arial"/>
        </w:rPr>
        <w:t>should</w:t>
      </w:r>
      <w:r w:rsidR="000E17D5" w:rsidRPr="007B2AFC">
        <w:rPr>
          <w:rFonts w:ascii="Arial" w:hAnsi="Arial" w:cs="Arial"/>
        </w:rPr>
        <w:t xml:space="preserve"> be recorded on</w:t>
      </w:r>
      <w:r w:rsidR="00BC1DC1" w:rsidRPr="007B2AFC">
        <w:rPr>
          <w:rFonts w:ascii="Arial" w:hAnsi="Arial" w:cs="Arial"/>
        </w:rPr>
        <w:t xml:space="preserve"> </w:t>
      </w:r>
      <w:proofErr w:type="spellStart"/>
      <w:r w:rsidR="00B030A4" w:rsidRPr="007B2AFC">
        <w:rPr>
          <w:rFonts w:ascii="Arial" w:hAnsi="Arial" w:cs="Arial"/>
        </w:rPr>
        <w:t>RiO</w:t>
      </w:r>
      <w:proofErr w:type="spellEnd"/>
      <w:r w:rsidR="00B030A4" w:rsidRPr="007B2AFC">
        <w:rPr>
          <w:rFonts w:ascii="Arial" w:hAnsi="Arial" w:cs="Arial"/>
        </w:rPr>
        <w:t xml:space="preserve"> in the patient’s electronic</w:t>
      </w:r>
      <w:r w:rsidR="000E17D5" w:rsidRPr="007B2AFC">
        <w:rPr>
          <w:rFonts w:ascii="Arial" w:hAnsi="Arial" w:cs="Arial"/>
        </w:rPr>
        <w:t xml:space="preserve"> record under Navigation&gt;</w:t>
      </w:r>
      <w:r w:rsidR="00706A72" w:rsidRPr="007B2AFC">
        <w:rPr>
          <w:rFonts w:ascii="Arial" w:hAnsi="Arial" w:cs="Arial"/>
        </w:rPr>
        <w:t xml:space="preserve"> </w:t>
      </w:r>
      <w:r w:rsidR="009E6430" w:rsidRPr="007B2AFC">
        <w:rPr>
          <w:rFonts w:ascii="Arial" w:hAnsi="Arial" w:cs="Arial"/>
        </w:rPr>
        <w:t>Medication Related Forms&gt; Antipsychotic Side Effect Rating Scales.</w:t>
      </w:r>
      <w:r w:rsidR="00B030A4" w:rsidRPr="007B2AFC">
        <w:rPr>
          <w:rFonts w:ascii="Arial" w:hAnsi="Arial" w:cs="Arial"/>
        </w:rPr>
        <w:t xml:space="preserve"> </w:t>
      </w:r>
      <w:r w:rsidR="00F04E52" w:rsidRPr="007B2AFC">
        <w:rPr>
          <w:rFonts w:ascii="Arial" w:hAnsi="Arial" w:cs="Arial"/>
        </w:rPr>
        <w:t xml:space="preserve">Completed forms </w:t>
      </w:r>
      <w:r w:rsidR="00C216B5" w:rsidRPr="007B2AFC">
        <w:rPr>
          <w:rFonts w:ascii="Arial" w:hAnsi="Arial" w:cs="Arial"/>
        </w:rPr>
        <w:t>should be brought to the attention of the prescriber for full interpretation.</w:t>
      </w:r>
    </w:p>
    <w:p w14:paraId="2775EF67" w14:textId="77777777" w:rsidR="00861A6E" w:rsidRPr="002464EF" w:rsidRDefault="00861A6E" w:rsidP="002464EF">
      <w:pPr>
        <w:pStyle w:val="ListParagraph"/>
        <w:rPr>
          <w:rFonts w:ascii="Arial" w:hAnsi="Arial" w:cs="Arial"/>
        </w:rPr>
      </w:pPr>
    </w:p>
    <w:p w14:paraId="726E1702" w14:textId="0AD16C6C" w:rsidR="00F953F7" w:rsidRPr="002464EF" w:rsidRDefault="00B030A4" w:rsidP="00B030A4">
      <w:pPr>
        <w:pStyle w:val="Header"/>
        <w:tabs>
          <w:tab w:val="clear" w:pos="4153"/>
          <w:tab w:val="clear" w:pos="8306"/>
        </w:tabs>
        <w:ind w:left="794" w:hanging="794"/>
        <w:rPr>
          <w:rFonts w:ascii="Arial" w:hAnsi="Arial" w:cs="Arial"/>
        </w:rPr>
      </w:pPr>
      <w:bookmarkStart w:id="2" w:name="Section_3"/>
      <w:r>
        <w:rPr>
          <w:rFonts w:ascii="Arial" w:hAnsi="Arial" w:cs="Arial"/>
          <w:b/>
        </w:rPr>
        <w:t>3.</w:t>
      </w:r>
      <w:r>
        <w:rPr>
          <w:rFonts w:ascii="Arial" w:hAnsi="Arial" w:cs="Arial"/>
          <w:b/>
        </w:rPr>
        <w:tab/>
        <w:t>Symptoms of H</w:t>
      </w:r>
      <w:r w:rsidR="005929FF" w:rsidRPr="002464EF">
        <w:rPr>
          <w:rFonts w:ascii="Arial" w:hAnsi="Arial" w:cs="Arial"/>
          <w:b/>
        </w:rPr>
        <w:t>yperprolactinaemia</w:t>
      </w:r>
    </w:p>
    <w:bookmarkEnd w:id="2"/>
    <w:p w14:paraId="31228259" w14:textId="77777777" w:rsidR="009F41B2" w:rsidRPr="002464EF" w:rsidRDefault="009F41B2" w:rsidP="00B030A4">
      <w:pPr>
        <w:pStyle w:val="Header"/>
        <w:tabs>
          <w:tab w:val="left" w:pos="709"/>
        </w:tabs>
        <w:ind w:left="794" w:hanging="794"/>
        <w:rPr>
          <w:rFonts w:ascii="Arial" w:hAnsi="Arial" w:cs="Arial"/>
        </w:rPr>
      </w:pPr>
    </w:p>
    <w:p w14:paraId="13EF6AB3" w14:textId="7B20DDD7" w:rsidR="005F7A79" w:rsidRPr="00975C61" w:rsidRDefault="00B030A4" w:rsidP="00B030A4">
      <w:pPr>
        <w:pStyle w:val="Header"/>
        <w:tabs>
          <w:tab w:val="clear" w:pos="4153"/>
          <w:tab w:val="clear" w:pos="8306"/>
        </w:tabs>
        <w:ind w:left="794" w:hanging="794"/>
        <w:rPr>
          <w:rFonts w:ascii="Arial" w:hAnsi="Arial" w:cs="Arial"/>
        </w:rPr>
      </w:pPr>
      <w:r w:rsidRPr="00B030A4">
        <w:rPr>
          <w:rFonts w:ascii="Arial" w:hAnsi="Arial" w:cs="Arial"/>
        </w:rPr>
        <w:t>3.1</w:t>
      </w:r>
      <w:r>
        <w:rPr>
          <w:rFonts w:ascii="Arial" w:hAnsi="Arial" w:cs="Arial"/>
          <w:color w:val="0070C0"/>
        </w:rPr>
        <w:tab/>
      </w:r>
      <w:r w:rsidR="00146727" w:rsidRPr="00975C61">
        <w:rPr>
          <w:rFonts w:ascii="Arial" w:hAnsi="Arial" w:cs="Arial"/>
        </w:rPr>
        <w:t xml:space="preserve">Clinical features </w:t>
      </w:r>
      <w:r w:rsidR="00596118" w:rsidRPr="00975C61">
        <w:rPr>
          <w:rFonts w:ascii="Arial" w:hAnsi="Arial" w:cs="Arial"/>
        </w:rPr>
        <w:t>(Appendi</w:t>
      </w:r>
      <w:r w:rsidR="00F438FF" w:rsidRPr="00975C61">
        <w:rPr>
          <w:rFonts w:ascii="Arial" w:hAnsi="Arial" w:cs="Arial"/>
        </w:rPr>
        <w:t xml:space="preserve">ces </w:t>
      </w:r>
      <w:r w:rsidRPr="00975C61">
        <w:rPr>
          <w:rFonts w:ascii="Arial" w:hAnsi="Arial" w:cs="Arial"/>
        </w:rPr>
        <w:t>1 and</w:t>
      </w:r>
      <w:r w:rsidR="00596118" w:rsidRPr="00975C61">
        <w:rPr>
          <w:rFonts w:ascii="Arial" w:hAnsi="Arial" w:cs="Arial"/>
        </w:rPr>
        <w:t xml:space="preserve"> 2) </w:t>
      </w:r>
      <w:r w:rsidR="005A17F3" w:rsidRPr="00975C61">
        <w:rPr>
          <w:rFonts w:ascii="Arial" w:hAnsi="Arial" w:cs="Arial"/>
        </w:rPr>
        <w:t xml:space="preserve">are usually </w:t>
      </w:r>
      <w:r w:rsidR="00146727" w:rsidRPr="00975C61">
        <w:rPr>
          <w:rFonts w:ascii="Arial" w:hAnsi="Arial" w:cs="Arial"/>
        </w:rPr>
        <w:t xml:space="preserve">only </w:t>
      </w:r>
      <w:r w:rsidR="005A17F3" w:rsidRPr="00975C61">
        <w:rPr>
          <w:rFonts w:ascii="Arial" w:hAnsi="Arial" w:cs="Arial"/>
        </w:rPr>
        <w:t>observed when prolactin exceed</w:t>
      </w:r>
      <w:r w:rsidR="00D035D6" w:rsidRPr="00975C61">
        <w:rPr>
          <w:rFonts w:ascii="Arial" w:hAnsi="Arial" w:cs="Arial"/>
        </w:rPr>
        <w:t>s</w:t>
      </w:r>
      <w:r w:rsidR="00C41162" w:rsidRPr="00975C61">
        <w:rPr>
          <w:rFonts w:ascii="Arial" w:hAnsi="Arial" w:cs="Arial"/>
        </w:rPr>
        <w:t xml:space="preserve"> </w:t>
      </w:r>
      <w:r w:rsidR="005A17F3" w:rsidRPr="00975C61">
        <w:rPr>
          <w:rFonts w:ascii="Arial" w:hAnsi="Arial" w:cs="Arial"/>
        </w:rPr>
        <w:t>660</w:t>
      </w:r>
      <w:r w:rsidR="00C41162" w:rsidRPr="00975C61">
        <w:rPr>
          <w:rFonts w:ascii="Arial" w:hAnsi="Arial" w:cs="Arial"/>
        </w:rPr>
        <w:t xml:space="preserve"> </w:t>
      </w:r>
      <w:proofErr w:type="spellStart"/>
      <w:r w:rsidR="005A17F3" w:rsidRPr="00975C61">
        <w:rPr>
          <w:rFonts w:ascii="Arial" w:hAnsi="Arial" w:cs="Arial"/>
        </w:rPr>
        <w:t>mIU</w:t>
      </w:r>
      <w:proofErr w:type="spellEnd"/>
      <w:r w:rsidR="005A17F3" w:rsidRPr="00975C61">
        <w:rPr>
          <w:rFonts w:ascii="Arial" w:hAnsi="Arial" w:cs="Arial"/>
        </w:rPr>
        <w:t>/</w:t>
      </w:r>
      <w:r w:rsidR="005056BA" w:rsidRPr="00975C61">
        <w:rPr>
          <w:rFonts w:ascii="Arial" w:hAnsi="Arial" w:cs="Arial"/>
        </w:rPr>
        <w:t>L but</w:t>
      </w:r>
      <w:r w:rsidR="005A17F3" w:rsidRPr="00975C61">
        <w:rPr>
          <w:rFonts w:ascii="Arial" w:hAnsi="Arial" w:cs="Arial"/>
        </w:rPr>
        <w:t xml:space="preserve"> </w:t>
      </w:r>
      <w:r w:rsidR="00596118" w:rsidRPr="00975C61">
        <w:rPr>
          <w:rFonts w:ascii="Arial" w:hAnsi="Arial" w:cs="Arial"/>
        </w:rPr>
        <w:t xml:space="preserve">become much more common </w:t>
      </w:r>
      <w:r w:rsidR="005A17F3" w:rsidRPr="00975C61">
        <w:rPr>
          <w:rFonts w:ascii="Arial" w:hAnsi="Arial" w:cs="Arial"/>
        </w:rPr>
        <w:t xml:space="preserve">with </w:t>
      </w:r>
      <w:r w:rsidR="000D097D" w:rsidRPr="00975C61">
        <w:rPr>
          <w:rFonts w:ascii="Arial" w:hAnsi="Arial" w:cs="Arial"/>
        </w:rPr>
        <w:t xml:space="preserve">a </w:t>
      </w:r>
      <w:r w:rsidR="005A17F3" w:rsidRPr="00975C61">
        <w:rPr>
          <w:rFonts w:ascii="Arial" w:hAnsi="Arial" w:cs="Arial"/>
        </w:rPr>
        <w:t>prolactin</w:t>
      </w:r>
      <w:r w:rsidR="000D097D" w:rsidRPr="00975C61">
        <w:rPr>
          <w:rFonts w:ascii="Arial" w:hAnsi="Arial" w:cs="Arial"/>
        </w:rPr>
        <w:t xml:space="preserve"> level </w:t>
      </w:r>
      <w:r w:rsidR="00596118" w:rsidRPr="00975C61">
        <w:rPr>
          <w:rFonts w:ascii="Arial" w:hAnsi="Arial" w:cs="Arial"/>
        </w:rPr>
        <w:t>above</w:t>
      </w:r>
      <w:r w:rsidR="00C41162" w:rsidRPr="00975C61">
        <w:rPr>
          <w:rFonts w:ascii="Arial" w:hAnsi="Arial" w:cs="Arial"/>
        </w:rPr>
        <w:t xml:space="preserve"> </w:t>
      </w:r>
      <w:r w:rsidR="00596118" w:rsidRPr="00975C61">
        <w:rPr>
          <w:rFonts w:ascii="Arial" w:hAnsi="Arial" w:cs="Arial"/>
        </w:rPr>
        <w:t>2,</w:t>
      </w:r>
      <w:r w:rsidR="0063677E">
        <w:rPr>
          <w:rFonts w:ascii="Arial" w:hAnsi="Arial" w:cs="Arial"/>
        </w:rPr>
        <w:t>000</w:t>
      </w:r>
      <w:r w:rsidR="00C41162" w:rsidRPr="00975C61">
        <w:rPr>
          <w:rFonts w:ascii="Arial" w:hAnsi="Arial" w:cs="Arial"/>
        </w:rPr>
        <w:t xml:space="preserve"> </w:t>
      </w:r>
      <w:proofErr w:type="spellStart"/>
      <w:r w:rsidR="005A17F3" w:rsidRPr="00975C61">
        <w:rPr>
          <w:rFonts w:ascii="Arial" w:hAnsi="Arial" w:cs="Arial"/>
        </w:rPr>
        <w:t>mIU</w:t>
      </w:r>
      <w:proofErr w:type="spellEnd"/>
      <w:r w:rsidR="005A17F3" w:rsidRPr="00975C61">
        <w:rPr>
          <w:rFonts w:ascii="Arial" w:hAnsi="Arial" w:cs="Arial"/>
        </w:rPr>
        <w:t>/L</w:t>
      </w:r>
      <w:r w:rsidRPr="00975C61">
        <w:rPr>
          <w:rFonts w:ascii="Arial" w:hAnsi="Arial" w:cs="Arial"/>
        </w:rPr>
        <w:t>. G</w:t>
      </w:r>
      <w:r w:rsidR="005A17F3" w:rsidRPr="00975C61">
        <w:rPr>
          <w:rFonts w:ascii="Arial" w:hAnsi="Arial" w:cs="Arial"/>
        </w:rPr>
        <w:t xml:space="preserve">alactorrhoea and </w:t>
      </w:r>
      <w:r w:rsidR="00A254CE" w:rsidRPr="00975C61">
        <w:rPr>
          <w:rFonts w:ascii="Arial" w:hAnsi="Arial" w:cs="Arial"/>
        </w:rPr>
        <w:t>amenorrhoea</w:t>
      </w:r>
      <w:r w:rsidR="005A17F3" w:rsidRPr="00975C61">
        <w:rPr>
          <w:rFonts w:ascii="Arial" w:hAnsi="Arial" w:cs="Arial"/>
        </w:rPr>
        <w:t xml:space="preserve"> </w:t>
      </w:r>
      <w:r w:rsidR="00C41162" w:rsidRPr="00975C61">
        <w:rPr>
          <w:rFonts w:ascii="Arial" w:hAnsi="Arial" w:cs="Arial"/>
        </w:rPr>
        <w:t>are</w:t>
      </w:r>
      <w:r w:rsidR="005A17F3" w:rsidRPr="00975C61">
        <w:rPr>
          <w:rFonts w:ascii="Arial" w:hAnsi="Arial" w:cs="Arial"/>
        </w:rPr>
        <w:t xml:space="preserve"> co</w:t>
      </w:r>
      <w:r w:rsidR="0063615D" w:rsidRPr="00975C61">
        <w:rPr>
          <w:rFonts w:ascii="Arial" w:hAnsi="Arial" w:cs="Arial"/>
        </w:rPr>
        <w:t>mmon</w:t>
      </w:r>
      <w:r w:rsidR="00596118" w:rsidRPr="00975C61">
        <w:rPr>
          <w:rFonts w:ascii="Arial" w:hAnsi="Arial" w:cs="Arial"/>
        </w:rPr>
        <w:t xml:space="preserve"> in </w:t>
      </w:r>
      <w:r w:rsidR="00C41162" w:rsidRPr="00975C61">
        <w:rPr>
          <w:rFonts w:ascii="Arial" w:hAnsi="Arial" w:cs="Arial"/>
        </w:rPr>
        <w:t>females</w:t>
      </w:r>
      <w:r w:rsidR="00D035D6" w:rsidRPr="00975C61">
        <w:rPr>
          <w:rFonts w:ascii="Arial" w:hAnsi="Arial" w:cs="Arial"/>
        </w:rPr>
        <w:t>.</w:t>
      </w:r>
      <w:r w:rsidR="009F41B2" w:rsidRPr="00975C61">
        <w:rPr>
          <w:rFonts w:ascii="Arial" w:hAnsi="Arial" w:cs="Arial"/>
        </w:rPr>
        <w:t xml:space="preserve"> </w:t>
      </w:r>
      <w:r w:rsidR="008011C5" w:rsidRPr="00975C61">
        <w:rPr>
          <w:rFonts w:ascii="Arial" w:hAnsi="Arial" w:cs="Arial"/>
        </w:rPr>
        <w:t xml:space="preserve">Symptoms are </w:t>
      </w:r>
      <w:r w:rsidR="005F7A79" w:rsidRPr="00975C61">
        <w:rPr>
          <w:rFonts w:ascii="Arial" w:hAnsi="Arial" w:cs="Arial"/>
        </w:rPr>
        <w:t>normally</w:t>
      </w:r>
      <w:r w:rsidR="008011C5" w:rsidRPr="00975C61">
        <w:rPr>
          <w:rFonts w:ascii="Arial" w:hAnsi="Arial" w:cs="Arial"/>
        </w:rPr>
        <w:t xml:space="preserve"> related to the degree of elevation of prolactin levels</w:t>
      </w:r>
      <w:r w:rsidR="005F7A79" w:rsidRPr="00975C61">
        <w:rPr>
          <w:rFonts w:ascii="Arial" w:hAnsi="Arial" w:cs="Arial"/>
        </w:rPr>
        <w:t xml:space="preserve"> and usually resolve once levels</w:t>
      </w:r>
      <w:r w:rsidR="00494C6E" w:rsidRPr="00975C61">
        <w:rPr>
          <w:rFonts w:ascii="Arial" w:hAnsi="Arial" w:cs="Arial"/>
        </w:rPr>
        <w:t xml:space="preserve"> return to within normal limits</w:t>
      </w:r>
      <w:r w:rsidR="00D035D6" w:rsidRPr="00975C61">
        <w:rPr>
          <w:rFonts w:ascii="Arial" w:hAnsi="Arial" w:cs="Arial"/>
        </w:rPr>
        <w:t>.</w:t>
      </w:r>
    </w:p>
    <w:p w14:paraId="62DD0AC0" w14:textId="77777777" w:rsidR="009F41B2" w:rsidRPr="00975C61" w:rsidRDefault="009F41B2" w:rsidP="002464EF">
      <w:pPr>
        <w:pStyle w:val="Header"/>
        <w:tabs>
          <w:tab w:val="left" w:pos="709"/>
        </w:tabs>
        <w:jc w:val="both"/>
        <w:rPr>
          <w:rFonts w:ascii="Arial" w:hAnsi="Arial" w:cs="Arial"/>
        </w:rPr>
      </w:pPr>
    </w:p>
    <w:p w14:paraId="54F24AA8" w14:textId="77777777" w:rsidR="00CC78A3" w:rsidRPr="00975C61" w:rsidRDefault="005F7A79" w:rsidP="00CF3874">
      <w:pPr>
        <w:pStyle w:val="Header"/>
        <w:numPr>
          <w:ilvl w:val="0"/>
          <w:numId w:val="6"/>
        </w:numPr>
        <w:tabs>
          <w:tab w:val="clear" w:pos="4153"/>
          <w:tab w:val="clear" w:pos="8306"/>
        </w:tabs>
        <w:spacing w:after="120"/>
        <w:ind w:left="1151" w:right="567" w:hanging="357"/>
        <w:rPr>
          <w:rFonts w:ascii="Arial" w:hAnsi="Arial" w:cs="Arial"/>
        </w:rPr>
      </w:pPr>
      <w:r w:rsidRPr="00975C61">
        <w:rPr>
          <w:rFonts w:ascii="Arial" w:hAnsi="Arial" w:cs="Arial"/>
        </w:rPr>
        <w:t>‘Mildly</w:t>
      </w:r>
      <w:r w:rsidR="00563AF0" w:rsidRPr="00975C61">
        <w:rPr>
          <w:rFonts w:ascii="Arial" w:hAnsi="Arial" w:cs="Arial"/>
        </w:rPr>
        <w:t>’</w:t>
      </w:r>
      <w:r w:rsidRPr="00975C61">
        <w:rPr>
          <w:rFonts w:ascii="Arial" w:hAnsi="Arial" w:cs="Arial"/>
        </w:rPr>
        <w:t xml:space="preserve"> elevated</w:t>
      </w:r>
      <w:r w:rsidR="008011C5" w:rsidRPr="00975C61">
        <w:rPr>
          <w:rFonts w:ascii="Arial" w:hAnsi="Arial" w:cs="Arial"/>
        </w:rPr>
        <w:t xml:space="preserve"> </w:t>
      </w:r>
      <w:r w:rsidRPr="00975C61">
        <w:rPr>
          <w:rFonts w:ascii="Arial" w:hAnsi="Arial" w:cs="Arial"/>
        </w:rPr>
        <w:t xml:space="preserve">prolactin levels </w:t>
      </w:r>
      <w:r w:rsidR="00D035D6" w:rsidRPr="00975C61">
        <w:rPr>
          <w:rFonts w:ascii="Arial" w:hAnsi="Arial" w:cs="Arial"/>
        </w:rPr>
        <w:t>(&lt;</w:t>
      </w:r>
      <w:r w:rsidR="008011C5" w:rsidRPr="00975C61">
        <w:rPr>
          <w:rFonts w:ascii="Arial" w:hAnsi="Arial" w:cs="Arial"/>
        </w:rPr>
        <w:t xml:space="preserve">1000 </w:t>
      </w:r>
      <w:proofErr w:type="spellStart"/>
      <w:r w:rsidR="008011C5" w:rsidRPr="00975C61">
        <w:rPr>
          <w:rFonts w:ascii="Arial" w:hAnsi="Arial" w:cs="Arial"/>
        </w:rPr>
        <w:t>mIU</w:t>
      </w:r>
      <w:proofErr w:type="spellEnd"/>
      <w:r w:rsidR="008011C5" w:rsidRPr="00975C61">
        <w:rPr>
          <w:rFonts w:ascii="Arial" w:hAnsi="Arial" w:cs="Arial"/>
        </w:rPr>
        <w:t>/L)</w:t>
      </w:r>
      <w:r w:rsidRPr="00975C61">
        <w:rPr>
          <w:rFonts w:ascii="Arial" w:hAnsi="Arial" w:cs="Arial"/>
        </w:rPr>
        <w:t xml:space="preserve"> are commonly associated with l</w:t>
      </w:r>
      <w:r w:rsidR="00CC78A3" w:rsidRPr="00975C61">
        <w:rPr>
          <w:rFonts w:ascii="Arial" w:hAnsi="Arial" w:cs="Arial"/>
        </w:rPr>
        <w:t>oss of libido</w:t>
      </w:r>
      <w:r w:rsidRPr="00975C61">
        <w:rPr>
          <w:rFonts w:ascii="Arial" w:hAnsi="Arial" w:cs="Arial"/>
        </w:rPr>
        <w:t xml:space="preserve"> and infertility</w:t>
      </w:r>
      <w:r w:rsidR="00D035D6" w:rsidRPr="00975C61">
        <w:rPr>
          <w:rFonts w:ascii="Arial" w:hAnsi="Arial" w:cs="Arial"/>
        </w:rPr>
        <w:t>.</w:t>
      </w:r>
    </w:p>
    <w:p w14:paraId="6E26DFE0" w14:textId="10975695" w:rsidR="005F7A79" w:rsidRPr="00975C61" w:rsidRDefault="008011C5" w:rsidP="00CF3874">
      <w:pPr>
        <w:pStyle w:val="Header"/>
        <w:numPr>
          <w:ilvl w:val="0"/>
          <w:numId w:val="6"/>
        </w:numPr>
        <w:tabs>
          <w:tab w:val="clear" w:pos="4153"/>
          <w:tab w:val="clear" w:pos="8306"/>
        </w:tabs>
        <w:spacing w:after="120"/>
        <w:ind w:left="1151" w:right="567" w:hanging="357"/>
        <w:rPr>
          <w:rFonts w:ascii="Arial" w:hAnsi="Arial" w:cs="Arial"/>
        </w:rPr>
      </w:pPr>
      <w:r w:rsidRPr="00975C61">
        <w:rPr>
          <w:rFonts w:ascii="Arial" w:hAnsi="Arial" w:cs="Arial"/>
        </w:rPr>
        <w:t>‘Moderate</w:t>
      </w:r>
      <w:r w:rsidR="005F7A79" w:rsidRPr="00975C61">
        <w:rPr>
          <w:rFonts w:ascii="Arial" w:hAnsi="Arial" w:cs="Arial"/>
        </w:rPr>
        <w:t>ly</w:t>
      </w:r>
      <w:r w:rsidRPr="00975C61">
        <w:rPr>
          <w:rFonts w:ascii="Arial" w:hAnsi="Arial" w:cs="Arial"/>
        </w:rPr>
        <w:t>’</w:t>
      </w:r>
      <w:r w:rsidR="005F7A79" w:rsidRPr="00975C61">
        <w:rPr>
          <w:rFonts w:ascii="Arial" w:hAnsi="Arial" w:cs="Arial"/>
        </w:rPr>
        <w:t xml:space="preserve"> elevated prolactin levels</w:t>
      </w:r>
      <w:r w:rsidRPr="00975C61">
        <w:rPr>
          <w:rFonts w:ascii="Arial" w:hAnsi="Arial" w:cs="Arial"/>
        </w:rPr>
        <w:t xml:space="preserve"> (</w:t>
      </w:r>
      <w:r w:rsidR="002E7E09" w:rsidRPr="00975C61">
        <w:rPr>
          <w:rFonts w:ascii="Arial" w:hAnsi="Arial" w:cs="Arial"/>
        </w:rPr>
        <w:t xml:space="preserve">&gt; ~ </w:t>
      </w:r>
      <w:r w:rsidRPr="00975C61">
        <w:rPr>
          <w:rFonts w:ascii="Arial" w:hAnsi="Arial" w:cs="Arial"/>
        </w:rPr>
        <w:t xml:space="preserve">1000 – </w:t>
      </w:r>
      <w:r w:rsidR="00BC3CCF" w:rsidRPr="00975C61">
        <w:rPr>
          <w:rFonts w:ascii="Arial" w:hAnsi="Arial" w:cs="Arial"/>
        </w:rPr>
        <w:t>2000</w:t>
      </w:r>
      <w:r w:rsidRPr="00975C61">
        <w:rPr>
          <w:rFonts w:ascii="Arial" w:hAnsi="Arial" w:cs="Arial"/>
        </w:rPr>
        <w:t xml:space="preserve"> </w:t>
      </w:r>
      <w:proofErr w:type="spellStart"/>
      <w:r w:rsidRPr="00975C61">
        <w:rPr>
          <w:rFonts w:ascii="Arial" w:hAnsi="Arial" w:cs="Arial"/>
        </w:rPr>
        <w:t>mIU</w:t>
      </w:r>
      <w:proofErr w:type="spellEnd"/>
      <w:r w:rsidRPr="00975C61">
        <w:rPr>
          <w:rFonts w:ascii="Arial" w:hAnsi="Arial" w:cs="Arial"/>
        </w:rPr>
        <w:t>/L)</w:t>
      </w:r>
      <w:r w:rsidR="005F7A79" w:rsidRPr="00975C61">
        <w:rPr>
          <w:rFonts w:ascii="Arial" w:hAnsi="Arial" w:cs="Arial"/>
        </w:rPr>
        <w:t xml:space="preserve"> are associated with oligomen</w:t>
      </w:r>
      <w:r w:rsidRPr="00975C61">
        <w:rPr>
          <w:rFonts w:ascii="Arial" w:hAnsi="Arial" w:cs="Arial"/>
        </w:rPr>
        <w:t>orr</w:t>
      </w:r>
      <w:r w:rsidR="005F7A79" w:rsidRPr="00975C61">
        <w:rPr>
          <w:rFonts w:ascii="Arial" w:hAnsi="Arial" w:cs="Arial"/>
        </w:rPr>
        <w:t>h</w:t>
      </w:r>
      <w:r w:rsidRPr="00975C61">
        <w:rPr>
          <w:rFonts w:ascii="Arial" w:hAnsi="Arial" w:cs="Arial"/>
        </w:rPr>
        <w:t>oea</w:t>
      </w:r>
      <w:r w:rsidR="00D035D6" w:rsidRPr="00975C61">
        <w:rPr>
          <w:rFonts w:ascii="Arial" w:hAnsi="Arial" w:cs="Arial"/>
        </w:rPr>
        <w:t>.</w:t>
      </w:r>
    </w:p>
    <w:p w14:paraId="64679433" w14:textId="3968B7C2" w:rsidR="008011C5" w:rsidRPr="00975C61" w:rsidRDefault="008011C5" w:rsidP="00CF3874">
      <w:pPr>
        <w:pStyle w:val="Header"/>
        <w:numPr>
          <w:ilvl w:val="0"/>
          <w:numId w:val="6"/>
        </w:numPr>
        <w:tabs>
          <w:tab w:val="clear" w:pos="4153"/>
          <w:tab w:val="clear" w:pos="8306"/>
        </w:tabs>
        <w:spacing w:after="120"/>
        <w:ind w:left="1151" w:right="567" w:hanging="357"/>
        <w:rPr>
          <w:rFonts w:ascii="Arial" w:hAnsi="Arial" w:cs="Arial"/>
        </w:rPr>
      </w:pPr>
      <w:r w:rsidRPr="00975C61">
        <w:rPr>
          <w:rFonts w:ascii="Arial" w:hAnsi="Arial" w:cs="Arial"/>
        </w:rPr>
        <w:t>‘Marked</w:t>
      </w:r>
      <w:r w:rsidR="005F7A79" w:rsidRPr="00975C61">
        <w:rPr>
          <w:rFonts w:ascii="Arial" w:hAnsi="Arial" w:cs="Arial"/>
        </w:rPr>
        <w:t>ly</w:t>
      </w:r>
      <w:r w:rsidRPr="00975C61">
        <w:rPr>
          <w:rFonts w:ascii="Arial" w:hAnsi="Arial" w:cs="Arial"/>
        </w:rPr>
        <w:t>’ elevat</w:t>
      </w:r>
      <w:r w:rsidR="005F7A79" w:rsidRPr="00975C61">
        <w:rPr>
          <w:rFonts w:ascii="Arial" w:hAnsi="Arial" w:cs="Arial"/>
        </w:rPr>
        <w:t>ed prolactin levels</w:t>
      </w:r>
      <w:r w:rsidRPr="00975C61">
        <w:rPr>
          <w:rFonts w:ascii="Arial" w:hAnsi="Arial" w:cs="Arial"/>
        </w:rPr>
        <w:t xml:space="preserve"> (&gt; 2</w:t>
      </w:r>
      <w:r w:rsidR="00BC3CCF" w:rsidRPr="00975C61">
        <w:rPr>
          <w:rFonts w:ascii="Arial" w:hAnsi="Arial" w:cs="Arial"/>
        </w:rPr>
        <w:t>00</w:t>
      </w:r>
      <w:r w:rsidRPr="00975C61">
        <w:rPr>
          <w:rFonts w:ascii="Arial" w:hAnsi="Arial" w:cs="Arial"/>
        </w:rPr>
        <w:t xml:space="preserve">0 </w:t>
      </w:r>
      <w:proofErr w:type="spellStart"/>
      <w:r w:rsidRPr="00975C61">
        <w:rPr>
          <w:rFonts w:ascii="Arial" w:hAnsi="Arial" w:cs="Arial"/>
        </w:rPr>
        <w:t>mIU</w:t>
      </w:r>
      <w:proofErr w:type="spellEnd"/>
      <w:r w:rsidRPr="00975C61">
        <w:rPr>
          <w:rFonts w:ascii="Arial" w:hAnsi="Arial" w:cs="Arial"/>
        </w:rPr>
        <w:t>/L)</w:t>
      </w:r>
      <w:r w:rsidR="005F7A79" w:rsidRPr="00975C61">
        <w:rPr>
          <w:rFonts w:ascii="Arial" w:hAnsi="Arial" w:cs="Arial"/>
        </w:rPr>
        <w:t xml:space="preserve"> are associated with g</w:t>
      </w:r>
      <w:r w:rsidRPr="00975C61">
        <w:rPr>
          <w:rFonts w:ascii="Arial" w:hAnsi="Arial" w:cs="Arial"/>
        </w:rPr>
        <w:t>alactorrhoea</w:t>
      </w:r>
      <w:r w:rsidR="005F7A79" w:rsidRPr="00975C61">
        <w:rPr>
          <w:rFonts w:ascii="Arial" w:hAnsi="Arial" w:cs="Arial"/>
        </w:rPr>
        <w:t>, a</w:t>
      </w:r>
      <w:r w:rsidRPr="00975C61">
        <w:rPr>
          <w:rFonts w:ascii="Arial" w:hAnsi="Arial" w:cs="Arial"/>
        </w:rPr>
        <w:t>menorrhoea</w:t>
      </w:r>
      <w:r w:rsidR="005F7A79" w:rsidRPr="00975C61">
        <w:rPr>
          <w:rFonts w:ascii="Arial" w:hAnsi="Arial" w:cs="Arial"/>
        </w:rPr>
        <w:t xml:space="preserve"> and h</w:t>
      </w:r>
      <w:r w:rsidRPr="00975C61">
        <w:rPr>
          <w:rFonts w:ascii="Arial" w:hAnsi="Arial" w:cs="Arial"/>
        </w:rPr>
        <w:t>ypogonadism</w:t>
      </w:r>
      <w:r w:rsidR="00D035D6" w:rsidRPr="00975C61">
        <w:rPr>
          <w:rFonts w:ascii="Arial" w:hAnsi="Arial" w:cs="Arial"/>
        </w:rPr>
        <w:t>.</w:t>
      </w:r>
    </w:p>
    <w:p w14:paraId="50078224" w14:textId="58E52884" w:rsidR="00C165AC" w:rsidRPr="00975C61" w:rsidRDefault="008011C5" w:rsidP="00CF3874">
      <w:pPr>
        <w:pStyle w:val="Header"/>
        <w:numPr>
          <w:ilvl w:val="0"/>
          <w:numId w:val="6"/>
        </w:numPr>
        <w:tabs>
          <w:tab w:val="clear" w:pos="4153"/>
          <w:tab w:val="clear" w:pos="8306"/>
        </w:tabs>
        <w:ind w:left="1151" w:right="567" w:hanging="357"/>
        <w:rPr>
          <w:rFonts w:ascii="Arial" w:hAnsi="Arial" w:cs="Arial"/>
        </w:rPr>
      </w:pPr>
      <w:r w:rsidRPr="00975C61">
        <w:rPr>
          <w:rFonts w:ascii="Arial" w:hAnsi="Arial" w:cs="Arial"/>
        </w:rPr>
        <w:t>Other symptoms may include breast tenderness, gynaecomastia, er</w:t>
      </w:r>
      <w:r w:rsidR="00D035D6" w:rsidRPr="00975C61">
        <w:rPr>
          <w:rFonts w:ascii="Arial" w:hAnsi="Arial" w:cs="Arial"/>
        </w:rPr>
        <w:t>ectile dysfunction.</w:t>
      </w:r>
    </w:p>
    <w:p w14:paraId="3AEB275E" w14:textId="77777777" w:rsidR="00357F9C" w:rsidRPr="00975C61" w:rsidRDefault="00357F9C" w:rsidP="002464EF">
      <w:pPr>
        <w:pStyle w:val="Header"/>
        <w:tabs>
          <w:tab w:val="left" w:pos="1134"/>
        </w:tabs>
        <w:ind w:right="839"/>
        <w:jc w:val="both"/>
        <w:rPr>
          <w:rFonts w:ascii="Arial" w:hAnsi="Arial" w:cs="Arial"/>
        </w:rPr>
      </w:pPr>
    </w:p>
    <w:p w14:paraId="1D96FA12" w14:textId="7D9C6A01" w:rsidR="00C165AC" w:rsidRPr="00975C61" w:rsidRDefault="00B030A4" w:rsidP="00B030A4">
      <w:pPr>
        <w:ind w:left="794" w:hanging="794"/>
        <w:rPr>
          <w:rFonts w:ascii="Arial" w:hAnsi="Arial" w:cs="Arial"/>
        </w:rPr>
      </w:pPr>
      <w:r w:rsidRPr="00975C61">
        <w:rPr>
          <w:rFonts w:ascii="Arial" w:hAnsi="Arial" w:cs="Arial"/>
        </w:rPr>
        <w:t>3.2</w:t>
      </w:r>
      <w:r w:rsidRPr="00975C61">
        <w:rPr>
          <w:rFonts w:ascii="Arial" w:hAnsi="Arial" w:cs="Arial"/>
        </w:rPr>
        <w:tab/>
      </w:r>
      <w:r w:rsidR="00C165AC" w:rsidRPr="00975C61">
        <w:rPr>
          <w:rFonts w:ascii="Arial" w:hAnsi="Arial" w:cs="Arial"/>
        </w:rPr>
        <w:t>A markedly elevated prolactin level with concomitant visual field disturbances, double vision or persistent headache should</w:t>
      </w:r>
      <w:r w:rsidR="00440215" w:rsidRPr="00975C61">
        <w:rPr>
          <w:rFonts w:ascii="Arial" w:hAnsi="Arial" w:cs="Arial"/>
        </w:rPr>
        <w:t xml:space="preserve"> prompt urgent discussion with E</w:t>
      </w:r>
      <w:r w:rsidR="00C165AC" w:rsidRPr="00975C61">
        <w:rPr>
          <w:rFonts w:ascii="Arial" w:hAnsi="Arial" w:cs="Arial"/>
        </w:rPr>
        <w:t>ndocrinology.</w:t>
      </w:r>
    </w:p>
    <w:p w14:paraId="21125A67" w14:textId="77777777" w:rsidR="00C165AC" w:rsidRDefault="00C165AC" w:rsidP="00B030A4">
      <w:pPr>
        <w:pStyle w:val="Header"/>
        <w:tabs>
          <w:tab w:val="left" w:pos="709"/>
        </w:tabs>
        <w:ind w:left="794" w:hanging="794"/>
        <w:rPr>
          <w:rFonts w:ascii="Arial" w:hAnsi="Arial" w:cs="Arial"/>
        </w:rPr>
      </w:pPr>
    </w:p>
    <w:p w14:paraId="6A520568" w14:textId="7BF86EB4" w:rsidR="00357F9C" w:rsidRPr="00081BC4" w:rsidRDefault="00B030A4" w:rsidP="00CF3874">
      <w:pPr>
        <w:pStyle w:val="Header"/>
        <w:tabs>
          <w:tab w:val="clear" w:pos="4153"/>
          <w:tab w:val="clear" w:pos="8306"/>
        </w:tabs>
        <w:ind w:left="794" w:hanging="794"/>
        <w:rPr>
          <w:rFonts w:ascii="Arial" w:hAnsi="Arial" w:cs="Arial"/>
        </w:rPr>
      </w:pPr>
      <w:r>
        <w:rPr>
          <w:rFonts w:ascii="Arial" w:hAnsi="Arial" w:cs="Arial"/>
        </w:rPr>
        <w:t>3.3</w:t>
      </w:r>
      <w:r>
        <w:rPr>
          <w:rFonts w:ascii="Arial" w:hAnsi="Arial" w:cs="Arial"/>
        </w:rPr>
        <w:tab/>
      </w:r>
      <w:r w:rsidR="00357F9C" w:rsidRPr="002464EF">
        <w:rPr>
          <w:rFonts w:ascii="Arial" w:hAnsi="Arial" w:cs="Arial"/>
        </w:rPr>
        <w:t>It is important to note that</w:t>
      </w:r>
      <w:r w:rsidR="00ED7A0C" w:rsidRPr="002464EF">
        <w:rPr>
          <w:rFonts w:ascii="Arial" w:hAnsi="Arial" w:cs="Arial"/>
        </w:rPr>
        <w:t>, although uncommon,</w:t>
      </w:r>
      <w:r w:rsidR="00357F9C" w:rsidRPr="002464EF">
        <w:rPr>
          <w:rFonts w:ascii="Arial" w:hAnsi="Arial" w:cs="Arial"/>
        </w:rPr>
        <w:t xml:space="preserve"> the signs and symptoms of hyperprolactinaemia are not always correlated with serum levels of prolactin. </w:t>
      </w:r>
      <w:r w:rsidR="00357F9C" w:rsidRPr="00081BC4">
        <w:rPr>
          <w:rFonts w:ascii="Arial" w:hAnsi="Arial" w:cs="Arial"/>
        </w:rPr>
        <w:t>Even mild increases in serum prolactin levels may be associated with severe symptoms and vice versa.</w:t>
      </w:r>
    </w:p>
    <w:p w14:paraId="67A652D3" w14:textId="77777777" w:rsidR="00357F9C" w:rsidRPr="00081BC4" w:rsidRDefault="00357F9C" w:rsidP="00CF3874">
      <w:pPr>
        <w:pStyle w:val="Header"/>
        <w:tabs>
          <w:tab w:val="clear" w:pos="4153"/>
          <w:tab w:val="clear" w:pos="8306"/>
        </w:tabs>
        <w:ind w:left="794" w:hanging="794"/>
        <w:rPr>
          <w:rFonts w:ascii="Arial" w:hAnsi="Arial" w:cs="Arial"/>
        </w:rPr>
      </w:pPr>
    </w:p>
    <w:p w14:paraId="72C46601" w14:textId="12759486" w:rsidR="00357F9C" w:rsidRPr="00975C61" w:rsidRDefault="00B030A4" w:rsidP="00CF3874">
      <w:pPr>
        <w:pStyle w:val="Header"/>
        <w:tabs>
          <w:tab w:val="clear" w:pos="4153"/>
          <w:tab w:val="clear" w:pos="8306"/>
        </w:tabs>
        <w:ind w:left="794" w:hanging="794"/>
        <w:rPr>
          <w:rFonts w:ascii="Arial" w:hAnsi="Arial" w:cs="Arial"/>
        </w:rPr>
      </w:pPr>
      <w:r>
        <w:rPr>
          <w:rFonts w:ascii="Arial" w:hAnsi="Arial" w:cs="Arial"/>
        </w:rPr>
        <w:t>3.4</w:t>
      </w:r>
      <w:r>
        <w:rPr>
          <w:rFonts w:ascii="Arial" w:hAnsi="Arial" w:cs="Arial"/>
        </w:rPr>
        <w:tab/>
      </w:r>
      <w:r w:rsidR="00357F9C" w:rsidRPr="00975C61">
        <w:rPr>
          <w:rFonts w:ascii="Arial" w:hAnsi="Arial" w:cs="Arial"/>
        </w:rPr>
        <w:t xml:space="preserve">While </w:t>
      </w:r>
      <w:r w:rsidR="00146727" w:rsidRPr="00975C61">
        <w:rPr>
          <w:rFonts w:ascii="Arial" w:hAnsi="Arial" w:cs="Arial"/>
        </w:rPr>
        <w:t xml:space="preserve">ongoing </w:t>
      </w:r>
      <w:r w:rsidR="00357F9C" w:rsidRPr="00975C61">
        <w:rPr>
          <w:rFonts w:ascii="Arial" w:hAnsi="Arial" w:cs="Arial"/>
        </w:rPr>
        <w:t>hyperpro</w:t>
      </w:r>
      <w:r w:rsidR="00CF3874" w:rsidRPr="00975C61">
        <w:rPr>
          <w:rFonts w:ascii="Arial" w:hAnsi="Arial" w:cs="Arial"/>
        </w:rPr>
        <w:t>lactinaemia may be asymptomatic</w:t>
      </w:r>
      <w:r w:rsidR="00357F9C" w:rsidRPr="00975C61">
        <w:rPr>
          <w:rFonts w:ascii="Arial" w:hAnsi="Arial" w:cs="Arial"/>
        </w:rPr>
        <w:t xml:space="preserve"> and not subjectively affecting quality of life, </w:t>
      </w:r>
      <w:r w:rsidR="00146727" w:rsidRPr="00975C61">
        <w:rPr>
          <w:rFonts w:ascii="Arial" w:hAnsi="Arial" w:cs="Arial"/>
        </w:rPr>
        <w:t>it</w:t>
      </w:r>
      <w:r w:rsidR="00794656" w:rsidRPr="00975C61">
        <w:rPr>
          <w:rFonts w:ascii="Arial" w:hAnsi="Arial" w:cs="Arial"/>
        </w:rPr>
        <w:t xml:space="preserve"> may</w:t>
      </w:r>
      <w:r w:rsidR="00357F9C" w:rsidRPr="00975C61">
        <w:rPr>
          <w:rFonts w:ascii="Arial" w:hAnsi="Arial" w:cs="Arial"/>
        </w:rPr>
        <w:t xml:space="preserve"> </w:t>
      </w:r>
      <w:r w:rsidR="00146727" w:rsidRPr="00975C61">
        <w:rPr>
          <w:rFonts w:ascii="Arial" w:hAnsi="Arial" w:cs="Arial"/>
        </w:rPr>
        <w:t xml:space="preserve">still </w:t>
      </w:r>
      <w:r w:rsidR="00357F9C" w:rsidRPr="00975C61">
        <w:rPr>
          <w:rFonts w:ascii="Arial" w:hAnsi="Arial" w:cs="Arial"/>
        </w:rPr>
        <w:t xml:space="preserve">lead to longer term health problems and </w:t>
      </w:r>
      <w:r w:rsidR="00146727" w:rsidRPr="00975C61">
        <w:rPr>
          <w:rFonts w:ascii="Arial" w:hAnsi="Arial" w:cs="Arial"/>
        </w:rPr>
        <w:t>may</w:t>
      </w:r>
      <w:r w:rsidR="004825B2" w:rsidRPr="00975C61">
        <w:rPr>
          <w:rFonts w:ascii="Arial" w:hAnsi="Arial" w:cs="Arial"/>
        </w:rPr>
        <w:t xml:space="preserve"> </w:t>
      </w:r>
      <w:r w:rsidR="00357F9C" w:rsidRPr="00975C61">
        <w:rPr>
          <w:rFonts w:ascii="Arial" w:hAnsi="Arial" w:cs="Arial"/>
        </w:rPr>
        <w:t xml:space="preserve">therefore still </w:t>
      </w:r>
      <w:r w:rsidR="00146727" w:rsidRPr="00975C61">
        <w:rPr>
          <w:rFonts w:ascii="Arial" w:hAnsi="Arial" w:cs="Arial"/>
        </w:rPr>
        <w:t xml:space="preserve">be </w:t>
      </w:r>
      <w:r w:rsidR="00357F9C" w:rsidRPr="00975C61">
        <w:rPr>
          <w:rFonts w:ascii="Arial" w:hAnsi="Arial" w:cs="Arial"/>
        </w:rPr>
        <w:t>clinically significant.</w:t>
      </w:r>
      <w:r w:rsidR="00ED7A0C" w:rsidRPr="00975C61">
        <w:rPr>
          <w:rFonts w:ascii="Arial" w:hAnsi="Arial" w:cs="Arial"/>
        </w:rPr>
        <w:t xml:space="preserve"> </w:t>
      </w:r>
    </w:p>
    <w:p w14:paraId="738A3024" w14:textId="77777777" w:rsidR="00644799" w:rsidRPr="00975C61" w:rsidRDefault="00644799" w:rsidP="00B030A4">
      <w:pPr>
        <w:pStyle w:val="Header"/>
        <w:tabs>
          <w:tab w:val="left" w:pos="1134"/>
        </w:tabs>
        <w:ind w:left="794" w:hanging="794"/>
        <w:rPr>
          <w:rFonts w:ascii="Arial" w:hAnsi="Arial" w:cs="Arial"/>
        </w:rPr>
      </w:pPr>
    </w:p>
    <w:p w14:paraId="1765D7FB" w14:textId="052E41E8" w:rsidR="005929FF" w:rsidRPr="00975C61" w:rsidRDefault="00B030A4" w:rsidP="00CF3874">
      <w:pPr>
        <w:pStyle w:val="Header"/>
        <w:tabs>
          <w:tab w:val="clear" w:pos="4153"/>
          <w:tab w:val="clear" w:pos="8306"/>
        </w:tabs>
        <w:ind w:left="794" w:hanging="794"/>
        <w:rPr>
          <w:rFonts w:ascii="Arial" w:hAnsi="Arial" w:cs="Arial"/>
        </w:rPr>
      </w:pPr>
      <w:r w:rsidRPr="00975C61">
        <w:rPr>
          <w:rFonts w:ascii="Arial" w:hAnsi="Arial" w:cs="Arial"/>
        </w:rPr>
        <w:t>3.5</w:t>
      </w:r>
      <w:r w:rsidRPr="00975C61">
        <w:rPr>
          <w:rFonts w:ascii="Arial" w:hAnsi="Arial" w:cs="Arial"/>
        </w:rPr>
        <w:tab/>
      </w:r>
      <w:r w:rsidR="005929FF" w:rsidRPr="00975C61">
        <w:rPr>
          <w:rFonts w:ascii="Arial" w:hAnsi="Arial" w:cs="Arial"/>
        </w:rPr>
        <w:t>Long</w:t>
      </w:r>
      <w:r w:rsidR="00B62C98">
        <w:rPr>
          <w:rFonts w:ascii="Arial" w:hAnsi="Arial" w:cs="Arial"/>
        </w:rPr>
        <w:t>-</w:t>
      </w:r>
      <w:r w:rsidR="005929FF" w:rsidRPr="00975C61">
        <w:rPr>
          <w:rFonts w:ascii="Arial" w:hAnsi="Arial" w:cs="Arial"/>
        </w:rPr>
        <w:t>term effects of hyperprolactinaemi</w:t>
      </w:r>
      <w:r w:rsidR="0047350A" w:rsidRPr="00975C61">
        <w:rPr>
          <w:rFonts w:ascii="Arial" w:hAnsi="Arial" w:cs="Arial"/>
        </w:rPr>
        <w:t>c</w:t>
      </w:r>
      <w:r w:rsidR="009F41B2" w:rsidRPr="00975C61">
        <w:rPr>
          <w:rFonts w:ascii="Arial" w:hAnsi="Arial" w:cs="Arial"/>
        </w:rPr>
        <w:t xml:space="preserve"> </w:t>
      </w:r>
      <w:r w:rsidR="0047350A" w:rsidRPr="00975C61">
        <w:rPr>
          <w:rFonts w:ascii="Arial" w:hAnsi="Arial" w:cs="Arial"/>
        </w:rPr>
        <w:t xml:space="preserve">hypogonadism </w:t>
      </w:r>
      <w:r w:rsidR="00357F9C" w:rsidRPr="00975C61">
        <w:rPr>
          <w:rFonts w:ascii="Arial" w:hAnsi="Arial" w:cs="Arial"/>
        </w:rPr>
        <w:t xml:space="preserve">may </w:t>
      </w:r>
      <w:r w:rsidR="009F41B2" w:rsidRPr="00975C61">
        <w:rPr>
          <w:rFonts w:ascii="Arial" w:hAnsi="Arial" w:cs="Arial"/>
        </w:rPr>
        <w:t>include:</w:t>
      </w:r>
    </w:p>
    <w:p w14:paraId="5CE8014C" w14:textId="77777777" w:rsidR="00B030A4" w:rsidRPr="00975C61" w:rsidRDefault="00B030A4" w:rsidP="00B030A4">
      <w:pPr>
        <w:pStyle w:val="Header"/>
        <w:tabs>
          <w:tab w:val="left" w:pos="720"/>
        </w:tabs>
        <w:ind w:left="794" w:hanging="794"/>
        <w:rPr>
          <w:rFonts w:ascii="Arial" w:hAnsi="Arial" w:cs="Arial"/>
        </w:rPr>
      </w:pPr>
    </w:p>
    <w:p w14:paraId="391B783F" w14:textId="2CD62368" w:rsidR="00CC78A3" w:rsidRPr="00975C61" w:rsidRDefault="00CC78A3" w:rsidP="00CF3874">
      <w:pPr>
        <w:pStyle w:val="Header"/>
        <w:numPr>
          <w:ilvl w:val="0"/>
          <w:numId w:val="8"/>
        </w:numPr>
        <w:tabs>
          <w:tab w:val="clear" w:pos="4153"/>
          <w:tab w:val="clear" w:pos="8306"/>
        </w:tabs>
        <w:spacing w:after="120"/>
        <w:ind w:left="1151" w:right="567" w:hanging="357"/>
        <w:rPr>
          <w:rFonts w:ascii="Arial" w:hAnsi="Arial" w:cs="Arial"/>
        </w:rPr>
      </w:pPr>
      <w:r w:rsidRPr="00975C61">
        <w:rPr>
          <w:rFonts w:ascii="Arial" w:hAnsi="Arial" w:cs="Arial"/>
        </w:rPr>
        <w:t>Persistent sexual dysfunction</w:t>
      </w:r>
      <w:r w:rsidR="00DD7894" w:rsidRPr="00975C61">
        <w:rPr>
          <w:rFonts w:ascii="Arial" w:hAnsi="Arial" w:cs="Arial"/>
        </w:rPr>
        <w:t>,</w:t>
      </w:r>
      <w:r w:rsidR="00922025" w:rsidRPr="00975C61">
        <w:rPr>
          <w:rFonts w:ascii="Arial" w:hAnsi="Arial" w:cs="Arial"/>
        </w:rPr>
        <w:t xml:space="preserve"> infertility</w:t>
      </w:r>
      <w:r w:rsidR="00D36A5A" w:rsidRPr="00975C61">
        <w:rPr>
          <w:rFonts w:ascii="Arial" w:hAnsi="Arial" w:cs="Arial"/>
        </w:rPr>
        <w:t xml:space="preserve"> </w:t>
      </w:r>
      <w:r w:rsidR="00DD7894" w:rsidRPr="00975C61">
        <w:rPr>
          <w:rFonts w:ascii="Arial" w:hAnsi="Arial" w:cs="Arial"/>
        </w:rPr>
        <w:t>and osteoporosis (reduction of bone mineral density relative to duration of hyperprolactinaemia)</w:t>
      </w:r>
      <w:r w:rsidR="0047350A" w:rsidRPr="00975C61">
        <w:rPr>
          <w:rFonts w:ascii="Arial" w:hAnsi="Arial" w:cs="Arial"/>
        </w:rPr>
        <w:t>.</w:t>
      </w:r>
    </w:p>
    <w:p w14:paraId="6DE0EE56" w14:textId="3DA67689" w:rsidR="005929FF" w:rsidRPr="00081BC4" w:rsidRDefault="00DD7894" w:rsidP="00CF3874">
      <w:pPr>
        <w:pStyle w:val="Header"/>
        <w:numPr>
          <w:ilvl w:val="0"/>
          <w:numId w:val="8"/>
        </w:numPr>
        <w:tabs>
          <w:tab w:val="clear" w:pos="4153"/>
          <w:tab w:val="clear" w:pos="8306"/>
        </w:tabs>
        <w:ind w:left="1151" w:right="567" w:hanging="357"/>
        <w:rPr>
          <w:rFonts w:ascii="Arial" w:hAnsi="Arial" w:cs="Arial"/>
        </w:rPr>
      </w:pPr>
      <w:r w:rsidRPr="00975C61">
        <w:rPr>
          <w:rFonts w:ascii="Arial" w:hAnsi="Arial" w:cs="Arial"/>
        </w:rPr>
        <w:t>In children and young adults who have not yet achi</w:t>
      </w:r>
      <w:r w:rsidR="00CF3874" w:rsidRPr="00975C61">
        <w:rPr>
          <w:rFonts w:ascii="Arial" w:hAnsi="Arial" w:cs="Arial"/>
        </w:rPr>
        <w:t>eved final height (16-19 years)</w:t>
      </w:r>
      <w:r w:rsidRPr="00975C61">
        <w:rPr>
          <w:rFonts w:ascii="Arial" w:hAnsi="Arial" w:cs="Arial"/>
        </w:rPr>
        <w:t xml:space="preserve"> or peak bone mass (22-25 years), hyperprolactinaemic hypogonadism can impair growth and/or bone density accrual</w:t>
      </w:r>
      <w:r w:rsidR="00CF3874" w:rsidRPr="00975C61">
        <w:rPr>
          <w:rFonts w:ascii="Arial" w:hAnsi="Arial" w:cs="Arial"/>
        </w:rPr>
        <w:t>. P</w:t>
      </w:r>
      <w:r w:rsidR="00445E11" w:rsidRPr="00975C61">
        <w:rPr>
          <w:rFonts w:ascii="Arial" w:hAnsi="Arial" w:cs="Arial"/>
        </w:rPr>
        <w:t>rolonged hyperprolactinaemia is</w:t>
      </w:r>
      <w:r w:rsidR="00CF3874" w:rsidRPr="00975C61">
        <w:rPr>
          <w:rFonts w:ascii="Arial" w:hAnsi="Arial" w:cs="Arial"/>
        </w:rPr>
        <w:t xml:space="preserve"> therefore</w:t>
      </w:r>
      <w:r w:rsidR="00445E11" w:rsidRPr="00975C61">
        <w:rPr>
          <w:rFonts w:ascii="Arial" w:hAnsi="Arial" w:cs="Arial"/>
        </w:rPr>
        <w:t xml:space="preserve"> </w:t>
      </w:r>
      <w:r w:rsidR="00445E11" w:rsidRPr="00081BC4">
        <w:rPr>
          <w:rFonts w:ascii="Arial" w:hAnsi="Arial" w:cs="Arial"/>
        </w:rPr>
        <w:t xml:space="preserve">of particular concern in </w:t>
      </w:r>
      <w:r w:rsidR="00357F9C" w:rsidRPr="00081BC4">
        <w:rPr>
          <w:rFonts w:ascii="Arial" w:hAnsi="Arial" w:cs="Arial"/>
        </w:rPr>
        <w:t xml:space="preserve">those </w:t>
      </w:r>
      <w:r w:rsidR="00445E11" w:rsidRPr="00081BC4">
        <w:rPr>
          <w:rFonts w:ascii="Arial" w:hAnsi="Arial" w:cs="Arial"/>
        </w:rPr>
        <w:t>and should be avoided where possible.</w:t>
      </w:r>
    </w:p>
    <w:p w14:paraId="43386888" w14:textId="0ECC8B55" w:rsidR="00C35231" w:rsidRPr="00081BC4" w:rsidRDefault="00C35231" w:rsidP="002464EF">
      <w:pPr>
        <w:pStyle w:val="Header"/>
        <w:tabs>
          <w:tab w:val="left" w:pos="1134"/>
        </w:tabs>
        <w:ind w:right="839"/>
        <w:jc w:val="both"/>
        <w:rPr>
          <w:rFonts w:ascii="Arial" w:hAnsi="Arial" w:cs="Arial"/>
        </w:rPr>
      </w:pPr>
    </w:p>
    <w:p w14:paraId="2DD37BB9" w14:textId="19DCA71E" w:rsidR="008E0840" w:rsidRPr="00975C61" w:rsidRDefault="00B030A4" w:rsidP="00CF3874">
      <w:pPr>
        <w:pStyle w:val="Header"/>
        <w:tabs>
          <w:tab w:val="left" w:pos="1134"/>
        </w:tabs>
        <w:ind w:left="794" w:hanging="794"/>
        <w:rPr>
          <w:rFonts w:ascii="Arial" w:hAnsi="Arial" w:cs="Arial"/>
        </w:rPr>
      </w:pPr>
      <w:r w:rsidRPr="00975C61">
        <w:rPr>
          <w:rFonts w:ascii="Arial" w:hAnsi="Arial" w:cs="Arial"/>
        </w:rPr>
        <w:lastRenderedPageBreak/>
        <w:t>3.</w:t>
      </w:r>
      <w:r w:rsidR="00DA0983">
        <w:rPr>
          <w:rFonts w:ascii="Arial" w:hAnsi="Arial" w:cs="Arial"/>
        </w:rPr>
        <w:t>6</w:t>
      </w:r>
      <w:r w:rsidR="00CF3874">
        <w:rPr>
          <w:rFonts w:ascii="Arial" w:hAnsi="Arial" w:cs="Arial"/>
        </w:rPr>
        <w:tab/>
      </w:r>
      <w:r w:rsidR="002C3BD5" w:rsidRPr="002464EF">
        <w:rPr>
          <w:rFonts w:ascii="Arial" w:hAnsi="Arial" w:cs="Arial"/>
        </w:rPr>
        <w:t xml:space="preserve">Some patients may be </w:t>
      </w:r>
      <w:r w:rsidR="00227372" w:rsidRPr="002464EF">
        <w:rPr>
          <w:rFonts w:ascii="Arial" w:hAnsi="Arial" w:cs="Arial"/>
        </w:rPr>
        <w:t>symptomatic but</w:t>
      </w:r>
      <w:r w:rsidR="002C3BD5" w:rsidRPr="002464EF">
        <w:rPr>
          <w:rFonts w:ascii="Arial" w:hAnsi="Arial" w:cs="Arial"/>
        </w:rPr>
        <w:t xml:space="preserve"> not attribute it to medication (e</w:t>
      </w:r>
      <w:r w:rsidR="00CF3874">
        <w:rPr>
          <w:rFonts w:ascii="Arial" w:hAnsi="Arial" w:cs="Arial"/>
        </w:rPr>
        <w:t>.</w:t>
      </w:r>
      <w:r w:rsidR="002C3BD5" w:rsidRPr="002464EF">
        <w:rPr>
          <w:rFonts w:ascii="Arial" w:hAnsi="Arial" w:cs="Arial"/>
        </w:rPr>
        <w:t>g</w:t>
      </w:r>
      <w:r w:rsidR="00CF3874">
        <w:rPr>
          <w:rFonts w:ascii="Arial" w:hAnsi="Arial" w:cs="Arial"/>
        </w:rPr>
        <w:t>.</w:t>
      </w:r>
      <w:r w:rsidR="002C3BD5" w:rsidRPr="002464EF">
        <w:rPr>
          <w:rFonts w:ascii="Arial" w:hAnsi="Arial" w:cs="Arial"/>
        </w:rPr>
        <w:t xml:space="preserve"> </w:t>
      </w:r>
      <w:r w:rsidR="002C3BD5" w:rsidRPr="00975C61">
        <w:rPr>
          <w:rFonts w:ascii="Arial" w:hAnsi="Arial" w:cs="Arial"/>
        </w:rPr>
        <w:t>subtle changes to the menstrual cycle</w:t>
      </w:r>
      <w:r w:rsidR="00580F8E" w:rsidRPr="00975C61">
        <w:rPr>
          <w:rFonts w:ascii="Arial" w:hAnsi="Arial" w:cs="Arial"/>
        </w:rPr>
        <w:t xml:space="preserve"> in females</w:t>
      </w:r>
      <w:r w:rsidR="002C3BD5" w:rsidRPr="00975C61">
        <w:rPr>
          <w:rFonts w:ascii="Arial" w:hAnsi="Arial" w:cs="Arial"/>
        </w:rPr>
        <w:t xml:space="preserve"> may be attributed to stress</w:t>
      </w:r>
      <w:r w:rsidR="00DD7894" w:rsidRPr="00975C61">
        <w:rPr>
          <w:rFonts w:ascii="Arial" w:hAnsi="Arial" w:cs="Arial"/>
        </w:rPr>
        <w:t xml:space="preserve"> or progestogenic contraceptives</w:t>
      </w:r>
      <w:r w:rsidR="00580F8E" w:rsidRPr="00975C61">
        <w:rPr>
          <w:rFonts w:ascii="Arial" w:hAnsi="Arial" w:cs="Arial"/>
        </w:rPr>
        <w:t>, while symptoms of anaemia in males may be attributed to poor nutrition</w:t>
      </w:r>
      <w:r w:rsidR="00CF3874" w:rsidRPr="00975C61">
        <w:rPr>
          <w:rFonts w:ascii="Arial" w:hAnsi="Arial" w:cs="Arial"/>
        </w:rPr>
        <w:t xml:space="preserve">). </w:t>
      </w:r>
      <w:r w:rsidR="002C3BD5" w:rsidRPr="00975C61">
        <w:rPr>
          <w:rFonts w:ascii="Arial" w:hAnsi="Arial" w:cs="Arial"/>
        </w:rPr>
        <w:t>It is therefore important to actively enquire about s</w:t>
      </w:r>
      <w:r w:rsidR="007077E8" w:rsidRPr="00975C61">
        <w:rPr>
          <w:rFonts w:ascii="Arial" w:hAnsi="Arial" w:cs="Arial"/>
        </w:rPr>
        <w:t>uspicious features (</w:t>
      </w:r>
      <w:r w:rsidR="00227372">
        <w:rPr>
          <w:rFonts w:ascii="Arial" w:hAnsi="Arial" w:cs="Arial"/>
        </w:rPr>
        <w:t xml:space="preserve">see </w:t>
      </w:r>
      <w:r w:rsidR="007077E8" w:rsidRPr="00975C61">
        <w:rPr>
          <w:rFonts w:ascii="Arial" w:hAnsi="Arial" w:cs="Arial"/>
        </w:rPr>
        <w:t>Appendi</w:t>
      </w:r>
      <w:r w:rsidR="00F438FF" w:rsidRPr="00975C61">
        <w:rPr>
          <w:rFonts w:ascii="Arial" w:hAnsi="Arial" w:cs="Arial"/>
        </w:rPr>
        <w:t>ces</w:t>
      </w:r>
      <w:r w:rsidR="007077E8" w:rsidRPr="00975C61">
        <w:rPr>
          <w:rFonts w:ascii="Arial" w:hAnsi="Arial" w:cs="Arial"/>
        </w:rPr>
        <w:t xml:space="preserve"> 1 and 2) at annual review,</w:t>
      </w:r>
      <w:r w:rsidR="002C3BD5" w:rsidRPr="00975C61">
        <w:rPr>
          <w:rFonts w:ascii="Arial" w:hAnsi="Arial" w:cs="Arial"/>
        </w:rPr>
        <w:t xml:space="preserve"> rather than waiting for the patient to report them</w:t>
      </w:r>
      <w:r w:rsidR="00580F8E" w:rsidRPr="00975C61">
        <w:rPr>
          <w:rFonts w:ascii="Arial" w:hAnsi="Arial" w:cs="Arial"/>
        </w:rPr>
        <w:t xml:space="preserve"> and to ensure that anaemia uncovered via routine </w:t>
      </w:r>
      <w:r w:rsidR="00CF3874" w:rsidRPr="00975C61">
        <w:rPr>
          <w:rFonts w:ascii="Arial" w:hAnsi="Arial" w:cs="Arial"/>
        </w:rPr>
        <w:t>full blood count (</w:t>
      </w:r>
      <w:r w:rsidR="00580F8E" w:rsidRPr="00975C61">
        <w:rPr>
          <w:rFonts w:ascii="Arial" w:hAnsi="Arial" w:cs="Arial"/>
        </w:rPr>
        <w:t>FBC</w:t>
      </w:r>
      <w:r w:rsidR="00CF3874" w:rsidRPr="00975C61">
        <w:rPr>
          <w:rFonts w:ascii="Arial" w:hAnsi="Arial" w:cs="Arial"/>
        </w:rPr>
        <w:t>)</w:t>
      </w:r>
      <w:r w:rsidR="00580F8E" w:rsidRPr="00975C61">
        <w:rPr>
          <w:rFonts w:ascii="Arial" w:hAnsi="Arial" w:cs="Arial"/>
        </w:rPr>
        <w:t xml:space="preserve"> monitoring in males prompts </w:t>
      </w:r>
      <w:r w:rsidR="007077E8" w:rsidRPr="00975C61">
        <w:rPr>
          <w:rFonts w:ascii="Arial" w:hAnsi="Arial" w:cs="Arial"/>
        </w:rPr>
        <w:t>screening blood tests (</w:t>
      </w:r>
      <w:r w:rsidR="00227372">
        <w:rPr>
          <w:rFonts w:ascii="Arial" w:hAnsi="Arial" w:cs="Arial"/>
        </w:rPr>
        <w:t xml:space="preserve">see </w:t>
      </w:r>
      <w:r w:rsidR="007077E8" w:rsidRPr="00975C61">
        <w:rPr>
          <w:rFonts w:ascii="Arial" w:hAnsi="Arial" w:cs="Arial"/>
        </w:rPr>
        <w:t>Appendi</w:t>
      </w:r>
      <w:r w:rsidR="002731C4" w:rsidRPr="00975C61">
        <w:rPr>
          <w:rFonts w:ascii="Arial" w:hAnsi="Arial" w:cs="Arial"/>
        </w:rPr>
        <w:t>x</w:t>
      </w:r>
      <w:r w:rsidR="007077E8" w:rsidRPr="00975C61">
        <w:rPr>
          <w:rFonts w:ascii="Arial" w:hAnsi="Arial" w:cs="Arial"/>
        </w:rPr>
        <w:t xml:space="preserve"> 1)</w:t>
      </w:r>
      <w:r w:rsidR="008E0840" w:rsidRPr="00975C61">
        <w:rPr>
          <w:rFonts w:ascii="Arial" w:hAnsi="Arial" w:cs="Arial"/>
        </w:rPr>
        <w:t>.</w:t>
      </w:r>
    </w:p>
    <w:p w14:paraId="03BCC3A4" w14:textId="49C7E300" w:rsidR="001E6A96" w:rsidRPr="002464EF" w:rsidRDefault="001E6A96" w:rsidP="002464EF">
      <w:pPr>
        <w:pStyle w:val="Header"/>
        <w:tabs>
          <w:tab w:val="left" w:pos="1134"/>
        </w:tabs>
        <w:ind w:right="839"/>
        <w:jc w:val="both"/>
        <w:rPr>
          <w:rFonts w:ascii="Arial" w:hAnsi="Arial" w:cs="Arial"/>
          <w:color w:val="4472C4"/>
        </w:rPr>
      </w:pPr>
    </w:p>
    <w:p w14:paraId="22FA8EE3" w14:textId="138E6D3A" w:rsidR="006B1D4A" w:rsidRPr="002464EF" w:rsidRDefault="00476C23" w:rsidP="00476C23">
      <w:pPr>
        <w:ind w:left="794" w:hanging="794"/>
        <w:rPr>
          <w:rFonts w:ascii="Arial" w:hAnsi="Arial" w:cs="Arial"/>
          <w:b/>
        </w:rPr>
      </w:pPr>
      <w:r>
        <w:rPr>
          <w:rFonts w:ascii="Arial" w:hAnsi="Arial" w:cs="Arial"/>
          <w:b/>
        </w:rPr>
        <w:t>4.</w:t>
      </w:r>
      <w:r>
        <w:rPr>
          <w:rFonts w:ascii="Arial" w:hAnsi="Arial" w:cs="Arial"/>
          <w:b/>
        </w:rPr>
        <w:tab/>
      </w:r>
      <w:r w:rsidR="00CF7907" w:rsidRPr="002464EF">
        <w:rPr>
          <w:rFonts w:ascii="Arial" w:hAnsi="Arial" w:cs="Arial"/>
          <w:b/>
        </w:rPr>
        <w:t>Pharmacological</w:t>
      </w:r>
      <w:r>
        <w:rPr>
          <w:rFonts w:ascii="Arial" w:hAnsi="Arial" w:cs="Arial"/>
          <w:b/>
        </w:rPr>
        <w:t xml:space="preserve"> Management of H</w:t>
      </w:r>
      <w:r w:rsidR="004D4B95" w:rsidRPr="002464EF">
        <w:rPr>
          <w:rFonts w:ascii="Arial" w:hAnsi="Arial" w:cs="Arial"/>
          <w:b/>
        </w:rPr>
        <w:t>yperprolactinaemia</w:t>
      </w:r>
    </w:p>
    <w:p w14:paraId="01486852" w14:textId="77777777" w:rsidR="006B1D4A" w:rsidRPr="002464EF" w:rsidRDefault="006B1D4A" w:rsidP="00476C23">
      <w:pPr>
        <w:ind w:left="794" w:hanging="794"/>
        <w:rPr>
          <w:rFonts w:ascii="Arial" w:hAnsi="Arial" w:cs="Arial"/>
          <w:b/>
        </w:rPr>
      </w:pPr>
    </w:p>
    <w:p w14:paraId="5BBB3909" w14:textId="109F0C6E" w:rsidR="002731C4" w:rsidRPr="002464EF" w:rsidRDefault="00476C23" w:rsidP="00476C23">
      <w:pPr>
        <w:ind w:left="794" w:hanging="794"/>
        <w:rPr>
          <w:rFonts w:ascii="Arial" w:hAnsi="Arial" w:cs="Arial"/>
          <w:b/>
        </w:rPr>
      </w:pPr>
      <w:r>
        <w:rPr>
          <w:rFonts w:ascii="Arial" w:hAnsi="Arial" w:cs="Arial"/>
        </w:rPr>
        <w:t>4.1</w:t>
      </w:r>
      <w:r>
        <w:rPr>
          <w:rFonts w:ascii="Arial" w:hAnsi="Arial" w:cs="Arial"/>
        </w:rPr>
        <w:tab/>
      </w:r>
      <w:r w:rsidR="001578A3" w:rsidRPr="002731C4">
        <w:rPr>
          <w:rFonts w:ascii="Arial" w:hAnsi="Arial" w:cs="Arial"/>
        </w:rPr>
        <w:t>Where physical factors</w:t>
      </w:r>
      <w:r w:rsidR="00CF7907" w:rsidRPr="002731C4">
        <w:rPr>
          <w:rFonts w:ascii="Arial" w:hAnsi="Arial" w:cs="Arial"/>
        </w:rPr>
        <w:t xml:space="preserve"> contributing to hyp</w:t>
      </w:r>
      <w:r w:rsidR="00DE716C" w:rsidRPr="002731C4">
        <w:rPr>
          <w:rFonts w:ascii="Arial" w:hAnsi="Arial" w:cs="Arial"/>
        </w:rPr>
        <w:t>erprolactinaemia (</w:t>
      </w:r>
      <w:r>
        <w:rPr>
          <w:rFonts w:ascii="Arial" w:hAnsi="Arial" w:cs="Arial"/>
        </w:rPr>
        <w:t xml:space="preserve">see </w:t>
      </w:r>
      <w:r w:rsidR="002731C4" w:rsidRPr="002731C4">
        <w:rPr>
          <w:rFonts w:ascii="Arial" w:hAnsi="Arial" w:cs="Arial"/>
        </w:rPr>
        <w:t>s</w:t>
      </w:r>
      <w:r w:rsidR="00DE716C" w:rsidRPr="002731C4">
        <w:rPr>
          <w:rFonts w:ascii="Arial" w:hAnsi="Arial" w:cs="Arial"/>
        </w:rPr>
        <w:t>ection 1</w:t>
      </w:r>
      <w:r w:rsidR="00CF7907" w:rsidRPr="002731C4">
        <w:rPr>
          <w:rFonts w:ascii="Arial" w:hAnsi="Arial" w:cs="Arial"/>
        </w:rPr>
        <w:t>) have been excluded</w:t>
      </w:r>
      <w:r w:rsidR="00067D1A" w:rsidRPr="002731C4">
        <w:rPr>
          <w:rFonts w:ascii="Arial" w:hAnsi="Arial" w:cs="Arial"/>
        </w:rPr>
        <w:t>,</w:t>
      </w:r>
      <w:r w:rsidR="00CF7907" w:rsidRPr="002731C4">
        <w:rPr>
          <w:rFonts w:ascii="Arial" w:hAnsi="Arial" w:cs="Arial"/>
        </w:rPr>
        <w:t xml:space="preserve"> pharmacological</w:t>
      </w:r>
      <w:r w:rsidR="001578A3" w:rsidRPr="002731C4">
        <w:rPr>
          <w:rFonts w:ascii="Arial" w:hAnsi="Arial" w:cs="Arial"/>
        </w:rPr>
        <w:t xml:space="preserve"> int</w:t>
      </w:r>
      <w:r w:rsidR="00494C6E" w:rsidRPr="002731C4">
        <w:rPr>
          <w:rFonts w:ascii="Arial" w:hAnsi="Arial" w:cs="Arial"/>
        </w:rPr>
        <w:t xml:space="preserve">erventions </w:t>
      </w:r>
      <w:r w:rsidR="00CF7907" w:rsidRPr="002731C4">
        <w:rPr>
          <w:rFonts w:ascii="Arial" w:hAnsi="Arial" w:cs="Arial"/>
        </w:rPr>
        <w:t>may</w:t>
      </w:r>
      <w:r w:rsidR="00494C6E" w:rsidRPr="002731C4">
        <w:rPr>
          <w:rFonts w:ascii="Arial" w:hAnsi="Arial" w:cs="Arial"/>
        </w:rPr>
        <w:t xml:space="preserve"> be considered</w:t>
      </w:r>
      <w:r w:rsidR="00447CA8" w:rsidRPr="002731C4">
        <w:rPr>
          <w:rFonts w:ascii="Arial" w:hAnsi="Arial" w:cs="Arial"/>
        </w:rPr>
        <w:t>.</w:t>
      </w:r>
      <w:r w:rsidR="006B1D4A" w:rsidRPr="002731C4">
        <w:rPr>
          <w:rFonts w:ascii="Arial" w:hAnsi="Arial" w:cs="Arial"/>
          <w:b/>
        </w:rPr>
        <w:t xml:space="preserve">  </w:t>
      </w:r>
    </w:p>
    <w:p w14:paraId="35C5459D" w14:textId="77777777" w:rsidR="006B1D4A" w:rsidRPr="002731C4" w:rsidRDefault="006B1D4A" w:rsidP="00476C23">
      <w:pPr>
        <w:ind w:left="794" w:hanging="794"/>
        <w:rPr>
          <w:rFonts w:ascii="Arial" w:hAnsi="Arial" w:cs="Arial"/>
          <w:b/>
        </w:rPr>
      </w:pPr>
    </w:p>
    <w:p w14:paraId="01E425A5" w14:textId="05789462" w:rsidR="001E6A96" w:rsidRPr="007B2AFC" w:rsidRDefault="00476C23" w:rsidP="00476C23">
      <w:pPr>
        <w:ind w:left="794" w:hanging="794"/>
        <w:rPr>
          <w:rFonts w:ascii="Arial" w:hAnsi="Arial" w:cs="Arial"/>
          <w:b/>
        </w:rPr>
      </w:pPr>
      <w:r>
        <w:rPr>
          <w:rFonts w:ascii="Arial" w:hAnsi="Arial" w:cs="Arial"/>
        </w:rPr>
        <w:t>4.2</w:t>
      </w:r>
      <w:r>
        <w:rPr>
          <w:rFonts w:ascii="Arial" w:hAnsi="Arial" w:cs="Arial"/>
        </w:rPr>
        <w:tab/>
      </w:r>
      <w:r w:rsidR="006B1D4A" w:rsidRPr="007B2AFC">
        <w:rPr>
          <w:rFonts w:ascii="Arial" w:hAnsi="Arial" w:cs="Arial"/>
        </w:rPr>
        <w:t xml:space="preserve">If a patient </w:t>
      </w:r>
      <w:r w:rsidR="00C41162" w:rsidRPr="007B2AFC">
        <w:rPr>
          <w:rFonts w:ascii="Arial" w:hAnsi="Arial" w:cs="Arial"/>
        </w:rPr>
        <w:t xml:space="preserve">is </w:t>
      </w:r>
      <w:r w:rsidR="00357F9C" w:rsidRPr="007B2AFC">
        <w:rPr>
          <w:rFonts w:ascii="Arial" w:hAnsi="Arial" w:cs="Arial"/>
        </w:rPr>
        <w:t>already established on antipsychotic treatment</w:t>
      </w:r>
      <w:r w:rsidR="00DA0983" w:rsidRPr="007B2AFC">
        <w:rPr>
          <w:rFonts w:ascii="Arial" w:hAnsi="Arial" w:cs="Arial"/>
        </w:rPr>
        <w:t xml:space="preserve">, which is efficacious </w:t>
      </w:r>
      <w:r w:rsidR="00D36A5A" w:rsidRPr="007B2AFC">
        <w:rPr>
          <w:rFonts w:ascii="Arial" w:hAnsi="Arial" w:cs="Arial"/>
        </w:rPr>
        <w:t xml:space="preserve">and has no relevant clinical features, then </w:t>
      </w:r>
      <w:r w:rsidR="00DA0983" w:rsidRPr="007B2AFC">
        <w:rPr>
          <w:rFonts w:ascii="Arial" w:hAnsi="Arial" w:cs="Arial"/>
        </w:rPr>
        <w:t>continuation with current treatment regime may be considered</w:t>
      </w:r>
      <w:r w:rsidR="007D033E" w:rsidRPr="007B2AFC">
        <w:rPr>
          <w:rFonts w:ascii="Arial" w:hAnsi="Arial" w:cs="Arial"/>
        </w:rPr>
        <w:t xml:space="preserve"> following a risk/benefit assessment (see </w:t>
      </w:r>
      <w:r w:rsidR="00227372" w:rsidRPr="007B2AFC">
        <w:rPr>
          <w:rFonts w:ascii="Arial" w:hAnsi="Arial" w:cs="Arial"/>
        </w:rPr>
        <w:t>A</w:t>
      </w:r>
      <w:r w:rsidR="007D033E" w:rsidRPr="007B2AFC">
        <w:rPr>
          <w:rFonts w:ascii="Arial" w:hAnsi="Arial" w:cs="Arial"/>
        </w:rPr>
        <w:t>ppendix 3).</w:t>
      </w:r>
    </w:p>
    <w:p w14:paraId="2884D893" w14:textId="77777777" w:rsidR="001E6A96" w:rsidRPr="007B2AFC" w:rsidRDefault="001E6A96" w:rsidP="00476C23">
      <w:pPr>
        <w:pStyle w:val="ListParagraph"/>
        <w:ind w:left="794" w:hanging="794"/>
        <w:rPr>
          <w:rFonts w:ascii="Arial" w:hAnsi="Arial" w:cs="Arial"/>
          <w:highlight w:val="yellow"/>
        </w:rPr>
      </w:pPr>
    </w:p>
    <w:p w14:paraId="6C0C5C25" w14:textId="54849E4E" w:rsidR="00EE712B" w:rsidRPr="007B2AFC" w:rsidRDefault="00476C23" w:rsidP="00476C23">
      <w:pPr>
        <w:ind w:left="794" w:hanging="794"/>
        <w:rPr>
          <w:rFonts w:ascii="Arial" w:hAnsi="Arial" w:cs="Arial"/>
          <w:b/>
        </w:rPr>
      </w:pPr>
      <w:r w:rsidRPr="007B2AFC">
        <w:rPr>
          <w:rFonts w:ascii="Arial" w:hAnsi="Arial" w:cs="Arial"/>
        </w:rPr>
        <w:t>4.3</w:t>
      </w:r>
      <w:r w:rsidRPr="007B2AFC">
        <w:rPr>
          <w:rFonts w:ascii="Arial" w:hAnsi="Arial" w:cs="Arial"/>
        </w:rPr>
        <w:tab/>
      </w:r>
      <w:r w:rsidR="00C41162" w:rsidRPr="007B2AFC">
        <w:rPr>
          <w:rFonts w:ascii="Arial" w:hAnsi="Arial" w:cs="Arial"/>
        </w:rPr>
        <w:t xml:space="preserve">If prolactin has </w:t>
      </w:r>
      <w:r w:rsidR="00D36A5A" w:rsidRPr="007B2AFC">
        <w:rPr>
          <w:rFonts w:ascii="Arial" w:hAnsi="Arial" w:cs="Arial"/>
        </w:rPr>
        <w:t>been checked and found to be high, the date and value of the baseline pre-treatment level</w:t>
      </w:r>
      <w:r w:rsidR="00C41162" w:rsidRPr="007B2AFC">
        <w:rPr>
          <w:rFonts w:ascii="Arial" w:hAnsi="Arial" w:cs="Arial"/>
        </w:rPr>
        <w:t xml:space="preserve"> </w:t>
      </w:r>
      <w:r w:rsidR="00DA0983" w:rsidRPr="007B2AFC">
        <w:rPr>
          <w:rFonts w:ascii="Arial" w:hAnsi="Arial" w:cs="Arial"/>
        </w:rPr>
        <w:t xml:space="preserve">should be </w:t>
      </w:r>
      <w:r w:rsidR="007D033E" w:rsidRPr="007B2AFC">
        <w:rPr>
          <w:rFonts w:ascii="Arial" w:hAnsi="Arial" w:cs="Arial"/>
        </w:rPr>
        <w:t xml:space="preserve">reviewed </w:t>
      </w:r>
      <w:r w:rsidR="00DA0983" w:rsidRPr="007B2AFC">
        <w:rPr>
          <w:rFonts w:ascii="Arial" w:hAnsi="Arial" w:cs="Arial"/>
        </w:rPr>
        <w:t>for comparison</w:t>
      </w:r>
      <w:r w:rsidR="00D36A5A" w:rsidRPr="007B2AFC">
        <w:rPr>
          <w:rFonts w:ascii="Arial" w:hAnsi="Arial" w:cs="Arial"/>
        </w:rPr>
        <w:t>.</w:t>
      </w:r>
      <w:r w:rsidR="00C41162" w:rsidRPr="007B2AFC">
        <w:rPr>
          <w:rFonts w:ascii="Arial" w:hAnsi="Arial" w:cs="Arial"/>
        </w:rPr>
        <w:t xml:space="preserve"> Following this</w:t>
      </w:r>
      <w:r w:rsidR="0077250F" w:rsidRPr="007B2AFC">
        <w:rPr>
          <w:rFonts w:ascii="Arial" w:hAnsi="Arial" w:cs="Arial"/>
        </w:rPr>
        <w:t>,</w:t>
      </w:r>
      <w:r w:rsidR="00C41162" w:rsidRPr="007B2AFC">
        <w:rPr>
          <w:rFonts w:ascii="Arial" w:hAnsi="Arial" w:cs="Arial"/>
        </w:rPr>
        <w:t xml:space="preserve"> a thorough assessment should be undertaken establishing the presence of</w:t>
      </w:r>
      <w:r w:rsidR="00D36A5A" w:rsidRPr="007B2AFC">
        <w:rPr>
          <w:rFonts w:ascii="Arial" w:hAnsi="Arial" w:cs="Arial"/>
        </w:rPr>
        <w:t xml:space="preserve"> clinical features of hypogonadism</w:t>
      </w:r>
      <w:r w:rsidR="00C41162" w:rsidRPr="007B2AFC">
        <w:rPr>
          <w:rFonts w:ascii="Arial" w:hAnsi="Arial" w:cs="Arial"/>
        </w:rPr>
        <w:t>, particularly in males</w:t>
      </w:r>
      <w:r w:rsidR="00D36A5A" w:rsidRPr="007B2AFC">
        <w:rPr>
          <w:rFonts w:ascii="Arial" w:hAnsi="Arial" w:cs="Arial"/>
        </w:rPr>
        <w:t xml:space="preserve">. If there is any doubt (e.g. </w:t>
      </w:r>
      <w:r w:rsidR="00C41162" w:rsidRPr="007B2AFC">
        <w:rPr>
          <w:rFonts w:ascii="Arial" w:hAnsi="Arial" w:cs="Arial"/>
        </w:rPr>
        <w:t xml:space="preserve">in </w:t>
      </w:r>
      <w:r w:rsidR="00440215" w:rsidRPr="007B2AFC">
        <w:rPr>
          <w:rFonts w:ascii="Arial" w:hAnsi="Arial" w:cs="Arial"/>
        </w:rPr>
        <w:t>males</w:t>
      </w:r>
      <w:r w:rsidR="00D36A5A" w:rsidRPr="007B2AFC">
        <w:rPr>
          <w:rFonts w:ascii="Arial" w:hAnsi="Arial" w:cs="Arial"/>
        </w:rPr>
        <w:t xml:space="preserve"> or amenorrhoeic females on </w:t>
      </w:r>
      <w:r w:rsidR="00C41162" w:rsidRPr="007B2AFC">
        <w:rPr>
          <w:rFonts w:ascii="Arial" w:hAnsi="Arial" w:cs="Arial"/>
        </w:rPr>
        <w:t>progestogen</w:t>
      </w:r>
      <w:r w:rsidR="00D36A5A" w:rsidRPr="007B2AFC">
        <w:rPr>
          <w:rFonts w:ascii="Arial" w:hAnsi="Arial" w:cs="Arial"/>
        </w:rPr>
        <w:t>ic contraceptives), then fast</w:t>
      </w:r>
      <w:r w:rsidR="00C41162" w:rsidRPr="007B2AFC">
        <w:rPr>
          <w:rFonts w:ascii="Arial" w:hAnsi="Arial" w:cs="Arial"/>
        </w:rPr>
        <w:t>ing</w:t>
      </w:r>
      <w:r w:rsidR="00D36A5A" w:rsidRPr="007B2AFC">
        <w:rPr>
          <w:rFonts w:ascii="Arial" w:hAnsi="Arial" w:cs="Arial"/>
        </w:rPr>
        <w:t xml:space="preserve"> 9am blood tests should be </w:t>
      </w:r>
      <w:r w:rsidR="00C41162" w:rsidRPr="007B2AFC">
        <w:rPr>
          <w:rFonts w:ascii="Arial" w:hAnsi="Arial" w:cs="Arial"/>
        </w:rPr>
        <w:t>checked</w:t>
      </w:r>
      <w:r w:rsidR="00D36A5A" w:rsidRPr="007B2AFC">
        <w:rPr>
          <w:rFonts w:ascii="Arial" w:hAnsi="Arial" w:cs="Arial"/>
        </w:rPr>
        <w:t xml:space="preserve"> for </w:t>
      </w:r>
      <w:r w:rsidR="00C41162" w:rsidRPr="007B2AFC">
        <w:rPr>
          <w:rFonts w:ascii="Arial" w:hAnsi="Arial" w:cs="Arial"/>
        </w:rPr>
        <w:t>luteinising hormone (L</w:t>
      </w:r>
      <w:r w:rsidR="00D36A5A" w:rsidRPr="007B2AFC">
        <w:rPr>
          <w:rFonts w:ascii="Arial" w:hAnsi="Arial" w:cs="Arial"/>
        </w:rPr>
        <w:t>H</w:t>
      </w:r>
      <w:r w:rsidR="00C41162" w:rsidRPr="007B2AFC">
        <w:rPr>
          <w:rFonts w:ascii="Arial" w:hAnsi="Arial" w:cs="Arial"/>
        </w:rPr>
        <w:t>)</w:t>
      </w:r>
      <w:r w:rsidR="00D36A5A" w:rsidRPr="007B2AFC">
        <w:rPr>
          <w:rFonts w:ascii="Arial" w:hAnsi="Arial" w:cs="Arial"/>
        </w:rPr>
        <w:t xml:space="preserve">, </w:t>
      </w:r>
      <w:r w:rsidR="00C41162" w:rsidRPr="007B2AFC">
        <w:rPr>
          <w:rFonts w:ascii="Arial" w:hAnsi="Arial" w:cs="Arial"/>
        </w:rPr>
        <w:t>follicle stimulating hormone (</w:t>
      </w:r>
      <w:r w:rsidR="00D36A5A" w:rsidRPr="007B2AFC">
        <w:rPr>
          <w:rFonts w:ascii="Arial" w:hAnsi="Arial" w:cs="Arial"/>
        </w:rPr>
        <w:t>FSH</w:t>
      </w:r>
      <w:r w:rsidR="00C41162" w:rsidRPr="007B2AFC">
        <w:rPr>
          <w:rFonts w:ascii="Arial" w:hAnsi="Arial" w:cs="Arial"/>
        </w:rPr>
        <w:t>)</w:t>
      </w:r>
      <w:r w:rsidR="00D36A5A" w:rsidRPr="007B2AFC">
        <w:rPr>
          <w:rFonts w:ascii="Arial" w:hAnsi="Arial" w:cs="Arial"/>
        </w:rPr>
        <w:t xml:space="preserve"> and sex hormones. If the patient’s basal level was normal within</w:t>
      </w:r>
      <w:r w:rsidR="00C41162" w:rsidRPr="007B2AFC">
        <w:rPr>
          <w:rFonts w:ascii="Arial" w:hAnsi="Arial" w:cs="Arial"/>
        </w:rPr>
        <w:t xml:space="preserve"> the previous</w:t>
      </w:r>
      <w:r w:rsidR="00D36A5A" w:rsidRPr="007B2AFC">
        <w:rPr>
          <w:rFonts w:ascii="Arial" w:hAnsi="Arial" w:cs="Arial"/>
        </w:rPr>
        <w:t xml:space="preserve"> 3 years, the drug is known to cause hyperprolactinaemia and the patient has no features of hyperprolactinaemic hypogonadism, then no further </w:t>
      </w:r>
      <w:r w:rsidR="002731C4" w:rsidRPr="007B2AFC">
        <w:rPr>
          <w:rFonts w:ascii="Arial" w:hAnsi="Arial" w:cs="Arial"/>
        </w:rPr>
        <w:t xml:space="preserve">immediate </w:t>
      </w:r>
      <w:r w:rsidR="00D36A5A" w:rsidRPr="007B2AFC">
        <w:rPr>
          <w:rFonts w:ascii="Arial" w:hAnsi="Arial" w:cs="Arial"/>
        </w:rPr>
        <w:t>action is required</w:t>
      </w:r>
      <w:r w:rsidR="00E16546" w:rsidRPr="007B2AFC">
        <w:rPr>
          <w:rFonts w:ascii="Arial" w:hAnsi="Arial" w:cs="Arial"/>
        </w:rPr>
        <w:t>.</w:t>
      </w:r>
      <w:r w:rsidR="00644CA4" w:rsidRPr="007B2AFC">
        <w:rPr>
          <w:rFonts w:ascii="Arial" w:hAnsi="Arial" w:cs="Arial"/>
        </w:rPr>
        <w:t xml:space="preserve"> Strategies for lowering the prolactin level may be introduced as per section 4.6-4.8. </w:t>
      </w:r>
    </w:p>
    <w:p w14:paraId="3137D58D" w14:textId="77777777" w:rsidR="00A1649D" w:rsidRPr="00975C61" w:rsidRDefault="00A1649D" w:rsidP="00476C23">
      <w:pPr>
        <w:ind w:left="794" w:hanging="794"/>
        <w:rPr>
          <w:rFonts w:ascii="Arial" w:hAnsi="Arial" w:cs="Arial"/>
          <w:b/>
        </w:rPr>
      </w:pPr>
    </w:p>
    <w:p w14:paraId="46086175" w14:textId="5AA314C1" w:rsidR="00EE712B" w:rsidRPr="00975C61" w:rsidRDefault="00476C23" w:rsidP="00476C23">
      <w:pPr>
        <w:ind w:left="794" w:hanging="794"/>
        <w:rPr>
          <w:rFonts w:ascii="Arial" w:hAnsi="Arial" w:cs="Arial"/>
        </w:rPr>
      </w:pPr>
      <w:r w:rsidRPr="00975C61">
        <w:rPr>
          <w:rFonts w:ascii="Arial" w:hAnsi="Arial" w:cs="Arial"/>
        </w:rPr>
        <w:t>4.4</w:t>
      </w:r>
      <w:r w:rsidRPr="00975C61">
        <w:rPr>
          <w:rFonts w:ascii="Arial" w:hAnsi="Arial" w:cs="Arial"/>
        </w:rPr>
        <w:tab/>
      </w:r>
      <w:r w:rsidR="00EE712B" w:rsidRPr="00975C61">
        <w:rPr>
          <w:rFonts w:ascii="Arial" w:hAnsi="Arial" w:cs="Arial"/>
        </w:rPr>
        <w:t>Where a reduction in bone mineral density has been identified</w:t>
      </w:r>
      <w:r w:rsidR="004825B2" w:rsidRPr="00975C61">
        <w:rPr>
          <w:rFonts w:ascii="Arial" w:hAnsi="Arial" w:cs="Arial"/>
        </w:rPr>
        <w:t>, clinical and biochemical screening for hypogonadism should be undertaken and, if abnormal, to either</w:t>
      </w:r>
      <w:r w:rsidR="001E6A96" w:rsidRPr="00975C61">
        <w:rPr>
          <w:rFonts w:ascii="Arial" w:hAnsi="Arial" w:cs="Arial"/>
        </w:rPr>
        <w:t xml:space="preserve"> </w:t>
      </w:r>
      <w:r w:rsidR="000F4C41" w:rsidRPr="00975C61">
        <w:rPr>
          <w:rFonts w:ascii="Arial" w:hAnsi="Arial" w:cs="Arial"/>
        </w:rPr>
        <w:t>switch</w:t>
      </w:r>
      <w:r w:rsidR="00EE712B" w:rsidRPr="00975C61">
        <w:rPr>
          <w:rFonts w:ascii="Arial" w:hAnsi="Arial" w:cs="Arial"/>
        </w:rPr>
        <w:t xml:space="preserve"> antipsychotic medication or </w:t>
      </w:r>
      <w:r w:rsidR="004825B2" w:rsidRPr="00975C61">
        <w:rPr>
          <w:rFonts w:ascii="Arial" w:hAnsi="Arial" w:cs="Arial"/>
        </w:rPr>
        <w:t xml:space="preserve">begin </w:t>
      </w:r>
      <w:r w:rsidR="0008349E" w:rsidRPr="00975C61">
        <w:rPr>
          <w:rFonts w:ascii="Arial" w:hAnsi="Arial" w:cs="Arial"/>
        </w:rPr>
        <w:t>hormone replacement therapy (</w:t>
      </w:r>
      <w:r w:rsidR="004825B2" w:rsidRPr="00975C61">
        <w:rPr>
          <w:rFonts w:ascii="Arial" w:hAnsi="Arial" w:cs="Arial"/>
        </w:rPr>
        <w:t>HRT</w:t>
      </w:r>
      <w:r w:rsidR="0008349E" w:rsidRPr="00975C61">
        <w:rPr>
          <w:rFonts w:ascii="Arial" w:hAnsi="Arial" w:cs="Arial"/>
        </w:rPr>
        <w:t>)</w:t>
      </w:r>
      <w:r w:rsidR="00EE712B" w:rsidRPr="00975C61">
        <w:rPr>
          <w:rFonts w:ascii="Arial" w:hAnsi="Arial" w:cs="Arial"/>
        </w:rPr>
        <w:t>. Advice should be sought from Endocrinology for the latter intervention.</w:t>
      </w:r>
      <w:r w:rsidR="00093733" w:rsidRPr="00975C61">
        <w:rPr>
          <w:rFonts w:ascii="Arial" w:hAnsi="Arial" w:cs="Arial"/>
        </w:rPr>
        <w:t xml:space="preserve"> </w:t>
      </w:r>
      <w:r w:rsidR="004C6639" w:rsidRPr="00975C61">
        <w:rPr>
          <w:rFonts w:ascii="Arial" w:hAnsi="Arial" w:cs="Arial"/>
        </w:rPr>
        <w:t xml:space="preserve"> </w:t>
      </w:r>
    </w:p>
    <w:p w14:paraId="4A8F9A2C" w14:textId="77777777" w:rsidR="00DE716C" w:rsidRPr="002464EF" w:rsidRDefault="00DE716C" w:rsidP="00476C23">
      <w:pPr>
        <w:ind w:left="794" w:hanging="794"/>
        <w:rPr>
          <w:rFonts w:ascii="Arial" w:hAnsi="Arial" w:cs="Arial"/>
        </w:rPr>
      </w:pPr>
    </w:p>
    <w:p w14:paraId="021A6D91" w14:textId="1575F642" w:rsidR="00D16A8F" w:rsidRPr="002464EF" w:rsidRDefault="00476C23" w:rsidP="00476C23">
      <w:pPr>
        <w:ind w:left="794" w:hanging="794"/>
        <w:rPr>
          <w:rFonts w:ascii="Arial" w:hAnsi="Arial" w:cs="Arial"/>
        </w:rPr>
      </w:pPr>
      <w:r>
        <w:rPr>
          <w:rFonts w:ascii="Arial" w:hAnsi="Arial" w:cs="Arial"/>
        </w:rPr>
        <w:t>4.5</w:t>
      </w:r>
      <w:r>
        <w:rPr>
          <w:rFonts w:ascii="Arial" w:hAnsi="Arial" w:cs="Arial"/>
        </w:rPr>
        <w:tab/>
      </w:r>
      <w:r w:rsidR="00DE716C" w:rsidRPr="002464EF">
        <w:rPr>
          <w:rFonts w:ascii="Arial" w:hAnsi="Arial" w:cs="Arial"/>
        </w:rPr>
        <w:t xml:space="preserve">If the patient has been rendered hypogonadal due to antipsychotic-induced hyperprolactinaemia and alternative management </w:t>
      </w:r>
      <w:r w:rsidR="000F4C41" w:rsidRPr="002464EF">
        <w:rPr>
          <w:rFonts w:ascii="Arial" w:hAnsi="Arial" w:cs="Arial"/>
        </w:rPr>
        <w:t>is</w:t>
      </w:r>
      <w:r w:rsidR="00DE716C" w:rsidRPr="002464EF">
        <w:rPr>
          <w:rFonts w:ascii="Arial" w:hAnsi="Arial" w:cs="Arial"/>
        </w:rPr>
        <w:t xml:space="preserve"> unsuccessful</w:t>
      </w:r>
      <w:r w:rsidR="00227372">
        <w:rPr>
          <w:rFonts w:ascii="Arial" w:hAnsi="Arial" w:cs="Arial"/>
        </w:rPr>
        <w:t>,</w:t>
      </w:r>
      <w:r w:rsidR="000F4C41" w:rsidRPr="002464EF">
        <w:rPr>
          <w:rFonts w:ascii="Arial" w:hAnsi="Arial" w:cs="Arial"/>
        </w:rPr>
        <w:t xml:space="preserve"> or there is a genuine need to remain on this </w:t>
      </w:r>
      <w:proofErr w:type="gramStart"/>
      <w:r w:rsidR="000F4C41" w:rsidRPr="002464EF">
        <w:rPr>
          <w:rFonts w:ascii="Arial" w:hAnsi="Arial" w:cs="Arial"/>
        </w:rPr>
        <w:t>particular antipsychotic</w:t>
      </w:r>
      <w:proofErr w:type="gramEnd"/>
      <w:r w:rsidR="00DE716C" w:rsidRPr="002464EF">
        <w:rPr>
          <w:rFonts w:ascii="Arial" w:hAnsi="Arial" w:cs="Arial"/>
        </w:rPr>
        <w:t xml:space="preserve">, </w:t>
      </w:r>
      <w:r w:rsidR="000F4C41" w:rsidRPr="002464EF">
        <w:rPr>
          <w:rFonts w:ascii="Arial" w:hAnsi="Arial" w:cs="Arial"/>
        </w:rPr>
        <w:t xml:space="preserve">refer to </w:t>
      </w:r>
      <w:r w:rsidR="00DE716C" w:rsidRPr="002464EF">
        <w:rPr>
          <w:rFonts w:ascii="Arial" w:hAnsi="Arial" w:cs="Arial"/>
        </w:rPr>
        <w:t xml:space="preserve">Endocrinology </w:t>
      </w:r>
      <w:r w:rsidR="000F4C41" w:rsidRPr="002464EF">
        <w:rPr>
          <w:rFonts w:ascii="Arial" w:hAnsi="Arial" w:cs="Arial"/>
        </w:rPr>
        <w:t>for appropriate management</w:t>
      </w:r>
      <w:r w:rsidR="00DE716C" w:rsidRPr="002464EF">
        <w:rPr>
          <w:rFonts w:ascii="Arial" w:hAnsi="Arial" w:cs="Arial"/>
        </w:rPr>
        <w:t>.</w:t>
      </w:r>
      <w:r w:rsidR="00093733" w:rsidRPr="002464EF">
        <w:rPr>
          <w:rFonts w:ascii="Arial" w:hAnsi="Arial" w:cs="Arial"/>
        </w:rPr>
        <w:t xml:space="preserve"> </w:t>
      </w:r>
      <w:r w:rsidR="00A1649D" w:rsidRPr="002464EF">
        <w:rPr>
          <w:rFonts w:ascii="Arial" w:hAnsi="Arial" w:cs="Arial"/>
        </w:rPr>
        <w:t xml:space="preserve">Consider involving the patient’s GP as </w:t>
      </w:r>
      <w:r w:rsidR="002731C4" w:rsidRPr="00476C23">
        <w:rPr>
          <w:rFonts w:ascii="Arial" w:hAnsi="Arial" w:cs="Arial"/>
        </w:rPr>
        <w:t>local referral pathways</w:t>
      </w:r>
      <w:r w:rsidR="00A1649D" w:rsidRPr="002A135B">
        <w:rPr>
          <w:rFonts w:ascii="Arial" w:hAnsi="Arial" w:cs="Arial"/>
        </w:rPr>
        <w:t xml:space="preserve"> and</w:t>
      </w:r>
      <w:r w:rsidR="00A1649D" w:rsidRPr="002464EF">
        <w:rPr>
          <w:rFonts w:ascii="Arial" w:hAnsi="Arial" w:cs="Arial"/>
        </w:rPr>
        <w:t xml:space="preserve"> treatment protocols have been established for patients at risk of developing osteoporosis (prolonged hypogonadism is a significant risk factor). </w:t>
      </w:r>
    </w:p>
    <w:p w14:paraId="4AEA1683" w14:textId="77777777" w:rsidR="00D16A8F" w:rsidRPr="002464EF" w:rsidRDefault="00D16A8F" w:rsidP="00476C23">
      <w:pPr>
        <w:ind w:left="794" w:hanging="794"/>
        <w:rPr>
          <w:rFonts w:ascii="Arial" w:hAnsi="Arial" w:cs="Arial"/>
        </w:rPr>
      </w:pPr>
    </w:p>
    <w:p w14:paraId="5657D815" w14:textId="63DBFD31" w:rsidR="00771320" w:rsidRPr="002464EF" w:rsidRDefault="00476C23" w:rsidP="00440215">
      <w:pPr>
        <w:pStyle w:val="Header"/>
        <w:tabs>
          <w:tab w:val="clear" w:pos="4153"/>
          <w:tab w:val="clear" w:pos="8306"/>
        </w:tabs>
        <w:ind w:left="794" w:hanging="794"/>
        <w:rPr>
          <w:rFonts w:ascii="Arial" w:hAnsi="Arial" w:cs="Arial"/>
          <w:b/>
        </w:rPr>
      </w:pPr>
      <w:r w:rsidRPr="00B62C98">
        <w:rPr>
          <w:rFonts w:ascii="Arial" w:hAnsi="Arial" w:cs="Arial"/>
          <w:b/>
          <w:bCs/>
        </w:rPr>
        <w:t>4.6</w:t>
      </w:r>
      <w:r>
        <w:rPr>
          <w:rFonts w:ascii="Arial" w:hAnsi="Arial" w:cs="Arial"/>
        </w:rPr>
        <w:tab/>
      </w:r>
      <w:r>
        <w:rPr>
          <w:rFonts w:ascii="Arial" w:hAnsi="Arial" w:cs="Arial"/>
          <w:b/>
        </w:rPr>
        <w:t>Review of Concurrent M</w:t>
      </w:r>
      <w:r w:rsidR="001578A3" w:rsidRPr="002464EF">
        <w:rPr>
          <w:rFonts w:ascii="Arial" w:hAnsi="Arial" w:cs="Arial"/>
          <w:b/>
        </w:rPr>
        <w:t>edication</w:t>
      </w:r>
    </w:p>
    <w:p w14:paraId="0309893B" w14:textId="77777777" w:rsidR="00421FA7" w:rsidRPr="002464EF" w:rsidRDefault="00421FA7" w:rsidP="002464EF">
      <w:pPr>
        <w:pStyle w:val="Header"/>
        <w:tabs>
          <w:tab w:val="left" w:pos="720"/>
        </w:tabs>
        <w:jc w:val="both"/>
        <w:rPr>
          <w:rFonts w:ascii="Arial" w:hAnsi="Arial" w:cs="Arial"/>
        </w:rPr>
      </w:pPr>
    </w:p>
    <w:p w14:paraId="681FD95C" w14:textId="59A6DA80" w:rsidR="00140718" w:rsidRPr="007B2AFC" w:rsidRDefault="00440215" w:rsidP="00440215">
      <w:pPr>
        <w:pStyle w:val="Header"/>
        <w:tabs>
          <w:tab w:val="clear" w:pos="4153"/>
          <w:tab w:val="clear" w:pos="8306"/>
        </w:tabs>
        <w:ind w:left="794" w:hanging="794"/>
        <w:rPr>
          <w:rFonts w:ascii="Arial" w:hAnsi="Arial" w:cs="Arial"/>
        </w:rPr>
      </w:pPr>
      <w:r>
        <w:rPr>
          <w:rFonts w:ascii="Arial" w:hAnsi="Arial" w:cs="Arial"/>
        </w:rPr>
        <w:t>4.6.1</w:t>
      </w:r>
      <w:r>
        <w:rPr>
          <w:rFonts w:ascii="Arial" w:hAnsi="Arial" w:cs="Arial"/>
        </w:rPr>
        <w:tab/>
      </w:r>
      <w:r w:rsidR="001D1864" w:rsidRPr="007B2AFC">
        <w:rPr>
          <w:rFonts w:ascii="Arial" w:hAnsi="Arial" w:cs="Arial"/>
        </w:rPr>
        <w:t xml:space="preserve">Hyperprolactinaemia is a recognised side effect of antipsychotic (AP) medication. The frequency and severity of prolactin elevation vary according </w:t>
      </w:r>
      <w:r w:rsidR="001D1864" w:rsidRPr="007B2AFC">
        <w:rPr>
          <w:rFonts w:ascii="Arial" w:hAnsi="Arial" w:cs="Arial"/>
        </w:rPr>
        <w:lastRenderedPageBreak/>
        <w:t>to the degree of dopamine D2 receptor blockade associated with each agent. When interpreting prolactin results, clinicians should consider both the patient’s clinical symptoms and the expected, predictable increases related to the specific antipsychotic prescribed.</w:t>
      </w:r>
      <w:r w:rsidR="00140718" w:rsidRPr="007B2AFC">
        <w:rPr>
          <w:rFonts w:ascii="Arial" w:hAnsi="Arial" w:cs="Arial"/>
        </w:rPr>
        <w:t xml:space="preserve"> </w:t>
      </w:r>
    </w:p>
    <w:p w14:paraId="157119E4" w14:textId="77777777" w:rsidR="00140718" w:rsidRPr="007B2AFC" w:rsidRDefault="00140718" w:rsidP="00440215">
      <w:pPr>
        <w:pStyle w:val="Header"/>
        <w:tabs>
          <w:tab w:val="clear" w:pos="4153"/>
          <w:tab w:val="clear" w:pos="8306"/>
        </w:tabs>
        <w:ind w:left="794" w:hanging="794"/>
        <w:rPr>
          <w:rFonts w:ascii="Arial" w:hAnsi="Arial" w:cs="Arial"/>
        </w:rPr>
      </w:pPr>
    </w:p>
    <w:p w14:paraId="1FE2499E" w14:textId="478EAE16" w:rsidR="001578A3" w:rsidRPr="007B2AFC" w:rsidRDefault="00140718" w:rsidP="00440215">
      <w:pPr>
        <w:pStyle w:val="Header"/>
        <w:tabs>
          <w:tab w:val="clear" w:pos="4153"/>
          <w:tab w:val="clear" w:pos="8306"/>
        </w:tabs>
        <w:ind w:left="794" w:hanging="794"/>
        <w:rPr>
          <w:rFonts w:ascii="Arial" w:hAnsi="Arial" w:cs="Arial"/>
        </w:rPr>
      </w:pPr>
      <w:r w:rsidRPr="007B2AFC">
        <w:rPr>
          <w:rFonts w:ascii="Arial" w:hAnsi="Arial" w:cs="Arial"/>
        </w:rPr>
        <w:t xml:space="preserve">4.6.2 </w:t>
      </w:r>
      <w:r w:rsidRPr="007B2AFC">
        <w:rPr>
          <w:rFonts w:ascii="Arial" w:hAnsi="Arial" w:cs="Arial"/>
        </w:rPr>
        <w:tab/>
      </w:r>
      <w:r w:rsidR="006B1D4A" w:rsidRPr="007B2AFC">
        <w:rPr>
          <w:rFonts w:ascii="Arial" w:hAnsi="Arial" w:cs="Arial"/>
        </w:rPr>
        <w:t>M</w:t>
      </w:r>
      <w:r w:rsidR="001578A3" w:rsidRPr="007B2AFC">
        <w:rPr>
          <w:rFonts w:ascii="Arial" w:hAnsi="Arial" w:cs="Arial"/>
        </w:rPr>
        <w:t>any drugs</w:t>
      </w:r>
      <w:r w:rsidR="006B1D4A" w:rsidRPr="007B2AFC">
        <w:rPr>
          <w:rFonts w:ascii="Arial" w:hAnsi="Arial" w:cs="Arial"/>
        </w:rPr>
        <w:t xml:space="preserve"> in addition to antipsychotics</w:t>
      </w:r>
      <w:r w:rsidR="001578A3" w:rsidRPr="007B2AFC">
        <w:rPr>
          <w:rFonts w:ascii="Arial" w:hAnsi="Arial" w:cs="Arial"/>
        </w:rPr>
        <w:t xml:space="preserve"> are known to impact upon prolactin levels</w:t>
      </w:r>
      <w:r w:rsidR="006B1D4A" w:rsidRPr="007B2AFC">
        <w:rPr>
          <w:rFonts w:ascii="Arial" w:hAnsi="Arial" w:cs="Arial"/>
        </w:rPr>
        <w:t>. Where possible</w:t>
      </w:r>
      <w:r w:rsidR="00CF7907" w:rsidRPr="007B2AFC">
        <w:rPr>
          <w:rFonts w:ascii="Arial" w:hAnsi="Arial" w:cs="Arial"/>
        </w:rPr>
        <w:t>,</w:t>
      </w:r>
      <w:r w:rsidR="006B1D4A" w:rsidRPr="007B2AFC">
        <w:rPr>
          <w:rFonts w:ascii="Arial" w:hAnsi="Arial" w:cs="Arial"/>
        </w:rPr>
        <w:t xml:space="preserve"> these medicines should be reviewed with a view to discontinuing</w:t>
      </w:r>
      <w:r w:rsidR="00CF7907" w:rsidRPr="007B2AFC">
        <w:rPr>
          <w:rFonts w:ascii="Arial" w:hAnsi="Arial" w:cs="Arial"/>
        </w:rPr>
        <w:t xml:space="preserve"> or switching to an alternative, </w:t>
      </w:r>
      <w:r w:rsidR="00700AEA" w:rsidRPr="007B2AFC">
        <w:rPr>
          <w:rFonts w:ascii="Arial" w:hAnsi="Arial" w:cs="Arial"/>
        </w:rPr>
        <w:t>where appropriate. Other m</w:t>
      </w:r>
      <w:r w:rsidR="006B1D4A" w:rsidRPr="007B2AFC">
        <w:rPr>
          <w:rFonts w:ascii="Arial" w:hAnsi="Arial" w:cs="Arial"/>
        </w:rPr>
        <w:t xml:space="preserve">edicines known to have an impact on prolactin levels </w:t>
      </w:r>
      <w:r w:rsidR="00017161" w:rsidRPr="007B2AFC">
        <w:rPr>
          <w:rFonts w:ascii="Arial" w:hAnsi="Arial" w:cs="Arial"/>
        </w:rPr>
        <w:t xml:space="preserve">are included in </w:t>
      </w:r>
      <w:r w:rsidR="00227372" w:rsidRPr="007B2AFC">
        <w:rPr>
          <w:rFonts w:ascii="Arial" w:hAnsi="Arial" w:cs="Arial"/>
        </w:rPr>
        <w:t>A</w:t>
      </w:r>
      <w:r w:rsidR="00017161" w:rsidRPr="007B2AFC">
        <w:rPr>
          <w:rFonts w:ascii="Arial" w:hAnsi="Arial" w:cs="Arial"/>
        </w:rPr>
        <w:t xml:space="preserve">ppendix </w:t>
      </w:r>
      <w:r w:rsidR="00A851B8" w:rsidRPr="007B2AFC">
        <w:rPr>
          <w:rFonts w:ascii="Arial" w:hAnsi="Arial" w:cs="Arial"/>
        </w:rPr>
        <w:t>3</w:t>
      </w:r>
      <w:r w:rsidR="001D1864" w:rsidRPr="007B2AFC">
        <w:rPr>
          <w:rFonts w:ascii="Arial" w:hAnsi="Arial" w:cs="Arial"/>
        </w:rPr>
        <w:t>.</w:t>
      </w:r>
    </w:p>
    <w:p w14:paraId="1320CDEF" w14:textId="77777777" w:rsidR="001578A3" w:rsidRPr="002464EF" w:rsidRDefault="001578A3" w:rsidP="002464EF">
      <w:pPr>
        <w:pStyle w:val="Header"/>
        <w:tabs>
          <w:tab w:val="left" w:pos="720"/>
        </w:tabs>
        <w:jc w:val="both"/>
        <w:rPr>
          <w:rFonts w:ascii="Arial" w:hAnsi="Arial" w:cs="Arial"/>
        </w:rPr>
      </w:pPr>
    </w:p>
    <w:p w14:paraId="2A94EF64" w14:textId="2ACB3688" w:rsidR="0008349E" w:rsidRDefault="00476C23" w:rsidP="002165E9">
      <w:pPr>
        <w:ind w:left="794" w:hanging="794"/>
        <w:rPr>
          <w:rFonts w:ascii="Arial" w:hAnsi="Arial" w:cs="Arial"/>
          <w:b/>
        </w:rPr>
      </w:pPr>
      <w:r w:rsidRPr="00B62C98">
        <w:rPr>
          <w:rFonts w:ascii="Arial" w:hAnsi="Arial" w:cs="Arial"/>
          <w:b/>
          <w:bCs/>
        </w:rPr>
        <w:t>4.7</w:t>
      </w:r>
      <w:r w:rsidR="002165E9">
        <w:rPr>
          <w:rFonts w:ascii="Arial" w:hAnsi="Arial" w:cs="Arial"/>
          <w:b/>
        </w:rPr>
        <w:tab/>
        <w:t>Switching to an Alternative Prolactin-S</w:t>
      </w:r>
      <w:r w:rsidR="005707EB" w:rsidRPr="002464EF">
        <w:rPr>
          <w:rFonts w:ascii="Arial" w:hAnsi="Arial" w:cs="Arial"/>
          <w:b/>
        </w:rPr>
        <w:t xml:space="preserve">paring </w:t>
      </w:r>
      <w:r w:rsidR="002165E9">
        <w:rPr>
          <w:rFonts w:ascii="Arial" w:hAnsi="Arial" w:cs="Arial"/>
          <w:b/>
        </w:rPr>
        <w:t>Antipsychotic M</w:t>
      </w:r>
      <w:r w:rsidR="005707EB" w:rsidRPr="002464EF">
        <w:rPr>
          <w:rFonts w:ascii="Arial" w:hAnsi="Arial" w:cs="Arial"/>
          <w:b/>
        </w:rPr>
        <w:t>edication</w:t>
      </w:r>
    </w:p>
    <w:p w14:paraId="07B365DB" w14:textId="77777777" w:rsidR="002165E9" w:rsidRPr="0008349E" w:rsidRDefault="002165E9" w:rsidP="002165E9">
      <w:pPr>
        <w:ind w:left="794" w:hanging="794"/>
        <w:rPr>
          <w:rFonts w:ascii="Arial" w:hAnsi="Arial" w:cs="Arial"/>
          <w:b/>
        </w:rPr>
      </w:pPr>
    </w:p>
    <w:p w14:paraId="6F7A0A5C" w14:textId="3EB63169" w:rsidR="002165E9" w:rsidRDefault="002165E9" w:rsidP="002165E9">
      <w:pPr>
        <w:ind w:left="794" w:hanging="794"/>
        <w:rPr>
          <w:rFonts w:ascii="Arial" w:hAnsi="Arial" w:cs="Arial"/>
        </w:rPr>
      </w:pPr>
      <w:r>
        <w:rPr>
          <w:rFonts w:ascii="Arial" w:hAnsi="Arial" w:cs="Arial"/>
        </w:rPr>
        <w:t>4.7.1</w:t>
      </w:r>
      <w:r>
        <w:rPr>
          <w:rFonts w:ascii="Arial" w:hAnsi="Arial" w:cs="Arial"/>
        </w:rPr>
        <w:tab/>
      </w:r>
      <w:r w:rsidR="004B14A2" w:rsidRPr="002464EF">
        <w:rPr>
          <w:rFonts w:ascii="Arial" w:hAnsi="Arial" w:cs="Arial"/>
        </w:rPr>
        <w:t>Antipsychotic</w:t>
      </w:r>
      <w:r>
        <w:rPr>
          <w:rFonts w:ascii="Arial" w:hAnsi="Arial" w:cs="Arial"/>
        </w:rPr>
        <w:t>-</w:t>
      </w:r>
      <w:r w:rsidR="004B14A2" w:rsidRPr="002464EF">
        <w:rPr>
          <w:rFonts w:ascii="Arial" w:hAnsi="Arial" w:cs="Arial"/>
        </w:rPr>
        <w:t xml:space="preserve">induced hyperprolactinaemia is known to be dose dependent and prolactin levels </w:t>
      </w:r>
      <w:r w:rsidR="00CF7907" w:rsidRPr="002464EF">
        <w:rPr>
          <w:rFonts w:ascii="Arial" w:hAnsi="Arial" w:cs="Arial"/>
        </w:rPr>
        <w:t xml:space="preserve">are likely to </w:t>
      </w:r>
      <w:r w:rsidR="004B14A2" w:rsidRPr="002464EF">
        <w:rPr>
          <w:rFonts w:ascii="Arial" w:hAnsi="Arial" w:cs="Arial"/>
        </w:rPr>
        <w:t>return to normal following cessation of the causative agent</w:t>
      </w:r>
      <w:r w:rsidR="00447CA8" w:rsidRPr="002464EF">
        <w:rPr>
          <w:rFonts w:ascii="Arial" w:hAnsi="Arial" w:cs="Arial"/>
        </w:rPr>
        <w:t>.</w:t>
      </w:r>
      <w:r>
        <w:rPr>
          <w:rFonts w:ascii="Arial" w:hAnsi="Arial" w:cs="Arial"/>
        </w:rPr>
        <w:t xml:space="preserve"> </w:t>
      </w:r>
      <w:r w:rsidR="002B00B4" w:rsidRPr="002464EF">
        <w:rPr>
          <w:rFonts w:ascii="Arial" w:hAnsi="Arial" w:cs="Arial"/>
        </w:rPr>
        <w:t xml:space="preserve">Consider reducing the dose of antipsychotic or </w:t>
      </w:r>
      <w:r w:rsidR="00A07758" w:rsidRPr="002464EF">
        <w:rPr>
          <w:rFonts w:ascii="Arial" w:hAnsi="Arial" w:cs="Arial"/>
        </w:rPr>
        <w:t>stopping altogether if no longer clinically appropriate</w:t>
      </w:r>
      <w:r w:rsidR="00D035D6" w:rsidRPr="002464EF">
        <w:rPr>
          <w:rFonts w:ascii="Arial" w:hAnsi="Arial" w:cs="Arial"/>
        </w:rPr>
        <w:t>.</w:t>
      </w:r>
      <w:r w:rsidR="002B00B4" w:rsidRPr="002464EF">
        <w:rPr>
          <w:rFonts w:ascii="Arial" w:hAnsi="Arial" w:cs="Arial"/>
        </w:rPr>
        <w:t xml:space="preserve"> </w:t>
      </w:r>
      <w:r w:rsidR="00D035D6" w:rsidRPr="002464EF">
        <w:rPr>
          <w:rFonts w:ascii="Arial" w:hAnsi="Arial" w:cs="Arial"/>
        </w:rPr>
        <w:t>P</w:t>
      </w:r>
      <w:r w:rsidR="002B00B4" w:rsidRPr="002464EF">
        <w:rPr>
          <w:rFonts w:ascii="Arial" w:hAnsi="Arial" w:cs="Arial"/>
        </w:rPr>
        <w:t xml:space="preserve">atients should be closely monitored </w:t>
      </w:r>
      <w:r w:rsidR="00EB5D61" w:rsidRPr="002464EF">
        <w:rPr>
          <w:rFonts w:ascii="Arial" w:hAnsi="Arial" w:cs="Arial"/>
        </w:rPr>
        <w:t>for potential</w:t>
      </w:r>
      <w:r w:rsidR="002B00B4" w:rsidRPr="002464EF">
        <w:rPr>
          <w:rFonts w:ascii="Arial" w:hAnsi="Arial" w:cs="Arial"/>
        </w:rPr>
        <w:t xml:space="preserve"> relapse of psychotic symptoms</w:t>
      </w:r>
      <w:r w:rsidR="00447CA8" w:rsidRPr="002464EF">
        <w:rPr>
          <w:rFonts w:ascii="Arial" w:hAnsi="Arial" w:cs="Arial"/>
        </w:rPr>
        <w:t>.</w:t>
      </w:r>
      <w:r w:rsidR="006B1D4A" w:rsidRPr="002464EF">
        <w:rPr>
          <w:rFonts w:ascii="Arial" w:hAnsi="Arial" w:cs="Arial"/>
        </w:rPr>
        <w:t xml:space="preserve"> </w:t>
      </w:r>
    </w:p>
    <w:p w14:paraId="61B19EE1" w14:textId="55CE8967" w:rsidR="005707EB" w:rsidRPr="002464EF" w:rsidRDefault="006B1D4A" w:rsidP="002165E9">
      <w:pPr>
        <w:ind w:left="794" w:hanging="794"/>
        <w:rPr>
          <w:rFonts w:ascii="Arial" w:hAnsi="Arial" w:cs="Arial"/>
          <w:b/>
        </w:rPr>
      </w:pPr>
      <w:r w:rsidRPr="002464EF">
        <w:rPr>
          <w:rFonts w:ascii="Arial" w:hAnsi="Arial" w:cs="Arial"/>
        </w:rPr>
        <w:t xml:space="preserve"> </w:t>
      </w:r>
    </w:p>
    <w:p w14:paraId="2046910E" w14:textId="7C21A338" w:rsidR="00BA1432" w:rsidRDefault="002165E9" w:rsidP="002165E9">
      <w:pPr>
        <w:ind w:left="794" w:hanging="794"/>
        <w:rPr>
          <w:rFonts w:ascii="Arial" w:hAnsi="Arial" w:cs="Arial"/>
          <w:b/>
        </w:rPr>
      </w:pPr>
      <w:r>
        <w:rPr>
          <w:rFonts w:ascii="Arial" w:hAnsi="Arial" w:cs="Arial"/>
        </w:rPr>
        <w:t>4.7.2</w:t>
      </w:r>
      <w:r>
        <w:rPr>
          <w:rFonts w:ascii="Arial" w:hAnsi="Arial" w:cs="Arial"/>
        </w:rPr>
        <w:tab/>
      </w:r>
      <w:r w:rsidR="005707EB" w:rsidRPr="002464EF">
        <w:rPr>
          <w:rFonts w:ascii="Arial" w:hAnsi="Arial" w:cs="Arial"/>
        </w:rPr>
        <w:t>In patients with hyperprolactinaemia who require ongoing treatment with an antipsychotic drug, consideration should be given to switching to a drug less likely to elevate prolactin (see</w:t>
      </w:r>
      <w:r>
        <w:rPr>
          <w:rFonts w:ascii="Arial" w:hAnsi="Arial" w:cs="Arial"/>
        </w:rPr>
        <w:t xml:space="preserve"> s</w:t>
      </w:r>
      <w:r w:rsidR="008837C8" w:rsidRPr="002464EF">
        <w:rPr>
          <w:rFonts w:ascii="Arial" w:hAnsi="Arial" w:cs="Arial"/>
        </w:rPr>
        <w:t>ection 1.1</w:t>
      </w:r>
      <w:r w:rsidR="005707EB" w:rsidRPr="002464EF">
        <w:rPr>
          <w:rFonts w:ascii="Arial" w:hAnsi="Arial" w:cs="Arial"/>
        </w:rPr>
        <w:t>).  When switching antipsychotic drugs, symptoms (if present) tend to resolve slowly and may not necessarily reflect prolactin changes.</w:t>
      </w:r>
    </w:p>
    <w:p w14:paraId="774E8829" w14:textId="77777777" w:rsidR="00C165AC" w:rsidRPr="00C165AC" w:rsidRDefault="00C165AC" w:rsidP="00C837C1">
      <w:pPr>
        <w:ind w:left="1247" w:right="839"/>
        <w:jc w:val="both"/>
        <w:rPr>
          <w:rFonts w:ascii="Arial" w:hAnsi="Arial" w:cs="Arial"/>
          <w:b/>
        </w:rPr>
      </w:pPr>
    </w:p>
    <w:p w14:paraId="4E37913D" w14:textId="648A96CD" w:rsidR="00C2531A" w:rsidRDefault="002165E9" w:rsidP="002165E9">
      <w:pPr>
        <w:ind w:left="794" w:hanging="794"/>
        <w:rPr>
          <w:rFonts w:ascii="Arial" w:hAnsi="Arial" w:cs="Arial"/>
          <w:b/>
        </w:rPr>
      </w:pPr>
      <w:r w:rsidRPr="00AC72C0">
        <w:rPr>
          <w:rFonts w:ascii="Arial" w:hAnsi="Arial" w:cs="Arial"/>
          <w:b/>
          <w:bCs/>
        </w:rPr>
        <w:t>4.8</w:t>
      </w:r>
      <w:r>
        <w:rPr>
          <w:rFonts w:ascii="Arial" w:hAnsi="Arial" w:cs="Arial"/>
          <w:b/>
        </w:rPr>
        <w:tab/>
        <w:t>Adjunctive Drug Treatment of H</w:t>
      </w:r>
      <w:r w:rsidR="00C2531A" w:rsidRPr="002464EF">
        <w:rPr>
          <w:rFonts w:ascii="Arial" w:hAnsi="Arial" w:cs="Arial"/>
          <w:b/>
        </w:rPr>
        <w:t>yperprolactinaemia</w:t>
      </w:r>
    </w:p>
    <w:p w14:paraId="6F50AF06" w14:textId="77777777" w:rsidR="002165E9" w:rsidRPr="002464EF" w:rsidRDefault="002165E9" w:rsidP="002165E9">
      <w:pPr>
        <w:ind w:left="794" w:hanging="794"/>
        <w:rPr>
          <w:rFonts w:ascii="Arial" w:hAnsi="Arial" w:cs="Arial"/>
          <w:b/>
        </w:rPr>
      </w:pPr>
    </w:p>
    <w:p w14:paraId="44CBB21E" w14:textId="47C73296" w:rsidR="00936DE2" w:rsidRDefault="002165E9" w:rsidP="002165E9">
      <w:pPr>
        <w:ind w:left="794" w:hanging="794"/>
        <w:rPr>
          <w:rFonts w:ascii="Arial" w:hAnsi="Arial" w:cs="Arial"/>
          <w:b/>
        </w:rPr>
      </w:pPr>
      <w:r w:rsidRPr="00AC72C0">
        <w:rPr>
          <w:rFonts w:ascii="Arial" w:hAnsi="Arial" w:cs="Arial"/>
          <w:b/>
          <w:bCs/>
        </w:rPr>
        <w:t>4.8.1</w:t>
      </w:r>
      <w:r>
        <w:rPr>
          <w:rFonts w:ascii="Arial" w:hAnsi="Arial" w:cs="Arial"/>
          <w:b/>
        </w:rPr>
        <w:tab/>
      </w:r>
      <w:r w:rsidR="00936DE2" w:rsidRPr="002464EF">
        <w:rPr>
          <w:rFonts w:ascii="Arial" w:hAnsi="Arial" w:cs="Arial"/>
          <w:b/>
        </w:rPr>
        <w:t>Aripiprazole</w:t>
      </w:r>
    </w:p>
    <w:p w14:paraId="01D6759B" w14:textId="77777777" w:rsidR="002165E9" w:rsidRPr="002464EF" w:rsidRDefault="002165E9" w:rsidP="002165E9">
      <w:pPr>
        <w:ind w:left="794" w:hanging="794"/>
        <w:rPr>
          <w:rFonts w:ascii="Arial" w:hAnsi="Arial" w:cs="Arial"/>
          <w:b/>
        </w:rPr>
      </w:pPr>
    </w:p>
    <w:p w14:paraId="557D0463" w14:textId="77777777" w:rsidR="00C2531A" w:rsidRPr="002464EF" w:rsidRDefault="00C2531A" w:rsidP="002165E9">
      <w:pPr>
        <w:numPr>
          <w:ilvl w:val="0"/>
          <w:numId w:val="29"/>
        </w:numPr>
        <w:spacing w:after="120"/>
        <w:ind w:left="1151" w:right="567" w:hanging="357"/>
        <w:rPr>
          <w:rFonts w:ascii="Arial" w:hAnsi="Arial" w:cs="Arial"/>
        </w:rPr>
      </w:pPr>
      <w:r w:rsidRPr="002464EF">
        <w:rPr>
          <w:rFonts w:ascii="Arial" w:hAnsi="Arial" w:cs="Arial"/>
        </w:rPr>
        <w:t>Due to the partial agonist effect of</w:t>
      </w:r>
      <w:r w:rsidR="00A07758" w:rsidRPr="002464EF">
        <w:rPr>
          <w:rFonts w:ascii="Arial" w:hAnsi="Arial" w:cs="Arial"/>
        </w:rPr>
        <w:t xml:space="preserve"> aripiprazole on the dopamine D</w:t>
      </w:r>
      <w:r w:rsidRPr="002464EF">
        <w:rPr>
          <w:rFonts w:ascii="Arial" w:hAnsi="Arial" w:cs="Arial"/>
        </w:rPr>
        <w:t xml:space="preserve">2 receptor, </w:t>
      </w:r>
      <w:r w:rsidR="00A07758" w:rsidRPr="002464EF">
        <w:rPr>
          <w:rFonts w:ascii="Arial" w:hAnsi="Arial" w:cs="Arial"/>
        </w:rPr>
        <w:t>addition of aripiprazole may help to alleviate</w:t>
      </w:r>
      <w:r w:rsidRPr="002464EF">
        <w:rPr>
          <w:rFonts w:ascii="Arial" w:hAnsi="Arial" w:cs="Arial"/>
        </w:rPr>
        <w:t xml:space="preserve"> hyperprolactinaemia induced by other antipsychotic drugs.</w:t>
      </w:r>
    </w:p>
    <w:p w14:paraId="381E1B7D" w14:textId="2EA192FE" w:rsidR="00BA1432" w:rsidRPr="002464EF" w:rsidRDefault="00C2531A" w:rsidP="002165E9">
      <w:pPr>
        <w:numPr>
          <w:ilvl w:val="0"/>
          <w:numId w:val="29"/>
        </w:numPr>
        <w:spacing w:after="120"/>
        <w:ind w:left="1151" w:right="567" w:hanging="357"/>
        <w:rPr>
          <w:rFonts w:ascii="Arial" w:hAnsi="Arial" w:cs="Arial"/>
        </w:rPr>
      </w:pPr>
      <w:r w:rsidRPr="002464EF">
        <w:rPr>
          <w:rFonts w:ascii="Arial" w:hAnsi="Arial" w:cs="Arial"/>
        </w:rPr>
        <w:t>Use of aripiprazole i</w:t>
      </w:r>
      <w:r w:rsidR="002C5A52" w:rsidRPr="002464EF">
        <w:rPr>
          <w:rFonts w:ascii="Arial" w:hAnsi="Arial" w:cs="Arial"/>
        </w:rPr>
        <w:t xml:space="preserve">n this indication is </w:t>
      </w:r>
      <w:proofErr w:type="gramStart"/>
      <w:r w:rsidR="002C5A52" w:rsidRPr="002464EF">
        <w:rPr>
          <w:rFonts w:ascii="Arial" w:hAnsi="Arial" w:cs="Arial"/>
        </w:rPr>
        <w:t>off-label</w:t>
      </w:r>
      <w:proofErr w:type="gramEnd"/>
      <w:r w:rsidRPr="002464EF">
        <w:rPr>
          <w:rFonts w:ascii="Arial" w:hAnsi="Arial" w:cs="Arial"/>
        </w:rPr>
        <w:t>.</w:t>
      </w:r>
      <w:r w:rsidR="002165E9">
        <w:rPr>
          <w:rFonts w:ascii="Arial" w:hAnsi="Arial" w:cs="Arial"/>
        </w:rPr>
        <w:t xml:space="preserve"> </w:t>
      </w:r>
      <w:r w:rsidR="00700AEA" w:rsidRPr="002464EF">
        <w:rPr>
          <w:rFonts w:ascii="Arial" w:hAnsi="Arial" w:cs="Arial"/>
        </w:rPr>
        <w:t>Pat</w:t>
      </w:r>
      <w:r w:rsidR="00A07758" w:rsidRPr="002464EF">
        <w:rPr>
          <w:rFonts w:ascii="Arial" w:hAnsi="Arial" w:cs="Arial"/>
        </w:rPr>
        <w:t xml:space="preserve">ients should be </w:t>
      </w:r>
      <w:r w:rsidR="00F0101B" w:rsidRPr="002464EF">
        <w:rPr>
          <w:rFonts w:ascii="Arial" w:hAnsi="Arial" w:cs="Arial"/>
        </w:rPr>
        <w:t>informed,</w:t>
      </w:r>
      <w:r w:rsidR="00A07758" w:rsidRPr="002464EF">
        <w:rPr>
          <w:rFonts w:ascii="Arial" w:hAnsi="Arial" w:cs="Arial"/>
        </w:rPr>
        <w:t xml:space="preserve"> and</w:t>
      </w:r>
      <w:r w:rsidR="00700AEA" w:rsidRPr="002464EF">
        <w:rPr>
          <w:rFonts w:ascii="Arial" w:hAnsi="Arial" w:cs="Arial"/>
        </w:rPr>
        <w:t xml:space="preserve"> the discussion should be documented in their progress notes.</w:t>
      </w:r>
    </w:p>
    <w:p w14:paraId="761155DC" w14:textId="19EC5EB4" w:rsidR="00BA1432" w:rsidRPr="002464EF" w:rsidRDefault="00C2531A" w:rsidP="002165E9">
      <w:pPr>
        <w:numPr>
          <w:ilvl w:val="0"/>
          <w:numId w:val="29"/>
        </w:numPr>
        <w:spacing w:after="120"/>
        <w:ind w:left="1151" w:right="567" w:hanging="357"/>
        <w:rPr>
          <w:rFonts w:ascii="Arial" w:hAnsi="Arial" w:cs="Arial"/>
        </w:rPr>
      </w:pPr>
      <w:r w:rsidRPr="002464EF">
        <w:rPr>
          <w:rFonts w:ascii="Arial" w:hAnsi="Arial" w:cs="Arial"/>
        </w:rPr>
        <w:t>A dose of 5mg per day is usually sufficient</w:t>
      </w:r>
      <w:r w:rsidR="002165E9">
        <w:rPr>
          <w:rFonts w:ascii="Arial" w:hAnsi="Arial" w:cs="Arial"/>
        </w:rPr>
        <w:t>. S</w:t>
      </w:r>
      <w:r w:rsidR="00BC3CCF" w:rsidRPr="002464EF">
        <w:rPr>
          <w:rFonts w:ascii="Arial" w:hAnsi="Arial" w:cs="Arial"/>
        </w:rPr>
        <w:t>ome patients may</w:t>
      </w:r>
      <w:r w:rsidR="00C13263" w:rsidRPr="002464EF">
        <w:rPr>
          <w:rFonts w:ascii="Arial" w:hAnsi="Arial" w:cs="Arial"/>
        </w:rPr>
        <w:t xml:space="preserve"> </w:t>
      </w:r>
      <w:r w:rsidR="00BC3CCF" w:rsidRPr="002464EF">
        <w:rPr>
          <w:rFonts w:ascii="Arial" w:hAnsi="Arial" w:cs="Arial"/>
        </w:rPr>
        <w:t>require higher doses</w:t>
      </w:r>
      <w:r w:rsidR="002165E9">
        <w:rPr>
          <w:rFonts w:ascii="Arial" w:hAnsi="Arial" w:cs="Arial"/>
        </w:rPr>
        <w:t>,</w:t>
      </w:r>
      <w:r w:rsidR="00BC3CCF" w:rsidRPr="002464EF">
        <w:rPr>
          <w:rFonts w:ascii="Arial" w:hAnsi="Arial" w:cs="Arial"/>
        </w:rPr>
        <w:t xml:space="preserve"> but this is usually unnecessary</w:t>
      </w:r>
      <w:r w:rsidRPr="002464EF">
        <w:rPr>
          <w:rFonts w:ascii="Arial" w:hAnsi="Arial" w:cs="Arial"/>
        </w:rPr>
        <w:t>.</w:t>
      </w:r>
      <w:r w:rsidR="002165E9">
        <w:rPr>
          <w:rFonts w:ascii="Arial" w:hAnsi="Arial" w:cs="Arial"/>
        </w:rPr>
        <w:t xml:space="preserve"> </w:t>
      </w:r>
      <w:r w:rsidR="00E60F8A" w:rsidRPr="002464EF">
        <w:rPr>
          <w:rFonts w:ascii="Arial" w:hAnsi="Arial" w:cs="Arial"/>
        </w:rPr>
        <w:t>Note that relative potency at the D2 receptor generally dictates the dose of aripiprazole required to normalise prolactin.</w:t>
      </w:r>
    </w:p>
    <w:p w14:paraId="1217D5C1" w14:textId="5F717CC7" w:rsidR="00BA1432" w:rsidRPr="002464EF" w:rsidRDefault="00C2531A" w:rsidP="002165E9">
      <w:pPr>
        <w:numPr>
          <w:ilvl w:val="0"/>
          <w:numId w:val="29"/>
        </w:numPr>
        <w:spacing w:after="120"/>
        <w:ind w:left="1151" w:right="567" w:hanging="357"/>
        <w:rPr>
          <w:rFonts w:ascii="Arial" w:hAnsi="Arial" w:cs="Arial"/>
        </w:rPr>
      </w:pPr>
      <w:r w:rsidRPr="002464EF">
        <w:rPr>
          <w:rFonts w:ascii="Arial" w:hAnsi="Arial" w:cs="Arial"/>
        </w:rPr>
        <w:t>Normalisation of prolacti</w:t>
      </w:r>
      <w:r w:rsidR="002165E9">
        <w:rPr>
          <w:rFonts w:ascii="Arial" w:hAnsi="Arial" w:cs="Arial"/>
        </w:rPr>
        <w:t>n levels usually occurs quickly. I</w:t>
      </w:r>
      <w:r w:rsidRPr="002464EF">
        <w:rPr>
          <w:rFonts w:ascii="Arial" w:hAnsi="Arial" w:cs="Arial"/>
        </w:rPr>
        <w:t xml:space="preserve">f no improvement </w:t>
      </w:r>
      <w:r w:rsidR="00A07758" w:rsidRPr="002464EF">
        <w:rPr>
          <w:rFonts w:ascii="Arial" w:hAnsi="Arial" w:cs="Arial"/>
        </w:rPr>
        <w:t xml:space="preserve">is seen </w:t>
      </w:r>
      <w:r w:rsidRPr="002464EF">
        <w:rPr>
          <w:rFonts w:ascii="Arial" w:hAnsi="Arial" w:cs="Arial"/>
        </w:rPr>
        <w:t>within three months</w:t>
      </w:r>
      <w:r w:rsidR="00DE169F" w:rsidRPr="002464EF">
        <w:rPr>
          <w:rFonts w:ascii="Arial" w:hAnsi="Arial" w:cs="Arial"/>
        </w:rPr>
        <w:t>,</w:t>
      </w:r>
      <w:r w:rsidRPr="002464EF">
        <w:rPr>
          <w:rFonts w:ascii="Arial" w:hAnsi="Arial" w:cs="Arial"/>
        </w:rPr>
        <w:t xml:space="preserve"> an alternative strategy should be considered. </w:t>
      </w:r>
    </w:p>
    <w:p w14:paraId="37701844" w14:textId="77777777" w:rsidR="002C5A52" w:rsidRPr="002464EF" w:rsidRDefault="00C2531A" w:rsidP="002165E9">
      <w:pPr>
        <w:numPr>
          <w:ilvl w:val="0"/>
          <w:numId w:val="29"/>
        </w:numPr>
        <w:spacing w:after="120"/>
        <w:ind w:left="1151" w:right="567" w:hanging="357"/>
        <w:rPr>
          <w:rFonts w:ascii="Arial" w:hAnsi="Arial" w:cs="Arial"/>
        </w:rPr>
      </w:pPr>
      <w:r w:rsidRPr="002464EF">
        <w:rPr>
          <w:rFonts w:ascii="Arial" w:hAnsi="Arial" w:cs="Arial"/>
        </w:rPr>
        <w:t>Where augmentation with aripiprazole is effective at reducing prolactin levels, consideration should be given to gradually withdrawing the antipsychotic responsible for elevating prolactin with a view to maintaining treatment with aripiprazole monotherapy.</w:t>
      </w:r>
    </w:p>
    <w:p w14:paraId="625FC9A9" w14:textId="4D8F6432" w:rsidR="002C5A52" w:rsidRPr="002464EF" w:rsidRDefault="002C5A52" w:rsidP="002165E9">
      <w:pPr>
        <w:numPr>
          <w:ilvl w:val="0"/>
          <w:numId w:val="29"/>
        </w:numPr>
        <w:spacing w:after="120"/>
        <w:ind w:left="1151" w:right="567" w:hanging="357"/>
        <w:rPr>
          <w:rFonts w:ascii="Arial" w:hAnsi="Arial" w:cs="Arial"/>
        </w:rPr>
      </w:pPr>
      <w:r w:rsidRPr="002464EF">
        <w:rPr>
          <w:rFonts w:ascii="Arial" w:hAnsi="Arial" w:cs="Arial"/>
        </w:rPr>
        <w:lastRenderedPageBreak/>
        <w:t xml:space="preserve">Where it is imperative that the patient </w:t>
      </w:r>
      <w:r w:rsidR="00925610" w:rsidRPr="002464EF">
        <w:rPr>
          <w:rFonts w:ascii="Arial" w:hAnsi="Arial" w:cs="Arial"/>
        </w:rPr>
        <w:t>is maint</w:t>
      </w:r>
      <w:r w:rsidR="002165E9">
        <w:rPr>
          <w:rFonts w:ascii="Arial" w:hAnsi="Arial" w:cs="Arial"/>
        </w:rPr>
        <w:t>ained on the same antipsychotic</w:t>
      </w:r>
      <w:r w:rsidR="00925610" w:rsidRPr="002464EF">
        <w:rPr>
          <w:rFonts w:ascii="Arial" w:hAnsi="Arial" w:cs="Arial"/>
        </w:rPr>
        <w:t xml:space="preserve"> and a trial of low dose aripiprazole has failed,</w:t>
      </w:r>
      <w:r w:rsidRPr="002464EF">
        <w:rPr>
          <w:rFonts w:ascii="Arial" w:hAnsi="Arial" w:cs="Arial"/>
        </w:rPr>
        <w:t xml:space="preserve"> </w:t>
      </w:r>
      <w:r w:rsidR="008D2643" w:rsidRPr="002464EF">
        <w:rPr>
          <w:rFonts w:ascii="Arial" w:hAnsi="Arial" w:cs="Arial"/>
        </w:rPr>
        <w:t>seek advice from Endocrinology.</w:t>
      </w:r>
    </w:p>
    <w:p w14:paraId="0E7B36A0" w14:textId="0DD120A6" w:rsidR="00C2531A" w:rsidRDefault="00C2531A" w:rsidP="00071CCF">
      <w:pPr>
        <w:numPr>
          <w:ilvl w:val="0"/>
          <w:numId w:val="29"/>
        </w:numPr>
        <w:ind w:left="1151" w:right="567" w:hanging="357"/>
        <w:rPr>
          <w:rFonts w:ascii="Arial" w:hAnsi="Arial" w:cs="Arial"/>
        </w:rPr>
      </w:pPr>
      <w:r w:rsidRPr="002464EF">
        <w:rPr>
          <w:rFonts w:ascii="Arial" w:hAnsi="Arial" w:cs="Arial"/>
        </w:rPr>
        <w:t xml:space="preserve">Combined treatment with aripiprazole and another antipsychotic drug should be a last resort where other </w:t>
      </w:r>
      <w:proofErr w:type="gramStart"/>
      <w:r w:rsidRPr="002464EF">
        <w:rPr>
          <w:rFonts w:ascii="Arial" w:hAnsi="Arial" w:cs="Arial"/>
        </w:rPr>
        <w:t>aforementione</w:t>
      </w:r>
      <w:r w:rsidR="002165E9">
        <w:rPr>
          <w:rFonts w:ascii="Arial" w:hAnsi="Arial" w:cs="Arial"/>
        </w:rPr>
        <w:t>d strategies</w:t>
      </w:r>
      <w:proofErr w:type="gramEnd"/>
      <w:r w:rsidR="002165E9">
        <w:rPr>
          <w:rFonts w:ascii="Arial" w:hAnsi="Arial" w:cs="Arial"/>
        </w:rPr>
        <w:t xml:space="preserve"> have failed. </w:t>
      </w:r>
      <w:r w:rsidRPr="002464EF">
        <w:rPr>
          <w:rFonts w:ascii="Arial" w:hAnsi="Arial" w:cs="Arial"/>
        </w:rPr>
        <w:t>In cases where combination therapy is necessary</w:t>
      </w:r>
      <w:r w:rsidR="00925610" w:rsidRPr="002464EF">
        <w:rPr>
          <w:rFonts w:ascii="Arial" w:hAnsi="Arial" w:cs="Arial"/>
        </w:rPr>
        <w:t>,</w:t>
      </w:r>
      <w:r w:rsidRPr="002464EF">
        <w:rPr>
          <w:rFonts w:ascii="Arial" w:hAnsi="Arial" w:cs="Arial"/>
        </w:rPr>
        <w:t xml:space="preserve"> clinicians must consider the implications and discuss these full</w:t>
      </w:r>
      <w:r w:rsidR="002165E9">
        <w:rPr>
          <w:rFonts w:ascii="Arial" w:hAnsi="Arial" w:cs="Arial"/>
        </w:rPr>
        <w:t>y with patients and/or carers. The u</w:t>
      </w:r>
      <w:r w:rsidRPr="002464EF">
        <w:rPr>
          <w:rFonts w:ascii="Arial" w:hAnsi="Arial" w:cs="Arial"/>
        </w:rPr>
        <w:t>se of more than one antipsychotic in combination may result in treatment with High Dose</w:t>
      </w:r>
      <w:r w:rsidR="002165E9">
        <w:rPr>
          <w:rFonts w:ascii="Arial" w:hAnsi="Arial" w:cs="Arial"/>
        </w:rPr>
        <w:t xml:space="preserve"> Antipsychotic Therapy (HDAT). </w:t>
      </w:r>
      <w:r w:rsidRPr="002464EF">
        <w:rPr>
          <w:rFonts w:ascii="Arial" w:hAnsi="Arial" w:cs="Arial"/>
        </w:rPr>
        <w:t>The guidance in</w:t>
      </w:r>
      <w:r w:rsidR="00071CCF">
        <w:rPr>
          <w:rFonts w:ascii="Arial" w:hAnsi="Arial" w:cs="Arial"/>
        </w:rPr>
        <w:t xml:space="preserve"> </w:t>
      </w:r>
      <w:hyperlink r:id="rId14" w:history="1">
        <w:r w:rsidR="00071CCF">
          <w:rPr>
            <w:rStyle w:val="Hyperlink"/>
            <w:rFonts w:ascii="Arial" w:hAnsi="Arial" w:cs="Arial"/>
          </w:rPr>
          <w:t>PPT-PGN-10 - Guidelines for the Use of High-Dose Antipsychotic Therapy</w:t>
        </w:r>
      </w:hyperlink>
      <w:r w:rsidR="00071CCF">
        <w:rPr>
          <w:rFonts w:ascii="Arial" w:hAnsi="Arial" w:cs="Arial"/>
        </w:rPr>
        <w:t xml:space="preserve"> </w:t>
      </w:r>
      <w:r w:rsidRPr="002464EF">
        <w:rPr>
          <w:rFonts w:ascii="Arial" w:hAnsi="Arial" w:cs="Arial"/>
        </w:rPr>
        <w:t>should be followed</w:t>
      </w:r>
      <w:r w:rsidR="00925610" w:rsidRPr="002464EF">
        <w:rPr>
          <w:rFonts w:ascii="Arial" w:hAnsi="Arial" w:cs="Arial"/>
        </w:rPr>
        <w:t>.</w:t>
      </w:r>
    </w:p>
    <w:p w14:paraId="2ADE2A7E" w14:textId="77777777" w:rsidR="00071CCF" w:rsidRPr="00071CCF" w:rsidRDefault="00071CCF" w:rsidP="00071CCF">
      <w:pPr>
        <w:ind w:left="1151" w:right="567"/>
        <w:rPr>
          <w:rFonts w:ascii="Arial" w:hAnsi="Arial" w:cs="Arial"/>
        </w:rPr>
      </w:pPr>
    </w:p>
    <w:p w14:paraId="27EB6394" w14:textId="24F3F547" w:rsidR="00C2531A" w:rsidRDefault="002165E9" w:rsidP="002165E9">
      <w:pPr>
        <w:ind w:left="794" w:hanging="794"/>
        <w:rPr>
          <w:rFonts w:ascii="Arial" w:hAnsi="Arial" w:cs="Arial"/>
          <w:b/>
        </w:rPr>
      </w:pPr>
      <w:r w:rsidRPr="00AC72C0">
        <w:rPr>
          <w:rFonts w:ascii="Arial" w:hAnsi="Arial" w:cs="Arial"/>
          <w:b/>
          <w:bCs/>
        </w:rPr>
        <w:t>4.8.2</w:t>
      </w:r>
      <w:r>
        <w:rPr>
          <w:rFonts w:ascii="Arial" w:hAnsi="Arial" w:cs="Arial"/>
          <w:b/>
        </w:rPr>
        <w:t xml:space="preserve"> </w:t>
      </w:r>
      <w:r>
        <w:rPr>
          <w:rFonts w:ascii="Arial" w:hAnsi="Arial" w:cs="Arial"/>
          <w:b/>
        </w:rPr>
        <w:tab/>
      </w:r>
      <w:r w:rsidR="00C2531A" w:rsidRPr="002464EF">
        <w:rPr>
          <w:rFonts w:ascii="Arial" w:hAnsi="Arial" w:cs="Arial"/>
          <w:b/>
        </w:rPr>
        <w:t>Dopamine Agonists</w:t>
      </w:r>
    </w:p>
    <w:p w14:paraId="3E155EB7" w14:textId="77777777" w:rsidR="002165E9" w:rsidRPr="002464EF" w:rsidRDefault="002165E9" w:rsidP="002165E9">
      <w:pPr>
        <w:ind w:left="794" w:hanging="794"/>
        <w:rPr>
          <w:rFonts w:ascii="Arial" w:hAnsi="Arial" w:cs="Arial"/>
          <w:b/>
        </w:rPr>
      </w:pPr>
    </w:p>
    <w:p w14:paraId="0C57FB3D" w14:textId="579C02E8" w:rsidR="00BA1432" w:rsidRPr="00975C61" w:rsidRDefault="00BA1432" w:rsidP="00071CCF">
      <w:pPr>
        <w:pStyle w:val="Header"/>
        <w:numPr>
          <w:ilvl w:val="0"/>
          <w:numId w:val="12"/>
        </w:numPr>
        <w:tabs>
          <w:tab w:val="clear" w:pos="4153"/>
          <w:tab w:val="clear" w:pos="8306"/>
        </w:tabs>
        <w:spacing w:after="120"/>
        <w:ind w:left="1151" w:right="567" w:hanging="357"/>
        <w:rPr>
          <w:rFonts w:ascii="Arial" w:hAnsi="Arial" w:cs="Arial"/>
          <w:b/>
        </w:rPr>
      </w:pPr>
      <w:r w:rsidRPr="002464EF">
        <w:rPr>
          <w:rFonts w:ascii="Arial" w:hAnsi="Arial" w:cs="Arial"/>
        </w:rPr>
        <w:t xml:space="preserve">Dopamine agonists such as cabergoline and bromocriptine can be effective at reducing </w:t>
      </w:r>
      <w:r w:rsidR="00F0101B" w:rsidRPr="002464EF">
        <w:rPr>
          <w:rFonts w:ascii="Arial" w:hAnsi="Arial" w:cs="Arial"/>
        </w:rPr>
        <w:t>prolactin</w:t>
      </w:r>
      <w:r w:rsidR="00F0101B">
        <w:rPr>
          <w:rFonts w:ascii="Arial" w:hAnsi="Arial" w:cs="Arial"/>
        </w:rPr>
        <w:t xml:space="preserve"> but</w:t>
      </w:r>
      <w:r w:rsidR="00925610" w:rsidRPr="002464EF">
        <w:rPr>
          <w:rFonts w:ascii="Arial" w:hAnsi="Arial" w:cs="Arial"/>
        </w:rPr>
        <w:t xml:space="preserve"> are contraindicated in severe mental illness due to the potential for destabilisation</w:t>
      </w:r>
      <w:r w:rsidR="00700AEA" w:rsidRPr="002464EF">
        <w:rPr>
          <w:rFonts w:ascii="Arial" w:hAnsi="Arial" w:cs="Arial"/>
        </w:rPr>
        <w:t xml:space="preserve"> (emergence of </w:t>
      </w:r>
      <w:r w:rsidR="00700AEA" w:rsidRPr="00975C61">
        <w:rPr>
          <w:rFonts w:ascii="Arial" w:hAnsi="Arial" w:cs="Arial"/>
        </w:rPr>
        <w:t>psychotic or manic symptoms</w:t>
      </w:r>
      <w:r w:rsidR="0047350A" w:rsidRPr="00975C61">
        <w:rPr>
          <w:rFonts w:ascii="Arial" w:hAnsi="Arial" w:cs="Arial"/>
        </w:rPr>
        <w:t xml:space="preserve"> or impulse-control disorder</w:t>
      </w:r>
      <w:r w:rsidR="00700AEA" w:rsidRPr="00975C61">
        <w:rPr>
          <w:rFonts w:ascii="Arial" w:hAnsi="Arial" w:cs="Arial"/>
        </w:rPr>
        <w:t>)</w:t>
      </w:r>
      <w:r w:rsidRPr="00975C61">
        <w:rPr>
          <w:rFonts w:ascii="Arial" w:hAnsi="Arial" w:cs="Arial"/>
        </w:rPr>
        <w:t>.</w:t>
      </w:r>
      <w:r w:rsidR="00925610" w:rsidRPr="00975C61">
        <w:rPr>
          <w:rFonts w:ascii="Arial" w:hAnsi="Arial" w:cs="Arial"/>
        </w:rPr>
        <w:t xml:space="preserve">  </w:t>
      </w:r>
    </w:p>
    <w:p w14:paraId="264DF7CD" w14:textId="0DBC3809" w:rsidR="00BA1432" w:rsidRPr="00975C61" w:rsidRDefault="00BA1432" w:rsidP="00071CCF">
      <w:pPr>
        <w:pStyle w:val="Header"/>
        <w:numPr>
          <w:ilvl w:val="0"/>
          <w:numId w:val="12"/>
        </w:numPr>
        <w:tabs>
          <w:tab w:val="clear" w:pos="4153"/>
          <w:tab w:val="clear" w:pos="8306"/>
        </w:tabs>
        <w:ind w:left="1151" w:right="567" w:hanging="357"/>
        <w:rPr>
          <w:rFonts w:ascii="Arial" w:hAnsi="Arial" w:cs="Arial"/>
          <w:b/>
        </w:rPr>
      </w:pPr>
      <w:r w:rsidRPr="00975C61">
        <w:rPr>
          <w:rFonts w:ascii="Arial" w:hAnsi="Arial" w:cs="Arial"/>
        </w:rPr>
        <w:t xml:space="preserve">Dopamine agonists should </w:t>
      </w:r>
      <w:r w:rsidR="00925610" w:rsidRPr="00975C61">
        <w:rPr>
          <w:rFonts w:ascii="Arial" w:hAnsi="Arial" w:cs="Arial"/>
        </w:rPr>
        <w:t xml:space="preserve">therefore </w:t>
      </w:r>
      <w:r w:rsidRPr="00975C61">
        <w:rPr>
          <w:rFonts w:ascii="Arial" w:hAnsi="Arial" w:cs="Arial"/>
        </w:rPr>
        <w:t xml:space="preserve">not routinely be used for managing hyperprolactinaemia </w:t>
      </w:r>
      <w:r w:rsidR="00700AEA" w:rsidRPr="00975C61">
        <w:rPr>
          <w:rFonts w:ascii="Arial" w:hAnsi="Arial" w:cs="Arial"/>
        </w:rPr>
        <w:t xml:space="preserve">related to </w:t>
      </w:r>
      <w:r w:rsidR="00093A68" w:rsidRPr="00975C61">
        <w:rPr>
          <w:rFonts w:ascii="Arial" w:hAnsi="Arial" w:cs="Arial"/>
        </w:rPr>
        <w:t xml:space="preserve">antipsychotic </w:t>
      </w:r>
      <w:r w:rsidR="00700AEA" w:rsidRPr="00975C61">
        <w:rPr>
          <w:rFonts w:ascii="Arial" w:hAnsi="Arial" w:cs="Arial"/>
        </w:rPr>
        <w:t xml:space="preserve">medication </w:t>
      </w:r>
      <w:r w:rsidRPr="00975C61">
        <w:rPr>
          <w:rFonts w:ascii="Arial" w:hAnsi="Arial" w:cs="Arial"/>
        </w:rPr>
        <w:t xml:space="preserve">and should only be initiated on specialist </w:t>
      </w:r>
      <w:r w:rsidR="008D2643" w:rsidRPr="00975C61">
        <w:rPr>
          <w:rFonts w:ascii="Arial" w:hAnsi="Arial" w:cs="Arial"/>
        </w:rPr>
        <w:t>Endocrinology</w:t>
      </w:r>
      <w:r w:rsidRPr="00975C61">
        <w:rPr>
          <w:rFonts w:ascii="Arial" w:hAnsi="Arial" w:cs="Arial"/>
        </w:rPr>
        <w:t xml:space="preserve"> advice</w:t>
      </w:r>
      <w:r w:rsidR="0047350A" w:rsidRPr="00975C61">
        <w:rPr>
          <w:rFonts w:ascii="Arial" w:hAnsi="Arial" w:cs="Arial"/>
        </w:rPr>
        <w:t>, and where other avenues have been fully explored</w:t>
      </w:r>
      <w:r w:rsidRPr="00975C61">
        <w:rPr>
          <w:rFonts w:ascii="Arial" w:hAnsi="Arial" w:cs="Arial"/>
        </w:rPr>
        <w:t>.</w:t>
      </w:r>
    </w:p>
    <w:p w14:paraId="5C253380" w14:textId="65453DAC" w:rsidR="00EE712B" w:rsidRPr="00975C61" w:rsidRDefault="00EE712B" w:rsidP="00071CCF">
      <w:pPr>
        <w:pStyle w:val="Header"/>
        <w:tabs>
          <w:tab w:val="clear" w:pos="4153"/>
          <w:tab w:val="left" w:pos="1134"/>
        </w:tabs>
        <w:ind w:right="837"/>
        <w:jc w:val="both"/>
        <w:rPr>
          <w:rFonts w:ascii="Arial" w:hAnsi="Arial" w:cs="Arial"/>
          <w:b/>
        </w:rPr>
      </w:pPr>
    </w:p>
    <w:p w14:paraId="1A35ACA3" w14:textId="2D7E5F3C" w:rsidR="00BA1432" w:rsidRPr="00975C61" w:rsidRDefault="00071CCF" w:rsidP="00071CCF">
      <w:pPr>
        <w:ind w:left="794" w:hanging="794"/>
        <w:rPr>
          <w:rFonts w:ascii="Arial" w:hAnsi="Arial" w:cs="Arial"/>
          <w:b/>
        </w:rPr>
      </w:pPr>
      <w:r w:rsidRPr="00AC72C0">
        <w:rPr>
          <w:rFonts w:ascii="Arial" w:hAnsi="Arial" w:cs="Arial"/>
          <w:b/>
          <w:bCs/>
        </w:rPr>
        <w:t>4.9</w:t>
      </w:r>
      <w:r w:rsidRPr="00975C61">
        <w:rPr>
          <w:rFonts w:ascii="Arial" w:hAnsi="Arial" w:cs="Arial"/>
          <w:b/>
        </w:rPr>
        <w:tab/>
      </w:r>
      <w:r w:rsidR="007077E8" w:rsidRPr="00975C61">
        <w:rPr>
          <w:rFonts w:ascii="Arial" w:hAnsi="Arial" w:cs="Arial"/>
          <w:b/>
        </w:rPr>
        <w:t xml:space="preserve">Role of the Endocrinologist </w:t>
      </w:r>
    </w:p>
    <w:p w14:paraId="70C34700" w14:textId="77777777" w:rsidR="00851A8D" w:rsidRPr="00975C61" w:rsidRDefault="00851A8D" w:rsidP="002464EF">
      <w:pPr>
        <w:pStyle w:val="ListParagraph"/>
        <w:ind w:left="0"/>
        <w:rPr>
          <w:rFonts w:cs="Arial"/>
        </w:rPr>
      </w:pPr>
    </w:p>
    <w:p w14:paraId="165DD61E" w14:textId="69ADE68A" w:rsidR="002A135B" w:rsidRPr="00975C61" w:rsidRDefault="002A135B" w:rsidP="00071CCF">
      <w:pPr>
        <w:pStyle w:val="ListParagraph"/>
        <w:numPr>
          <w:ilvl w:val="0"/>
          <w:numId w:val="44"/>
        </w:numPr>
        <w:spacing w:after="120"/>
        <w:ind w:left="1151" w:right="567" w:hanging="357"/>
        <w:rPr>
          <w:rFonts w:ascii="Arial" w:hAnsi="Arial" w:cs="Arial"/>
        </w:rPr>
      </w:pPr>
      <w:r w:rsidRPr="00975C61">
        <w:rPr>
          <w:rFonts w:ascii="Arial" w:hAnsi="Arial" w:cs="Arial"/>
        </w:rPr>
        <w:t>To advise on markedly elevated prolactin levels with concomitant visual field disturbances, double vision or persistent headache</w:t>
      </w:r>
      <w:r w:rsidR="00071CCF" w:rsidRPr="00975C61">
        <w:rPr>
          <w:rFonts w:ascii="Arial" w:hAnsi="Arial" w:cs="Arial"/>
        </w:rPr>
        <w:t>.</w:t>
      </w:r>
    </w:p>
    <w:p w14:paraId="0E87BD1E" w14:textId="551D54E6" w:rsidR="002F18FC" w:rsidRPr="00975C61" w:rsidRDefault="007077E8" w:rsidP="00071CCF">
      <w:pPr>
        <w:pStyle w:val="ListParagraph"/>
        <w:numPr>
          <w:ilvl w:val="0"/>
          <w:numId w:val="44"/>
        </w:numPr>
        <w:spacing w:after="120"/>
        <w:ind w:left="1151" w:right="567" w:hanging="357"/>
        <w:rPr>
          <w:rFonts w:ascii="Arial" w:hAnsi="Arial" w:cs="Arial"/>
        </w:rPr>
      </w:pPr>
      <w:r w:rsidRPr="00975C61">
        <w:rPr>
          <w:rFonts w:ascii="Arial" w:hAnsi="Arial" w:cs="Arial"/>
        </w:rPr>
        <w:t>To advise which patients might require pituitary MRI scan</w:t>
      </w:r>
      <w:r w:rsidR="00071CCF" w:rsidRPr="00975C61">
        <w:rPr>
          <w:rFonts w:ascii="Arial" w:hAnsi="Arial" w:cs="Arial"/>
        </w:rPr>
        <w:t>.</w:t>
      </w:r>
    </w:p>
    <w:p w14:paraId="16F1F4F0" w14:textId="083F001E" w:rsidR="007077E8" w:rsidRPr="00975C61" w:rsidRDefault="007077E8" w:rsidP="00071CCF">
      <w:pPr>
        <w:pStyle w:val="ListParagraph"/>
        <w:numPr>
          <w:ilvl w:val="0"/>
          <w:numId w:val="44"/>
        </w:numPr>
        <w:spacing w:after="120"/>
        <w:ind w:left="1151" w:right="567" w:hanging="357"/>
        <w:rPr>
          <w:rFonts w:ascii="Arial" w:hAnsi="Arial" w:cs="Arial"/>
        </w:rPr>
      </w:pPr>
      <w:r w:rsidRPr="00975C61">
        <w:rPr>
          <w:rFonts w:ascii="Arial" w:hAnsi="Arial" w:cs="Arial"/>
        </w:rPr>
        <w:t>To assist with prescribing replacement hormone regimens (testosterone or female HRT) for</w:t>
      </w:r>
      <w:r w:rsidR="00F64C54" w:rsidRPr="00975C61">
        <w:rPr>
          <w:rFonts w:ascii="Arial" w:hAnsi="Arial" w:cs="Arial"/>
        </w:rPr>
        <w:t xml:space="preserve"> patients experiencing </w:t>
      </w:r>
      <w:r w:rsidRPr="00975C61">
        <w:rPr>
          <w:rFonts w:ascii="Arial" w:hAnsi="Arial" w:cs="Arial"/>
        </w:rPr>
        <w:t>refractory hyperprolactinaemic hypogonadism</w:t>
      </w:r>
      <w:r w:rsidR="00071CCF" w:rsidRPr="00975C61">
        <w:rPr>
          <w:rFonts w:ascii="Arial" w:hAnsi="Arial" w:cs="Arial"/>
        </w:rPr>
        <w:t>.</w:t>
      </w:r>
    </w:p>
    <w:p w14:paraId="42F2DC2F" w14:textId="77777777" w:rsidR="00F77687" w:rsidRDefault="00F64C54" w:rsidP="00F77687">
      <w:pPr>
        <w:pStyle w:val="ListParagraph"/>
        <w:numPr>
          <w:ilvl w:val="0"/>
          <w:numId w:val="44"/>
        </w:numPr>
        <w:spacing w:before="120" w:after="120"/>
        <w:ind w:left="1151" w:right="567" w:hanging="357"/>
        <w:rPr>
          <w:rFonts w:ascii="Arial" w:hAnsi="Arial" w:cs="Arial"/>
        </w:rPr>
      </w:pPr>
      <w:r w:rsidRPr="00644CA4">
        <w:rPr>
          <w:rFonts w:ascii="Arial" w:hAnsi="Arial" w:cs="Arial"/>
        </w:rPr>
        <w:t xml:space="preserve">To advise on </w:t>
      </w:r>
      <w:r w:rsidR="009741AF" w:rsidRPr="00644CA4">
        <w:rPr>
          <w:rFonts w:ascii="Arial" w:hAnsi="Arial" w:cs="Arial"/>
        </w:rPr>
        <w:t>management of hypogonadism where alternative management of antipsychotic-induced hyperprolactinaemia has failed</w:t>
      </w:r>
      <w:r w:rsidR="00071CCF" w:rsidRPr="00644CA4">
        <w:rPr>
          <w:rFonts w:ascii="Arial" w:hAnsi="Arial" w:cs="Arial"/>
        </w:rPr>
        <w:t>.</w:t>
      </w:r>
    </w:p>
    <w:p w14:paraId="02ED2B1A" w14:textId="7C46CB51" w:rsidR="00F77687" w:rsidRPr="007B2AFC" w:rsidRDefault="00F77687" w:rsidP="00F77687">
      <w:pPr>
        <w:pStyle w:val="ListParagraph"/>
        <w:numPr>
          <w:ilvl w:val="0"/>
          <w:numId w:val="44"/>
        </w:numPr>
        <w:spacing w:before="120" w:after="120"/>
        <w:ind w:left="1151" w:right="567" w:hanging="357"/>
        <w:rPr>
          <w:rFonts w:ascii="Arial" w:hAnsi="Arial" w:cs="Arial"/>
        </w:rPr>
      </w:pPr>
      <w:r w:rsidRPr="007B2AFC">
        <w:rPr>
          <w:rFonts w:ascii="Arial" w:hAnsi="Arial" w:cs="Arial"/>
        </w:rPr>
        <w:t>Please note: a referral to endocrinology may be rejected if the patient has a predicable rise in prolactin levels due to dopamine blocking medication and the absence of any additional symptoms suggestive of a prolactinoma. Consider the above measures to reduce prolactin in this instance and reevaluate the clinical situation and prolactin level before deciding if a referral is required.</w:t>
      </w:r>
    </w:p>
    <w:p w14:paraId="23919921" w14:textId="77777777" w:rsidR="00E60F8A" w:rsidRPr="00975C61" w:rsidRDefault="00E60F8A" w:rsidP="00B32596">
      <w:pPr>
        <w:rPr>
          <w:rFonts w:ascii="Arial" w:hAnsi="Arial" w:cs="Arial"/>
        </w:rPr>
      </w:pPr>
    </w:p>
    <w:p w14:paraId="25A146FC" w14:textId="6528BC00" w:rsidR="00E60F8A" w:rsidRPr="00F77687" w:rsidRDefault="001D1864" w:rsidP="00F77687">
      <w:pPr>
        <w:ind w:left="720" w:hanging="720"/>
        <w:rPr>
          <w:rFonts w:ascii="Arial" w:hAnsi="Arial" w:cs="Arial"/>
        </w:rPr>
      </w:pPr>
      <w:r>
        <w:rPr>
          <w:rFonts w:ascii="Arial" w:hAnsi="Arial" w:cs="Arial"/>
        </w:rPr>
        <w:t xml:space="preserve">4.10  </w:t>
      </w:r>
      <w:r>
        <w:rPr>
          <w:rFonts w:ascii="Arial" w:hAnsi="Arial" w:cs="Arial"/>
        </w:rPr>
        <w:tab/>
      </w:r>
      <w:r w:rsidRPr="001D1864">
        <w:rPr>
          <w:rFonts w:ascii="Arial" w:hAnsi="Arial" w:cs="Arial"/>
          <w:b/>
          <w:bCs/>
        </w:rPr>
        <w:t>Quick Guide to Hyperprolactinaemia for staff, patients and carers</w:t>
      </w:r>
      <w:r w:rsidRPr="001D1864">
        <w:rPr>
          <w:rFonts w:ascii="Arial" w:hAnsi="Arial" w:cs="Arial"/>
        </w:rPr>
        <w:t xml:space="preserve"> Information for patients and carers is available on the Choice &amp; Medication website </w:t>
      </w:r>
      <w:hyperlink r:id="rId15" w:history="1">
        <w:r w:rsidRPr="001D1864">
          <w:rPr>
            <w:rStyle w:val="Hyperlink"/>
            <w:rFonts w:ascii="Arial" w:hAnsi="Arial" w:cs="Arial"/>
          </w:rPr>
          <w:t>choiceandmedication.org/cntw/generate/handyfactsheethyperprolactinaemia.pdf/</w:t>
        </w:r>
      </w:hyperlink>
    </w:p>
    <w:p w14:paraId="372CF91B" w14:textId="1C92A988" w:rsidR="002548E9" w:rsidRPr="002464EF" w:rsidRDefault="00BE19C1" w:rsidP="00BE19C1">
      <w:pPr>
        <w:ind w:left="794" w:hanging="794"/>
        <w:rPr>
          <w:rFonts w:ascii="Arial" w:hAnsi="Arial" w:cs="Arial"/>
          <w:b/>
        </w:rPr>
      </w:pPr>
      <w:r>
        <w:rPr>
          <w:rFonts w:ascii="Arial" w:hAnsi="Arial" w:cs="Arial"/>
          <w:b/>
        </w:rPr>
        <w:lastRenderedPageBreak/>
        <w:t>5.</w:t>
      </w:r>
      <w:r>
        <w:rPr>
          <w:rFonts w:ascii="Arial" w:hAnsi="Arial" w:cs="Arial"/>
          <w:b/>
        </w:rPr>
        <w:tab/>
      </w:r>
      <w:r w:rsidR="002548E9" w:rsidRPr="002464EF">
        <w:rPr>
          <w:rFonts w:ascii="Arial" w:hAnsi="Arial" w:cs="Arial"/>
          <w:b/>
        </w:rPr>
        <w:t>References</w:t>
      </w:r>
    </w:p>
    <w:p w14:paraId="535D4631" w14:textId="77777777" w:rsidR="00A07758" w:rsidRPr="002464EF" w:rsidRDefault="00A07758" w:rsidP="002464EF">
      <w:pPr>
        <w:pStyle w:val="Normal10pt"/>
        <w:tabs>
          <w:tab w:val="clear" w:pos="360"/>
        </w:tabs>
        <w:spacing w:before="0"/>
        <w:ind w:left="360" w:firstLine="0"/>
        <w:rPr>
          <w:rFonts w:cs="Arial"/>
          <w:b/>
          <w:sz w:val="24"/>
          <w:szCs w:val="24"/>
        </w:rPr>
      </w:pPr>
    </w:p>
    <w:p w14:paraId="3C5AA748" w14:textId="5019DEB9" w:rsidR="006F52B3" w:rsidRPr="002464EF" w:rsidRDefault="006F52B3" w:rsidP="00BE19C1">
      <w:pPr>
        <w:pStyle w:val="Normal10pt"/>
        <w:numPr>
          <w:ilvl w:val="0"/>
          <w:numId w:val="2"/>
        </w:numPr>
        <w:spacing w:before="0" w:after="120"/>
        <w:ind w:left="1151" w:right="567" w:hanging="357"/>
        <w:jc w:val="left"/>
        <w:rPr>
          <w:sz w:val="24"/>
        </w:rPr>
      </w:pPr>
      <w:r w:rsidRPr="002464EF">
        <w:rPr>
          <w:sz w:val="24"/>
          <w:lang w:val="en"/>
        </w:rPr>
        <w:t>Arentz, S., Smith, C. A., Abbott, J., Fahey, P., Chee</w:t>
      </w:r>
      <w:r w:rsidR="00BE19C1">
        <w:rPr>
          <w:sz w:val="24"/>
          <w:lang w:val="en"/>
        </w:rPr>
        <w:t>ma, B. S., and Bensoussan, A. (</w:t>
      </w:r>
      <w:r w:rsidRPr="002464EF">
        <w:rPr>
          <w:sz w:val="24"/>
          <w:lang w:val="en"/>
        </w:rPr>
        <w:t xml:space="preserve">2017) Combined Lifestyle and Herbal Medicine in Overweight Women with Polycystic Ovary Syndrome (PCOS): A Randomized Controlled Trial. </w:t>
      </w:r>
      <w:proofErr w:type="spellStart"/>
      <w:r w:rsidRPr="00B303A8">
        <w:rPr>
          <w:iCs/>
          <w:sz w:val="24"/>
          <w:lang w:val="en"/>
        </w:rPr>
        <w:t>Phytother</w:t>
      </w:r>
      <w:proofErr w:type="spellEnd"/>
      <w:r w:rsidRPr="00B303A8">
        <w:rPr>
          <w:iCs/>
          <w:sz w:val="24"/>
          <w:lang w:val="en"/>
        </w:rPr>
        <w:t>. Res.</w:t>
      </w:r>
      <w:r w:rsidRPr="00B303A8">
        <w:rPr>
          <w:sz w:val="24"/>
          <w:lang w:val="en"/>
        </w:rPr>
        <w:t>,</w:t>
      </w:r>
      <w:r w:rsidRPr="002464EF">
        <w:rPr>
          <w:sz w:val="24"/>
          <w:lang w:val="en"/>
        </w:rPr>
        <w:t xml:space="preserve"> 31: 1330– 1340</w:t>
      </w:r>
    </w:p>
    <w:p w14:paraId="7CD05B0E" w14:textId="77777777" w:rsidR="001A599B" w:rsidRPr="002464EF" w:rsidRDefault="001A599B"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Azoulay, L, Yin, H, </w:t>
      </w:r>
      <w:proofErr w:type="spellStart"/>
      <w:r w:rsidRPr="002464EF">
        <w:rPr>
          <w:rFonts w:cs="Arial"/>
          <w:sz w:val="24"/>
          <w:szCs w:val="24"/>
        </w:rPr>
        <w:t>Renoux</w:t>
      </w:r>
      <w:proofErr w:type="spellEnd"/>
      <w:r w:rsidRPr="002464EF">
        <w:rPr>
          <w:rFonts w:cs="Arial"/>
          <w:sz w:val="24"/>
          <w:szCs w:val="24"/>
        </w:rPr>
        <w:t>, C, Suissa, S.  The use of atypical antipsychotics and the risk of breast cancer.  Breast Cancer Res Treat.  2011; 129:541-548.</w:t>
      </w:r>
    </w:p>
    <w:p w14:paraId="6042297C" w14:textId="3E2E57FC" w:rsidR="001A599B" w:rsidRPr="002464EF" w:rsidRDefault="001A599B" w:rsidP="00BE19C1">
      <w:pPr>
        <w:pStyle w:val="Normal10pt"/>
        <w:numPr>
          <w:ilvl w:val="0"/>
          <w:numId w:val="2"/>
        </w:numPr>
        <w:spacing w:before="0" w:after="120"/>
        <w:ind w:left="1151" w:right="567" w:hanging="357"/>
        <w:jc w:val="left"/>
        <w:rPr>
          <w:rFonts w:cs="Arial"/>
          <w:sz w:val="24"/>
          <w:szCs w:val="24"/>
        </w:rPr>
      </w:pPr>
      <w:proofErr w:type="spellStart"/>
      <w:r w:rsidRPr="002464EF">
        <w:rPr>
          <w:rFonts w:cs="Arial"/>
          <w:sz w:val="24"/>
          <w:szCs w:val="24"/>
        </w:rPr>
        <w:t>Bazire</w:t>
      </w:r>
      <w:proofErr w:type="spellEnd"/>
      <w:r w:rsidRPr="002464EF">
        <w:rPr>
          <w:rFonts w:cs="Arial"/>
          <w:sz w:val="24"/>
          <w:szCs w:val="24"/>
        </w:rPr>
        <w:t xml:space="preserve">, S.  </w:t>
      </w:r>
      <w:r w:rsidRPr="00B04BF2">
        <w:rPr>
          <w:rFonts w:cs="Arial"/>
          <w:sz w:val="24"/>
          <w:szCs w:val="24"/>
        </w:rPr>
        <w:t>Psychotropic Drug Directory 20</w:t>
      </w:r>
      <w:r w:rsidR="001D7F44" w:rsidRPr="00B04BF2">
        <w:rPr>
          <w:rFonts w:cs="Arial"/>
          <w:sz w:val="24"/>
          <w:szCs w:val="24"/>
        </w:rPr>
        <w:t>20/21</w:t>
      </w:r>
      <w:r w:rsidRPr="00B04BF2">
        <w:rPr>
          <w:rFonts w:cs="Arial"/>
          <w:sz w:val="24"/>
          <w:szCs w:val="24"/>
        </w:rPr>
        <w:t>: The Professionals' Pocket Handbook and Aide Memoire.</w:t>
      </w:r>
      <w:r w:rsidRPr="002464EF">
        <w:rPr>
          <w:rFonts w:cs="Arial"/>
          <w:sz w:val="24"/>
          <w:szCs w:val="24"/>
        </w:rPr>
        <w:t xml:space="preserve">  Dorset: Lloyd-Reinhold Publications Limited; 2018.</w:t>
      </w:r>
    </w:p>
    <w:p w14:paraId="653E6E8F"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Borba VV, </w:t>
      </w:r>
      <w:proofErr w:type="spellStart"/>
      <w:r w:rsidRPr="002464EF">
        <w:rPr>
          <w:rFonts w:cs="Arial"/>
          <w:sz w:val="24"/>
          <w:szCs w:val="24"/>
        </w:rPr>
        <w:t>Zandman</w:t>
      </w:r>
      <w:proofErr w:type="spellEnd"/>
      <w:r w:rsidRPr="002464EF">
        <w:rPr>
          <w:rFonts w:cs="Arial"/>
          <w:sz w:val="24"/>
          <w:szCs w:val="24"/>
        </w:rPr>
        <w:t xml:space="preserve">-Goddard G, Shoenfeld Y. Prolactin and Autoimmunity. </w:t>
      </w:r>
      <w:r w:rsidRPr="002464EF">
        <w:rPr>
          <w:rFonts w:cs="Arial"/>
          <w:iCs/>
          <w:sz w:val="24"/>
          <w:szCs w:val="24"/>
        </w:rPr>
        <w:t>Front Immunol</w:t>
      </w:r>
      <w:r w:rsidRPr="002464EF">
        <w:rPr>
          <w:rFonts w:cs="Arial"/>
          <w:sz w:val="24"/>
          <w:szCs w:val="24"/>
        </w:rPr>
        <w:t xml:space="preserve">. 2018 Feb </w:t>
      </w:r>
      <w:proofErr w:type="gramStart"/>
      <w:r w:rsidRPr="002464EF">
        <w:rPr>
          <w:rFonts w:cs="Arial"/>
          <w:sz w:val="24"/>
          <w:szCs w:val="24"/>
        </w:rPr>
        <w:t>12;9:73</w:t>
      </w:r>
      <w:proofErr w:type="gramEnd"/>
    </w:p>
    <w:p w14:paraId="27244F19"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sz w:val="24"/>
        </w:rPr>
        <w:t xml:space="preserve">Caccia et. al.  Reviews: Antipsychotic drug toxicology in children.  Expert </w:t>
      </w:r>
      <w:proofErr w:type="spellStart"/>
      <w:r w:rsidRPr="002464EF">
        <w:rPr>
          <w:sz w:val="24"/>
        </w:rPr>
        <w:t>Opin</w:t>
      </w:r>
      <w:proofErr w:type="spellEnd"/>
      <w:r w:rsidRPr="002464EF">
        <w:rPr>
          <w:sz w:val="24"/>
        </w:rPr>
        <w:t xml:space="preserve">. Drug </w:t>
      </w:r>
      <w:proofErr w:type="spellStart"/>
      <w:r w:rsidRPr="002464EF">
        <w:rPr>
          <w:sz w:val="24"/>
        </w:rPr>
        <w:t>Metab</w:t>
      </w:r>
      <w:proofErr w:type="spellEnd"/>
      <w:r w:rsidRPr="002464EF">
        <w:rPr>
          <w:sz w:val="24"/>
        </w:rPr>
        <w:t xml:space="preserve">. </w:t>
      </w:r>
      <w:proofErr w:type="spellStart"/>
      <w:r w:rsidRPr="002464EF">
        <w:rPr>
          <w:sz w:val="24"/>
        </w:rPr>
        <w:t>Toxicol</w:t>
      </w:r>
      <w:proofErr w:type="spellEnd"/>
      <w:r w:rsidRPr="002464EF">
        <w:rPr>
          <w:sz w:val="24"/>
        </w:rPr>
        <w:t>.  2011; 7(5):591-608.</w:t>
      </w:r>
    </w:p>
    <w:p w14:paraId="36FB422E" w14:textId="3C39A5BD" w:rsidR="001A599B" w:rsidRPr="002464EF" w:rsidRDefault="00B04BF2" w:rsidP="00BE19C1">
      <w:pPr>
        <w:pStyle w:val="Normal10pt"/>
        <w:numPr>
          <w:ilvl w:val="0"/>
          <w:numId w:val="2"/>
        </w:numPr>
        <w:spacing w:before="0" w:after="120"/>
        <w:ind w:left="1151" w:right="567" w:hanging="357"/>
        <w:jc w:val="left"/>
        <w:rPr>
          <w:rFonts w:cs="Arial"/>
          <w:sz w:val="24"/>
          <w:szCs w:val="24"/>
        </w:rPr>
      </w:pPr>
      <w:hyperlink r:id="rId16" w:history="1">
        <w:r w:rsidRPr="00B04BF2">
          <w:rPr>
            <w:rStyle w:val="Hyperlink"/>
            <w:rFonts w:cs="Arial"/>
            <w:sz w:val="24"/>
            <w:szCs w:val="24"/>
            <w:lang w:val="en"/>
          </w:rPr>
          <w:t>CNTW(C)38</w:t>
        </w:r>
        <w:r w:rsidR="001A599B" w:rsidRPr="00B04BF2">
          <w:rPr>
            <w:rStyle w:val="Hyperlink"/>
            <w:rFonts w:cs="Arial"/>
            <w:sz w:val="24"/>
            <w:szCs w:val="24"/>
          </w:rPr>
          <w:t xml:space="preserve"> </w:t>
        </w:r>
        <w:r w:rsidRPr="00B04BF2">
          <w:rPr>
            <w:rStyle w:val="Hyperlink"/>
            <w:rFonts w:cs="Arial"/>
            <w:sz w:val="24"/>
            <w:szCs w:val="24"/>
          </w:rPr>
          <w:t xml:space="preserve">- </w:t>
        </w:r>
        <w:r w:rsidR="001A599B" w:rsidRPr="00B04BF2">
          <w:rPr>
            <w:rStyle w:val="Hyperlink"/>
            <w:rFonts w:cs="Arial"/>
            <w:sz w:val="24"/>
            <w:szCs w:val="24"/>
          </w:rPr>
          <w:t>Pharmacological Therapies Policy</w:t>
        </w:r>
      </w:hyperlink>
      <w:r w:rsidR="001A599B" w:rsidRPr="002464EF">
        <w:rPr>
          <w:rFonts w:cs="Arial"/>
          <w:sz w:val="24"/>
          <w:szCs w:val="24"/>
        </w:rPr>
        <w:t xml:space="preserve"> </w:t>
      </w:r>
    </w:p>
    <w:p w14:paraId="6026BF38"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Ellis D, Shirzadi K, Grzeskowiak L &amp; Angley M (2008) 'Development of a novel program to facilitate monitoring physical health and adverse effects in children and adolescents prescribed antipsychotic medication.' Australasian Psychiatry, Vol.16 no.2 pp.368-369.</w:t>
      </w:r>
    </w:p>
    <w:p w14:paraId="49829F62"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Grzeskowiak L, Ellis D, Phillips A &amp; Angley M (2008) 'Implementation of a chart and guidelines for monitoring physical health and adverse effects in children and adolescents prescribed antipsychotics.' Journal of Pharmacy Practice and Research, Vol.38 no.1 pp.9-13.</w:t>
      </w:r>
    </w:p>
    <w:p w14:paraId="33295CDA"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Haddad, P and Wieck, A.  Antipsychotic-Induced Hyperprolactinaemia: Mechanisms, Clinical Features and Management.  Drugs.  2004; 64(20):2291-2314.</w:t>
      </w:r>
    </w:p>
    <w:p w14:paraId="54DBE066"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Holt, R, Peveler R.  Antipsychotics and hyperprolactinaemia: mechanisms, consequences and management.  Clin. Endocrinology.  2011; 74:141–147.</w:t>
      </w:r>
    </w:p>
    <w:p w14:paraId="123C94A8" w14:textId="77777777" w:rsidR="006F52B3" w:rsidRPr="002464EF" w:rsidRDefault="006F52B3"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Inder, W., Castle, D.  Antipsychotic-Induced Hyperprolactinaemia.  Aus NZ J. Psychiatry.  2011; 45:830-837.</w:t>
      </w:r>
    </w:p>
    <w:p w14:paraId="391F9E37"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proofErr w:type="spellStart"/>
      <w:r w:rsidRPr="002464EF">
        <w:rPr>
          <w:rFonts w:cs="Arial"/>
          <w:sz w:val="24"/>
          <w:szCs w:val="24"/>
        </w:rPr>
        <w:t>Kalkavoura</w:t>
      </w:r>
      <w:proofErr w:type="spellEnd"/>
      <w:r w:rsidRPr="002464EF">
        <w:rPr>
          <w:rFonts w:cs="Arial"/>
          <w:sz w:val="24"/>
          <w:szCs w:val="24"/>
        </w:rPr>
        <w:t xml:space="preserve">, C, Arvanitakis, P, Michopoulos, I, Theodoropoulou, P, Dimopoulou, K, </w:t>
      </w:r>
      <w:proofErr w:type="spellStart"/>
      <w:r w:rsidRPr="002464EF">
        <w:rPr>
          <w:rFonts w:cs="Arial"/>
          <w:sz w:val="24"/>
          <w:szCs w:val="24"/>
        </w:rPr>
        <w:t>Tzebelikos</w:t>
      </w:r>
      <w:proofErr w:type="spellEnd"/>
      <w:r w:rsidRPr="002464EF">
        <w:rPr>
          <w:rFonts w:cs="Arial"/>
          <w:sz w:val="24"/>
          <w:szCs w:val="24"/>
        </w:rPr>
        <w:t>, E.  Effects of Cabergoline on Hyperprolactinaemia, Psychopathology, and Sexual Functioning in Schizophrenic Patients.  Experimental and Clinical Psychopharmacology.  2013; 21(4):332-341.</w:t>
      </w:r>
    </w:p>
    <w:p w14:paraId="0D056BC4"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Kelly, D, Wehring, H, Earl, A, Sullivan, K, Dickerson, F, Feldman, S, et. al.  Treating symptomatic hyperprolactinemia in women with schizophrenia.  BMC Psychiatry.  2013; 13:214-227.</w:t>
      </w:r>
    </w:p>
    <w:p w14:paraId="2403F221"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lastRenderedPageBreak/>
        <w:t xml:space="preserve">La Torre, D, </w:t>
      </w:r>
      <w:proofErr w:type="spellStart"/>
      <w:r w:rsidRPr="002464EF">
        <w:rPr>
          <w:rFonts w:cs="Arial"/>
          <w:sz w:val="24"/>
          <w:szCs w:val="24"/>
        </w:rPr>
        <w:t>Falorni</w:t>
      </w:r>
      <w:proofErr w:type="spellEnd"/>
      <w:r w:rsidRPr="002464EF">
        <w:rPr>
          <w:rFonts w:cs="Arial"/>
          <w:sz w:val="24"/>
          <w:szCs w:val="24"/>
        </w:rPr>
        <w:t>, A.  Pharmacological causes of hyperprolactinaemia.  Therapeutics and Clinical Risk Management.  2007; 3(5):929-951.  Haddad, P, and Wieck, A.  Antipsychotic-induced Hyperprolactinaemia: Mechanisms, Clinical Features and Management.  Drugs.  2004; 64(20):2291-2314.</w:t>
      </w:r>
    </w:p>
    <w:p w14:paraId="466CB11B"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Lee, B, Han, C, Kim, K, Kim, Y.  Treatment in risperidone-induced amenorrhoea.  International Journal of Psychiatry in Clinical Practice.  2005; 9(1):29-34.</w:t>
      </w:r>
    </w:p>
    <w:p w14:paraId="52D33FD6" w14:textId="77777777" w:rsidR="00837FA1" w:rsidRPr="002464EF" w:rsidRDefault="00837FA1" w:rsidP="00BE19C1">
      <w:pPr>
        <w:pStyle w:val="Normal10pt"/>
        <w:numPr>
          <w:ilvl w:val="0"/>
          <w:numId w:val="2"/>
        </w:numPr>
        <w:spacing w:before="0" w:after="120"/>
        <w:ind w:left="1151" w:right="567" w:hanging="357"/>
        <w:jc w:val="left"/>
        <w:rPr>
          <w:sz w:val="24"/>
        </w:rPr>
      </w:pPr>
      <w:r w:rsidRPr="002464EF">
        <w:rPr>
          <w:sz w:val="24"/>
          <w:lang w:val="en"/>
        </w:rPr>
        <w:t>Man SC, Li XB, Wang HH, Yuan HN, Wang HN, Zhang RG et al. Peony-Glycyrrhiza Decoction for Antipsychotic-Related Hyperprolactinemia in Women with Schizophrenia: A Randomized Controlled Trial. Journal of Clinical Psychopharmacology. 2016 Dec 1;36(6):572-579</w:t>
      </w:r>
    </w:p>
    <w:p w14:paraId="0D44C538"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Melmed, S, Casanueva, F, Hoffman, A, Kleinberg, D, Montori, V, Schlechte, J, et. al.  Diagnosis and Treatment of Hyperprolactinemia: An Endocrine Society Clinical Practice Guideline.  J Clin Endocrinol </w:t>
      </w:r>
      <w:proofErr w:type="spellStart"/>
      <w:r w:rsidRPr="002464EF">
        <w:rPr>
          <w:rFonts w:cs="Arial"/>
          <w:sz w:val="24"/>
          <w:szCs w:val="24"/>
        </w:rPr>
        <w:t>Metab</w:t>
      </w:r>
      <w:proofErr w:type="spellEnd"/>
      <w:r w:rsidRPr="002464EF">
        <w:rPr>
          <w:rFonts w:cs="Arial"/>
          <w:sz w:val="24"/>
          <w:szCs w:val="24"/>
        </w:rPr>
        <w:t>.  2011; 96(2): 273-288.</w:t>
      </w:r>
    </w:p>
    <w:p w14:paraId="224EABF8" w14:textId="66E78560"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National Institute for Health and Care Excellence (NICE).  </w:t>
      </w:r>
      <w:hyperlink r:id="rId17" w:history="1">
        <w:r w:rsidRPr="002464EF">
          <w:rPr>
            <w:rStyle w:val="Hyperlink"/>
            <w:rFonts w:cs="Arial"/>
            <w:sz w:val="24"/>
            <w:szCs w:val="24"/>
          </w:rPr>
          <w:t>Clinical Guideline [CG178]: Psychosis and schizophrenia in adults: prevention and management</w:t>
        </w:r>
      </w:hyperlink>
      <w:r w:rsidRPr="002464EF">
        <w:rPr>
          <w:rFonts w:cs="Arial"/>
          <w:i/>
          <w:sz w:val="24"/>
          <w:szCs w:val="24"/>
        </w:rPr>
        <w:t xml:space="preserve"> </w:t>
      </w:r>
      <w:r w:rsidRPr="002464EF">
        <w:rPr>
          <w:rFonts w:cs="Arial"/>
          <w:sz w:val="24"/>
          <w:szCs w:val="24"/>
        </w:rPr>
        <w:t>February 14 (last reviewed</w:t>
      </w:r>
      <w:r w:rsidR="00A60DE9" w:rsidRPr="002464EF">
        <w:rPr>
          <w:rFonts w:cs="Arial"/>
          <w:sz w:val="24"/>
          <w:szCs w:val="24"/>
        </w:rPr>
        <w:t xml:space="preserve"> March 14</w:t>
      </w:r>
      <w:r w:rsidRPr="002464EF">
        <w:rPr>
          <w:rFonts w:cs="Arial"/>
          <w:sz w:val="24"/>
          <w:szCs w:val="24"/>
        </w:rPr>
        <w:t>)</w:t>
      </w:r>
    </w:p>
    <w:p w14:paraId="3F280C88" w14:textId="21C221D3"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National Institute for Health and Care Excellence (NICE).  </w:t>
      </w:r>
      <w:hyperlink r:id="rId18" w:history="1">
        <w:r w:rsidRPr="002464EF">
          <w:rPr>
            <w:rStyle w:val="Hyperlink"/>
            <w:rFonts w:cs="Arial"/>
            <w:sz w:val="24"/>
            <w:szCs w:val="24"/>
          </w:rPr>
          <w:t xml:space="preserve">Clinical guideline [CG155] Psychosis and schizophrenia in children and young people: recognition and management </w:t>
        </w:r>
      </w:hyperlink>
      <w:r w:rsidRPr="002464EF">
        <w:rPr>
          <w:rFonts w:cs="Arial"/>
          <w:sz w:val="24"/>
          <w:szCs w:val="24"/>
        </w:rPr>
        <w:t xml:space="preserve"> January 13 (last reviewed October 16)</w:t>
      </w:r>
    </w:p>
    <w:p w14:paraId="7E758329"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Nelson, C, Bell, P, and Guy, S.  Hyperprolactinaemia and antipsychotics.  </w:t>
      </w:r>
      <w:proofErr w:type="spellStart"/>
      <w:r w:rsidRPr="002464EF">
        <w:rPr>
          <w:rFonts w:cs="Arial"/>
          <w:sz w:val="24"/>
          <w:szCs w:val="24"/>
        </w:rPr>
        <w:t>BJPsych</w:t>
      </w:r>
      <w:proofErr w:type="spellEnd"/>
      <w:r w:rsidRPr="002464EF">
        <w:rPr>
          <w:rFonts w:cs="Arial"/>
          <w:sz w:val="24"/>
          <w:szCs w:val="24"/>
        </w:rPr>
        <w:t xml:space="preserve"> Advances.  2015; 21:240-241.</w:t>
      </w:r>
    </w:p>
    <w:p w14:paraId="49BB2666" w14:textId="77777777" w:rsidR="004C3EFE" w:rsidRDefault="004C3EFE" w:rsidP="004C3EFE">
      <w:pPr>
        <w:pStyle w:val="Normal10pt"/>
        <w:numPr>
          <w:ilvl w:val="0"/>
          <w:numId w:val="2"/>
        </w:numPr>
        <w:spacing w:before="0" w:after="120"/>
        <w:ind w:left="1151" w:right="567" w:hanging="357"/>
        <w:jc w:val="left"/>
        <w:rPr>
          <w:rFonts w:cs="Arial"/>
          <w:sz w:val="24"/>
          <w:szCs w:val="24"/>
        </w:rPr>
      </w:pPr>
      <w:hyperlink r:id="rId19" w:history="1">
        <w:proofErr w:type="gramStart"/>
        <w:r>
          <w:rPr>
            <w:rStyle w:val="Hyperlink"/>
            <w:rFonts w:cs="Arial"/>
            <w:sz w:val="24"/>
            <w:szCs w:val="24"/>
          </w:rPr>
          <w:t>North East</w:t>
        </w:r>
        <w:proofErr w:type="gramEnd"/>
        <w:r>
          <w:rPr>
            <w:rStyle w:val="Hyperlink"/>
            <w:rFonts w:cs="Arial"/>
            <w:sz w:val="24"/>
            <w:szCs w:val="24"/>
          </w:rPr>
          <w:t xml:space="preserve"> and North Cumbria Integrated Care System Guideline for the management of osteoporosis in primary care</w:t>
        </w:r>
      </w:hyperlink>
      <w:r>
        <w:rPr>
          <w:rFonts w:cs="Arial"/>
          <w:sz w:val="24"/>
          <w:szCs w:val="24"/>
        </w:rPr>
        <w:t xml:space="preserve"> November 2024. </w:t>
      </w:r>
      <w:r w:rsidRPr="00824C5D">
        <w:rPr>
          <w:rFonts w:cs="Arial"/>
          <w:sz w:val="24"/>
          <w:szCs w:val="24"/>
        </w:rPr>
        <w:t xml:space="preserve">Endorsed for use within the </w:t>
      </w:r>
      <w:proofErr w:type="gramStart"/>
      <w:r w:rsidRPr="00824C5D">
        <w:rPr>
          <w:rFonts w:cs="Arial"/>
          <w:sz w:val="24"/>
          <w:szCs w:val="24"/>
        </w:rPr>
        <w:t>North East</w:t>
      </w:r>
      <w:proofErr w:type="gramEnd"/>
      <w:r w:rsidRPr="00824C5D">
        <w:rPr>
          <w:rFonts w:cs="Arial"/>
          <w:sz w:val="24"/>
          <w:szCs w:val="24"/>
        </w:rPr>
        <w:t xml:space="preserve"> and North Cumbria ICS by the NENC Medicines Committee</w:t>
      </w:r>
    </w:p>
    <w:p w14:paraId="121BF5CB"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Peveler, R, Branford, D, </w:t>
      </w:r>
      <w:proofErr w:type="spellStart"/>
      <w:r w:rsidRPr="002464EF">
        <w:rPr>
          <w:rFonts w:cs="Arial"/>
          <w:sz w:val="24"/>
          <w:szCs w:val="24"/>
        </w:rPr>
        <w:t>Citrome</w:t>
      </w:r>
      <w:proofErr w:type="spellEnd"/>
      <w:r w:rsidRPr="002464EF">
        <w:rPr>
          <w:rFonts w:cs="Arial"/>
          <w:sz w:val="24"/>
          <w:szCs w:val="24"/>
        </w:rPr>
        <w:t>, L, Fitzgerald, P, Harvey, P, Holt, R, et. al.  Antipsychotics and hyperprolactinaemia: Clinical recommendations.  J Psychopharmacology.  2008; 22(2):98-103.</w:t>
      </w:r>
    </w:p>
    <w:p w14:paraId="55B1314E"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proofErr w:type="spellStart"/>
      <w:r w:rsidRPr="002464EF">
        <w:rPr>
          <w:sz w:val="24"/>
        </w:rPr>
        <w:t>Pringsheim</w:t>
      </w:r>
      <w:proofErr w:type="spellEnd"/>
      <w:r w:rsidRPr="002464EF">
        <w:rPr>
          <w:sz w:val="24"/>
        </w:rPr>
        <w:t xml:space="preserve"> et. al.  Evidence-Based Recommendations for Monitoring Safety of </w:t>
      </w:r>
      <w:proofErr w:type="gramStart"/>
      <w:r w:rsidRPr="002464EF">
        <w:rPr>
          <w:sz w:val="24"/>
        </w:rPr>
        <w:t>Second Generation</w:t>
      </w:r>
      <w:proofErr w:type="gramEnd"/>
      <w:r w:rsidRPr="002464EF">
        <w:rPr>
          <w:sz w:val="24"/>
        </w:rPr>
        <w:t xml:space="preserve"> Antipsychotic in Children and Youth.  </w:t>
      </w:r>
      <w:proofErr w:type="spellStart"/>
      <w:r w:rsidRPr="002464EF">
        <w:rPr>
          <w:sz w:val="24"/>
        </w:rPr>
        <w:t>Paediatr</w:t>
      </w:r>
      <w:proofErr w:type="spellEnd"/>
      <w:r w:rsidRPr="002464EF">
        <w:rPr>
          <w:sz w:val="24"/>
        </w:rPr>
        <w:t xml:space="preserve">. Child </w:t>
      </w:r>
      <w:proofErr w:type="gramStart"/>
      <w:r w:rsidRPr="002464EF">
        <w:rPr>
          <w:sz w:val="24"/>
        </w:rPr>
        <w:t>Health  2011</w:t>
      </w:r>
      <w:proofErr w:type="gramEnd"/>
      <w:r w:rsidRPr="002464EF">
        <w:rPr>
          <w:sz w:val="24"/>
        </w:rPr>
        <w:t>; 16(9): 581-589.</w:t>
      </w:r>
    </w:p>
    <w:p w14:paraId="09BD5EE5"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sz w:val="24"/>
        </w:rPr>
        <w:t xml:space="preserve">Roke et. al.  Risk of Hyperprolactinemia and Sexual Side Effects in Males 10–20 Years Old Diagnosed with Autism Spectrum Disorders or Disruptive Behaviour Disorder and Treated with Risperidone.  J. Child </w:t>
      </w:r>
      <w:proofErr w:type="spellStart"/>
      <w:r w:rsidRPr="002464EF">
        <w:rPr>
          <w:sz w:val="24"/>
        </w:rPr>
        <w:t>Adolesc</w:t>
      </w:r>
      <w:proofErr w:type="spellEnd"/>
      <w:r w:rsidRPr="002464EF">
        <w:rPr>
          <w:sz w:val="24"/>
        </w:rPr>
        <w:t xml:space="preserve">. </w:t>
      </w:r>
      <w:proofErr w:type="spellStart"/>
      <w:r w:rsidRPr="002464EF">
        <w:rPr>
          <w:sz w:val="24"/>
        </w:rPr>
        <w:t>Psychopharmacol</w:t>
      </w:r>
      <w:proofErr w:type="spellEnd"/>
      <w:r w:rsidRPr="002464EF">
        <w:rPr>
          <w:sz w:val="24"/>
        </w:rPr>
        <w:t>.  2012; 22(6): 432-439.</w:t>
      </w:r>
    </w:p>
    <w:p w14:paraId="40EE3DB3"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sz w:val="24"/>
        </w:rPr>
        <w:t>Saito et al.  A Prospective Study of Hyperprolactinemia in Children and Adolescents.  Journal of Child and Adolescent Psychopharmacology.  2004; 14(3): 350-358.</w:t>
      </w:r>
    </w:p>
    <w:p w14:paraId="0EC1D2F3" w14:textId="77777777" w:rsidR="00837FA1" w:rsidRPr="002464EF" w:rsidRDefault="00837FA1" w:rsidP="00BE19C1">
      <w:pPr>
        <w:pStyle w:val="Normal10pt"/>
        <w:numPr>
          <w:ilvl w:val="0"/>
          <w:numId w:val="2"/>
        </w:numPr>
        <w:spacing w:before="0" w:after="120"/>
        <w:ind w:left="1151" w:right="567" w:hanging="357"/>
        <w:jc w:val="left"/>
        <w:rPr>
          <w:sz w:val="24"/>
        </w:rPr>
      </w:pPr>
      <w:proofErr w:type="spellStart"/>
      <w:r w:rsidRPr="002464EF">
        <w:rPr>
          <w:sz w:val="24"/>
          <w:lang w:val="en"/>
        </w:rPr>
        <w:lastRenderedPageBreak/>
        <w:t>Shenenberger</w:t>
      </w:r>
      <w:proofErr w:type="spellEnd"/>
      <w:r w:rsidRPr="002464EF">
        <w:rPr>
          <w:sz w:val="24"/>
          <w:lang w:val="en"/>
        </w:rPr>
        <w:t xml:space="preserve">, Donald. Medscape article. Management of </w:t>
      </w:r>
      <w:proofErr w:type="spellStart"/>
      <w:r w:rsidRPr="002464EF">
        <w:rPr>
          <w:sz w:val="24"/>
          <w:lang w:val="en"/>
        </w:rPr>
        <w:t>Hyperprolactinaemia</w:t>
      </w:r>
      <w:proofErr w:type="spellEnd"/>
      <w:r w:rsidRPr="002464EF">
        <w:rPr>
          <w:sz w:val="24"/>
          <w:lang w:val="en"/>
        </w:rPr>
        <w:t>. March 2018.</w:t>
      </w:r>
    </w:p>
    <w:p w14:paraId="3CC65C5D" w14:textId="77777777" w:rsidR="00837FA1" w:rsidRPr="002464EF"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Shim, J, Shin, J, Kelly, D, Jung, D, Seo, Y, Liu, K, et. al.  Adjunctive Treatment with a Dopamine Partial Agonist, Aripiprazole, for Antipsychotic-Induced Hyperprolactinemia: A Placebo-Controlled Trial.  Am J Psychiatry.  2007; 164(9):1404-1410.</w:t>
      </w:r>
    </w:p>
    <w:p w14:paraId="3C65A107" w14:textId="463282F6" w:rsidR="001A599B" w:rsidRPr="00E16546" w:rsidRDefault="00837FA1"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Summary of Product Characteristics (SPC) for individual antipsychotic medications. Available at: </w:t>
      </w:r>
      <w:hyperlink r:id="rId20" w:history="1">
        <w:r w:rsidRPr="002464EF">
          <w:rPr>
            <w:rStyle w:val="Hyperlink"/>
            <w:rFonts w:cs="Arial"/>
            <w:sz w:val="24"/>
            <w:szCs w:val="24"/>
          </w:rPr>
          <w:t>www.medicines.org.uk</w:t>
        </w:r>
      </w:hyperlink>
      <w:r w:rsidRPr="002464EF">
        <w:rPr>
          <w:rFonts w:cs="Arial"/>
          <w:sz w:val="24"/>
          <w:szCs w:val="24"/>
        </w:rPr>
        <w:t xml:space="preserve"> </w:t>
      </w:r>
    </w:p>
    <w:p w14:paraId="21DF6B8D" w14:textId="4AAB0CAD" w:rsidR="00F526E7" w:rsidRDefault="00B53574" w:rsidP="00BE19C1">
      <w:pPr>
        <w:pStyle w:val="Normal10pt"/>
        <w:numPr>
          <w:ilvl w:val="0"/>
          <w:numId w:val="2"/>
        </w:numPr>
        <w:spacing w:before="0" w:after="120"/>
        <w:ind w:left="1151" w:right="567" w:hanging="357"/>
        <w:jc w:val="left"/>
        <w:rPr>
          <w:rFonts w:cs="Arial"/>
          <w:sz w:val="24"/>
          <w:szCs w:val="24"/>
        </w:rPr>
      </w:pPr>
      <w:r w:rsidRPr="002464EF">
        <w:rPr>
          <w:rFonts w:cs="Arial"/>
          <w:sz w:val="24"/>
          <w:szCs w:val="24"/>
        </w:rPr>
        <w:t xml:space="preserve">Taylor, D., </w:t>
      </w:r>
      <w:r w:rsidR="00E7685C" w:rsidRPr="002464EF">
        <w:rPr>
          <w:rFonts w:cs="Arial"/>
          <w:sz w:val="24"/>
          <w:szCs w:val="24"/>
        </w:rPr>
        <w:t>Barnes</w:t>
      </w:r>
      <w:r w:rsidRPr="002464EF">
        <w:rPr>
          <w:rFonts w:cs="Arial"/>
          <w:sz w:val="24"/>
          <w:szCs w:val="24"/>
        </w:rPr>
        <w:t>,</w:t>
      </w:r>
      <w:r w:rsidR="00E7685C" w:rsidRPr="002464EF">
        <w:rPr>
          <w:rFonts w:cs="Arial"/>
          <w:sz w:val="24"/>
          <w:szCs w:val="24"/>
        </w:rPr>
        <w:t xml:space="preserve"> T E.</w:t>
      </w:r>
      <w:r w:rsidRPr="002464EF">
        <w:rPr>
          <w:rFonts w:cs="Arial"/>
          <w:sz w:val="24"/>
          <w:szCs w:val="24"/>
        </w:rPr>
        <w:t xml:space="preserve"> and </w:t>
      </w:r>
      <w:r w:rsidR="00E7685C" w:rsidRPr="002464EF">
        <w:rPr>
          <w:rFonts w:cs="Arial"/>
          <w:sz w:val="24"/>
          <w:szCs w:val="24"/>
        </w:rPr>
        <w:t>Young</w:t>
      </w:r>
      <w:r w:rsidRPr="002464EF">
        <w:rPr>
          <w:rFonts w:cs="Arial"/>
          <w:sz w:val="24"/>
          <w:szCs w:val="24"/>
        </w:rPr>
        <w:t xml:space="preserve">, </w:t>
      </w:r>
      <w:r w:rsidR="00E7685C" w:rsidRPr="002464EF">
        <w:rPr>
          <w:rFonts w:cs="Arial"/>
          <w:sz w:val="24"/>
          <w:szCs w:val="24"/>
        </w:rPr>
        <w:t>A</w:t>
      </w:r>
      <w:r w:rsidRPr="002464EF">
        <w:rPr>
          <w:rFonts w:cs="Arial"/>
          <w:sz w:val="24"/>
          <w:szCs w:val="24"/>
        </w:rPr>
        <w:t xml:space="preserve">.  </w:t>
      </w:r>
      <w:r w:rsidR="00F526E7" w:rsidRPr="00B303A8">
        <w:rPr>
          <w:rFonts w:cs="Arial"/>
          <w:sz w:val="24"/>
          <w:szCs w:val="24"/>
        </w:rPr>
        <w:t>The Maudsley Presc</w:t>
      </w:r>
      <w:r w:rsidR="001578A3" w:rsidRPr="00B303A8">
        <w:rPr>
          <w:rFonts w:cs="Arial"/>
          <w:sz w:val="24"/>
          <w:szCs w:val="24"/>
        </w:rPr>
        <w:t>ribing Guidelines in Psychiatry</w:t>
      </w:r>
      <w:r w:rsidRPr="00B303A8">
        <w:rPr>
          <w:rFonts w:cs="Arial"/>
          <w:sz w:val="24"/>
          <w:szCs w:val="24"/>
        </w:rPr>
        <w:t>.</w:t>
      </w:r>
      <w:r w:rsidR="00F526E7" w:rsidRPr="002464EF">
        <w:rPr>
          <w:rFonts w:cs="Arial"/>
          <w:sz w:val="24"/>
          <w:szCs w:val="24"/>
        </w:rPr>
        <w:t xml:space="preserve"> </w:t>
      </w:r>
      <w:r w:rsidRPr="002464EF">
        <w:rPr>
          <w:rFonts w:cs="Arial"/>
          <w:sz w:val="24"/>
          <w:szCs w:val="24"/>
        </w:rPr>
        <w:t xml:space="preserve"> 1</w:t>
      </w:r>
      <w:r w:rsidR="001D7F44" w:rsidRPr="002464EF">
        <w:rPr>
          <w:rFonts w:cs="Arial"/>
          <w:sz w:val="24"/>
          <w:szCs w:val="24"/>
        </w:rPr>
        <w:t>4</w:t>
      </w:r>
      <w:r w:rsidR="00F526E7" w:rsidRPr="002464EF">
        <w:rPr>
          <w:rFonts w:cs="Arial"/>
          <w:sz w:val="24"/>
          <w:szCs w:val="24"/>
        </w:rPr>
        <w:t>th Edition</w:t>
      </w:r>
      <w:r w:rsidRPr="002464EF">
        <w:rPr>
          <w:rFonts w:cs="Arial"/>
          <w:sz w:val="24"/>
          <w:szCs w:val="24"/>
        </w:rPr>
        <w:t xml:space="preserve">.  </w:t>
      </w:r>
      <w:r w:rsidR="00E7685C" w:rsidRPr="002464EF">
        <w:rPr>
          <w:rFonts w:cs="Arial"/>
          <w:sz w:val="24"/>
          <w:szCs w:val="24"/>
        </w:rPr>
        <w:t>Hoboken, NJ</w:t>
      </w:r>
      <w:r w:rsidRPr="002464EF">
        <w:rPr>
          <w:rFonts w:cs="Arial"/>
          <w:sz w:val="24"/>
          <w:szCs w:val="24"/>
        </w:rPr>
        <w:t>: Wiley Blackwell; 20</w:t>
      </w:r>
      <w:r w:rsidR="001D7F44" w:rsidRPr="002464EF">
        <w:rPr>
          <w:rFonts w:cs="Arial"/>
          <w:sz w:val="24"/>
          <w:szCs w:val="24"/>
        </w:rPr>
        <w:t>21</w:t>
      </w:r>
    </w:p>
    <w:p w14:paraId="1EBB4602" w14:textId="77777777" w:rsidR="008E6383" w:rsidRPr="002464EF" w:rsidRDefault="008E6383" w:rsidP="00BE19C1">
      <w:pPr>
        <w:pStyle w:val="Normal10pt"/>
        <w:numPr>
          <w:ilvl w:val="0"/>
          <w:numId w:val="2"/>
        </w:numPr>
        <w:spacing w:before="0" w:after="120"/>
        <w:ind w:left="1151" w:right="567" w:hanging="357"/>
        <w:jc w:val="left"/>
        <w:rPr>
          <w:sz w:val="24"/>
          <w:lang w:val="en"/>
        </w:rPr>
      </w:pPr>
      <w:r w:rsidRPr="002464EF">
        <w:rPr>
          <w:sz w:val="24"/>
          <w:lang w:val="en"/>
        </w:rPr>
        <w:t>Waddell, L., &amp; Taylor, M. (2008). A new self-rating scale for detecting atypical or second-generation antipsychotic side effects. Journal of Psychopharmacology, 22(3), 238–243.</w:t>
      </w:r>
    </w:p>
    <w:p w14:paraId="4920BA69" w14:textId="77777777" w:rsidR="008E6383" w:rsidRDefault="008E6383" w:rsidP="00BE19C1">
      <w:pPr>
        <w:pStyle w:val="Normal10pt"/>
        <w:numPr>
          <w:ilvl w:val="0"/>
          <w:numId w:val="2"/>
        </w:numPr>
        <w:spacing w:before="0" w:after="120"/>
        <w:ind w:left="1151" w:right="567" w:hanging="357"/>
        <w:jc w:val="left"/>
        <w:rPr>
          <w:sz w:val="24"/>
        </w:rPr>
      </w:pPr>
      <w:r w:rsidRPr="002464EF">
        <w:rPr>
          <w:sz w:val="24"/>
        </w:rPr>
        <w:t>Young et. al. “First do no harm.” A systematic review of the prevalence and management of antipsychotic adverse effects.  Journal of Psychopharmacology.  2015; 29: 353-362.</w:t>
      </w:r>
    </w:p>
    <w:p w14:paraId="09F95B25" w14:textId="082F4137" w:rsidR="008E6383" w:rsidRPr="00975C61" w:rsidRDefault="008E6383" w:rsidP="00BE19C1">
      <w:pPr>
        <w:pStyle w:val="Normal10pt"/>
        <w:numPr>
          <w:ilvl w:val="0"/>
          <w:numId w:val="2"/>
        </w:numPr>
        <w:spacing w:before="0"/>
        <w:ind w:left="1151" w:right="567" w:hanging="357"/>
        <w:jc w:val="left"/>
        <w:rPr>
          <w:rFonts w:cs="Arial"/>
          <w:sz w:val="24"/>
          <w:szCs w:val="24"/>
        </w:rPr>
      </w:pPr>
      <w:r w:rsidRPr="00975C61">
        <w:rPr>
          <w:rFonts w:cs="Arial"/>
          <w:sz w:val="24"/>
          <w:szCs w:val="24"/>
        </w:rPr>
        <w:t xml:space="preserve">Gupta, S., Lakshmanan, D., </w:t>
      </w:r>
      <w:proofErr w:type="spellStart"/>
      <w:r w:rsidRPr="00975C61">
        <w:rPr>
          <w:rFonts w:cs="Arial"/>
          <w:sz w:val="24"/>
          <w:szCs w:val="24"/>
        </w:rPr>
        <w:t>Khastgir</w:t>
      </w:r>
      <w:proofErr w:type="spellEnd"/>
      <w:r w:rsidRPr="00975C61">
        <w:rPr>
          <w:rFonts w:cs="Arial"/>
          <w:sz w:val="24"/>
          <w:szCs w:val="24"/>
        </w:rPr>
        <w:t xml:space="preserve">, U. &amp; Nair, R. Management of antipsychotic induced hyperprolactinaemia. </w:t>
      </w:r>
      <w:proofErr w:type="spellStart"/>
      <w:r w:rsidRPr="00975C61">
        <w:rPr>
          <w:rFonts w:cs="Arial"/>
          <w:sz w:val="24"/>
          <w:szCs w:val="24"/>
        </w:rPr>
        <w:t>BJPsych</w:t>
      </w:r>
      <w:proofErr w:type="spellEnd"/>
      <w:r w:rsidRPr="00975C61">
        <w:rPr>
          <w:rFonts w:cs="Arial"/>
          <w:sz w:val="24"/>
          <w:szCs w:val="24"/>
        </w:rPr>
        <w:t xml:space="preserve"> Advances (2017), vol. 23, 278–286</w:t>
      </w:r>
    </w:p>
    <w:p w14:paraId="31A48774" w14:textId="4C686A3C" w:rsidR="008B2857" w:rsidRPr="000D2D50" w:rsidRDefault="008B2857" w:rsidP="000D2D50">
      <w:pPr>
        <w:pStyle w:val="Normal10pt"/>
        <w:tabs>
          <w:tab w:val="clear" w:pos="360"/>
        </w:tabs>
        <w:spacing w:before="0" w:after="240"/>
        <w:ind w:left="0" w:right="837" w:firstLine="0"/>
      </w:pPr>
    </w:p>
    <w:sectPr w:rsidR="008B2857" w:rsidRPr="000D2D50" w:rsidSect="00403104">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DC47" w14:textId="77777777" w:rsidR="00C84EA1" w:rsidRDefault="00C84EA1" w:rsidP="00673CAC">
      <w:r>
        <w:separator/>
      </w:r>
    </w:p>
  </w:endnote>
  <w:endnote w:type="continuationSeparator" w:id="0">
    <w:p w14:paraId="423224B1" w14:textId="77777777" w:rsidR="00C84EA1" w:rsidRDefault="00C84EA1" w:rsidP="0067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F769" w14:textId="77777777" w:rsidR="003372D5" w:rsidRDefault="0033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106C" w14:textId="7D246A71" w:rsidR="00C84EA1" w:rsidRPr="00403104" w:rsidRDefault="00C84EA1" w:rsidP="00403104">
    <w:pPr>
      <w:pStyle w:val="Footer"/>
      <w:jc w:val="right"/>
      <w:rPr>
        <w:rFonts w:ascii="Arial" w:hAnsi="Arial" w:cs="Arial"/>
        <w:noProof/>
        <w:sz w:val="20"/>
      </w:rPr>
    </w:pPr>
    <w:r w:rsidRPr="00403104">
      <w:rPr>
        <w:rFonts w:ascii="Arial" w:hAnsi="Arial" w:cs="Arial"/>
        <w:sz w:val="20"/>
      </w:rPr>
      <w:fldChar w:fldCharType="begin"/>
    </w:r>
    <w:r w:rsidRPr="00403104">
      <w:rPr>
        <w:rFonts w:ascii="Arial" w:hAnsi="Arial" w:cs="Arial"/>
        <w:sz w:val="20"/>
      </w:rPr>
      <w:instrText xml:space="preserve"> PAGE   \* MERGEFORMAT </w:instrText>
    </w:r>
    <w:r w:rsidRPr="00403104">
      <w:rPr>
        <w:rFonts w:ascii="Arial" w:hAnsi="Arial" w:cs="Arial"/>
        <w:sz w:val="20"/>
      </w:rPr>
      <w:fldChar w:fldCharType="separate"/>
    </w:r>
    <w:r w:rsidR="00A957A3">
      <w:rPr>
        <w:rFonts w:ascii="Arial" w:hAnsi="Arial" w:cs="Arial"/>
        <w:noProof/>
        <w:sz w:val="20"/>
      </w:rPr>
      <w:t>10</w:t>
    </w:r>
    <w:r w:rsidRPr="00403104">
      <w:rPr>
        <w:rFonts w:ascii="Arial" w:hAnsi="Arial" w:cs="Arial"/>
        <w:noProof/>
        <w:sz w:val="20"/>
      </w:rPr>
      <w:fldChar w:fldCharType="end"/>
    </w:r>
  </w:p>
  <w:p w14:paraId="01B2F41A" w14:textId="77777777" w:rsidR="00403104" w:rsidRPr="009609D3" w:rsidRDefault="00403104" w:rsidP="009609D3">
    <w:pPr>
      <w:widowControl w:val="0"/>
      <w:spacing w:line="204" w:lineRule="exact"/>
      <w:ind w:left="-851" w:right="-20"/>
      <w:rPr>
        <w:rFonts w:ascii="Arial" w:eastAsia="Arial" w:hAnsi="Arial" w:cs="Arial"/>
        <w:sz w:val="20"/>
        <w:szCs w:val="20"/>
        <w:lang w:val="en-US"/>
      </w:rPr>
    </w:pPr>
    <w:r w:rsidRPr="009609D3">
      <w:rPr>
        <w:rFonts w:ascii="Arial" w:eastAsia="Arial" w:hAnsi="Arial" w:cs="Arial"/>
        <w:sz w:val="20"/>
        <w:szCs w:val="20"/>
        <w:lang w:val="en-US"/>
      </w:rPr>
      <w:t>Cumbria, Nor</w:t>
    </w:r>
    <w:r w:rsidRPr="009609D3">
      <w:rPr>
        <w:rFonts w:ascii="Arial" w:eastAsia="Arial" w:hAnsi="Arial" w:cs="Arial"/>
        <w:spacing w:val="1"/>
        <w:sz w:val="20"/>
        <w:szCs w:val="20"/>
        <w:lang w:val="en-US"/>
      </w:rPr>
      <w:t>thu</w:t>
    </w:r>
    <w:r w:rsidRPr="009609D3">
      <w:rPr>
        <w:rFonts w:ascii="Arial" w:eastAsia="Arial" w:hAnsi="Arial" w:cs="Arial"/>
        <w:spacing w:val="-1"/>
        <w:sz w:val="20"/>
        <w:szCs w:val="20"/>
        <w:lang w:val="en-US"/>
      </w:rPr>
      <w:t>m</w:t>
    </w:r>
    <w:r w:rsidRPr="009609D3">
      <w:rPr>
        <w:rFonts w:ascii="Arial" w:eastAsia="Arial" w:hAnsi="Arial" w:cs="Arial"/>
        <w:spacing w:val="1"/>
        <w:sz w:val="20"/>
        <w:szCs w:val="20"/>
        <w:lang w:val="en-US"/>
      </w:rPr>
      <w:t>be</w:t>
    </w:r>
    <w:r w:rsidRPr="009609D3">
      <w:rPr>
        <w:rFonts w:ascii="Arial" w:eastAsia="Arial" w:hAnsi="Arial" w:cs="Arial"/>
        <w:sz w:val="20"/>
        <w:szCs w:val="20"/>
        <w:lang w:val="en-US"/>
      </w:rPr>
      <w:t>r</w:t>
    </w:r>
    <w:r w:rsidRPr="009609D3">
      <w:rPr>
        <w:rFonts w:ascii="Arial" w:eastAsia="Arial" w:hAnsi="Arial" w:cs="Arial"/>
        <w:spacing w:val="-1"/>
        <w:sz w:val="20"/>
        <w:szCs w:val="20"/>
        <w:lang w:val="en-US"/>
      </w:rPr>
      <w:t>l</w:t>
    </w:r>
    <w:r w:rsidRPr="009609D3">
      <w:rPr>
        <w:rFonts w:ascii="Arial" w:eastAsia="Arial" w:hAnsi="Arial" w:cs="Arial"/>
        <w:spacing w:val="1"/>
        <w:sz w:val="20"/>
        <w:szCs w:val="20"/>
        <w:lang w:val="en-US"/>
      </w:rPr>
      <w:t>and</w:t>
    </w:r>
    <w:r w:rsidRPr="009609D3">
      <w:rPr>
        <w:rFonts w:ascii="Arial" w:eastAsia="Arial" w:hAnsi="Arial" w:cs="Arial"/>
        <w:sz w:val="20"/>
        <w:szCs w:val="20"/>
        <w:lang w:val="en-US"/>
      </w:rPr>
      <w:t>,</w:t>
    </w:r>
    <w:r w:rsidRPr="009609D3">
      <w:rPr>
        <w:rFonts w:ascii="Arial" w:eastAsia="Arial" w:hAnsi="Arial" w:cs="Arial"/>
        <w:spacing w:val="1"/>
        <w:sz w:val="20"/>
        <w:szCs w:val="20"/>
        <w:lang w:val="en-US"/>
      </w:rPr>
      <w:t xml:space="preserve"> </w:t>
    </w:r>
    <w:r w:rsidRPr="009609D3">
      <w:rPr>
        <w:rFonts w:ascii="Arial" w:eastAsia="Arial" w:hAnsi="Arial" w:cs="Arial"/>
        <w:spacing w:val="-2"/>
        <w:sz w:val="20"/>
        <w:szCs w:val="20"/>
        <w:lang w:val="en-US"/>
      </w:rPr>
      <w:t>T</w:t>
    </w:r>
    <w:r w:rsidRPr="009609D3">
      <w:rPr>
        <w:rFonts w:ascii="Arial" w:eastAsia="Arial" w:hAnsi="Arial" w:cs="Arial"/>
        <w:spacing w:val="-1"/>
        <w:sz w:val="20"/>
        <w:szCs w:val="20"/>
        <w:lang w:val="en-US"/>
      </w:rPr>
      <w:t>y</w:t>
    </w:r>
    <w:r w:rsidRPr="009609D3">
      <w:rPr>
        <w:rFonts w:ascii="Arial" w:eastAsia="Arial" w:hAnsi="Arial" w:cs="Arial"/>
        <w:spacing w:val="1"/>
        <w:sz w:val="20"/>
        <w:szCs w:val="20"/>
        <w:lang w:val="en-US"/>
      </w:rPr>
      <w:t>n</w:t>
    </w:r>
    <w:r w:rsidRPr="009609D3">
      <w:rPr>
        <w:rFonts w:ascii="Arial" w:eastAsia="Arial" w:hAnsi="Arial" w:cs="Arial"/>
        <w:sz w:val="20"/>
        <w:szCs w:val="20"/>
        <w:lang w:val="en-US"/>
      </w:rPr>
      <w:t>e</w:t>
    </w:r>
    <w:r w:rsidRPr="009609D3">
      <w:rPr>
        <w:rFonts w:ascii="Arial" w:eastAsia="Arial" w:hAnsi="Arial" w:cs="Arial"/>
        <w:spacing w:val="1"/>
        <w:sz w:val="20"/>
        <w:szCs w:val="20"/>
        <w:lang w:val="en-US"/>
      </w:rPr>
      <w:t xml:space="preserve"> a</w:t>
    </w:r>
    <w:r w:rsidRPr="009609D3">
      <w:rPr>
        <w:rFonts w:ascii="Arial" w:eastAsia="Arial" w:hAnsi="Arial" w:cs="Arial"/>
        <w:spacing w:val="-2"/>
        <w:sz w:val="20"/>
        <w:szCs w:val="20"/>
        <w:lang w:val="en-US"/>
      </w:rPr>
      <w:t>n</w:t>
    </w:r>
    <w:r w:rsidRPr="009609D3">
      <w:rPr>
        <w:rFonts w:ascii="Arial" w:eastAsia="Arial" w:hAnsi="Arial" w:cs="Arial"/>
        <w:sz w:val="20"/>
        <w:szCs w:val="20"/>
        <w:lang w:val="en-US"/>
      </w:rPr>
      <w:t>d</w:t>
    </w:r>
    <w:r w:rsidRPr="009609D3">
      <w:rPr>
        <w:rFonts w:ascii="Arial" w:eastAsia="Arial" w:hAnsi="Arial" w:cs="Arial"/>
        <w:spacing w:val="-4"/>
        <w:sz w:val="20"/>
        <w:szCs w:val="20"/>
        <w:lang w:val="en-US"/>
      </w:rPr>
      <w:t xml:space="preserve"> </w:t>
    </w:r>
    <w:r w:rsidRPr="009609D3">
      <w:rPr>
        <w:rFonts w:ascii="Arial" w:eastAsia="Arial" w:hAnsi="Arial" w:cs="Arial"/>
        <w:spacing w:val="3"/>
        <w:sz w:val="20"/>
        <w:szCs w:val="20"/>
        <w:lang w:val="en-US"/>
      </w:rPr>
      <w:t>W</w:t>
    </w:r>
    <w:r w:rsidRPr="009609D3">
      <w:rPr>
        <w:rFonts w:ascii="Arial" w:eastAsia="Arial" w:hAnsi="Arial" w:cs="Arial"/>
        <w:spacing w:val="1"/>
        <w:sz w:val="20"/>
        <w:szCs w:val="20"/>
        <w:lang w:val="en-US"/>
      </w:rPr>
      <w:t>ea</w:t>
    </w:r>
    <w:r w:rsidRPr="009609D3">
      <w:rPr>
        <w:rFonts w:ascii="Arial" w:eastAsia="Arial" w:hAnsi="Arial" w:cs="Arial"/>
        <w:sz w:val="20"/>
        <w:szCs w:val="20"/>
        <w:lang w:val="en-US"/>
      </w:rPr>
      <w:t>r NHS F</w:t>
    </w:r>
    <w:r w:rsidRPr="009609D3">
      <w:rPr>
        <w:rFonts w:ascii="Arial" w:eastAsia="Arial" w:hAnsi="Arial" w:cs="Arial"/>
        <w:spacing w:val="1"/>
        <w:sz w:val="20"/>
        <w:szCs w:val="20"/>
        <w:lang w:val="en-US"/>
      </w:rPr>
      <w:t>o</w:t>
    </w:r>
    <w:r w:rsidRPr="009609D3">
      <w:rPr>
        <w:rFonts w:ascii="Arial" w:eastAsia="Arial" w:hAnsi="Arial" w:cs="Arial"/>
        <w:spacing w:val="-2"/>
        <w:sz w:val="20"/>
        <w:szCs w:val="20"/>
        <w:lang w:val="en-US"/>
      </w:rPr>
      <w:t>u</w:t>
    </w:r>
    <w:r w:rsidRPr="009609D3">
      <w:rPr>
        <w:rFonts w:ascii="Arial" w:eastAsia="Arial" w:hAnsi="Arial" w:cs="Arial"/>
        <w:spacing w:val="1"/>
        <w:sz w:val="20"/>
        <w:szCs w:val="20"/>
        <w:lang w:val="en-US"/>
      </w:rPr>
      <w:t>nda</w:t>
    </w:r>
    <w:r w:rsidRPr="009609D3">
      <w:rPr>
        <w:rFonts w:ascii="Arial" w:eastAsia="Arial" w:hAnsi="Arial" w:cs="Arial"/>
        <w:spacing w:val="-2"/>
        <w:sz w:val="20"/>
        <w:szCs w:val="20"/>
        <w:lang w:val="en-US"/>
      </w:rPr>
      <w:t>t</w:t>
    </w:r>
    <w:r w:rsidRPr="009609D3">
      <w:rPr>
        <w:rFonts w:ascii="Arial" w:eastAsia="Arial" w:hAnsi="Arial" w:cs="Arial"/>
        <w:spacing w:val="1"/>
        <w:sz w:val="20"/>
        <w:szCs w:val="20"/>
        <w:lang w:val="en-US"/>
      </w:rPr>
      <w:t>io</w:t>
    </w:r>
    <w:r w:rsidRPr="009609D3">
      <w:rPr>
        <w:rFonts w:ascii="Arial" w:eastAsia="Arial" w:hAnsi="Arial" w:cs="Arial"/>
        <w:sz w:val="20"/>
        <w:szCs w:val="20"/>
        <w:lang w:val="en-US"/>
      </w:rPr>
      <w:t>n</w:t>
    </w:r>
    <w:r w:rsidRPr="009609D3">
      <w:rPr>
        <w:rFonts w:ascii="Arial" w:eastAsia="Arial" w:hAnsi="Arial" w:cs="Arial"/>
        <w:spacing w:val="1"/>
        <w:sz w:val="20"/>
        <w:szCs w:val="20"/>
        <w:lang w:val="en-US"/>
      </w:rPr>
      <w:t xml:space="preserve"> </w:t>
    </w:r>
    <w:r w:rsidRPr="009609D3">
      <w:rPr>
        <w:rFonts w:ascii="Arial" w:eastAsia="Arial" w:hAnsi="Arial" w:cs="Arial"/>
        <w:spacing w:val="-2"/>
        <w:sz w:val="20"/>
        <w:szCs w:val="20"/>
        <w:lang w:val="en-US"/>
      </w:rPr>
      <w:t>T</w:t>
    </w:r>
    <w:r w:rsidRPr="009609D3">
      <w:rPr>
        <w:rFonts w:ascii="Arial" w:eastAsia="Arial" w:hAnsi="Arial" w:cs="Arial"/>
        <w:sz w:val="20"/>
        <w:szCs w:val="20"/>
        <w:lang w:val="en-US"/>
      </w:rPr>
      <w:t>r</w:t>
    </w:r>
    <w:r w:rsidRPr="009609D3">
      <w:rPr>
        <w:rFonts w:ascii="Arial" w:eastAsia="Arial" w:hAnsi="Arial" w:cs="Arial"/>
        <w:spacing w:val="1"/>
        <w:sz w:val="20"/>
        <w:szCs w:val="20"/>
        <w:lang w:val="en-US"/>
      </w:rPr>
      <w:t>u</w:t>
    </w:r>
    <w:r w:rsidRPr="009609D3">
      <w:rPr>
        <w:rFonts w:ascii="Arial" w:eastAsia="Arial" w:hAnsi="Arial" w:cs="Arial"/>
        <w:spacing w:val="-1"/>
        <w:sz w:val="20"/>
        <w:szCs w:val="20"/>
        <w:lang w:val="en-US"/>
      </w:rPr>
      <w:t>s</w:t>
    </w:r>
    <w:r w:rsidRPr="009609D3">
      <w:rPr>
        <w:rFonts w:ascii="Arial" w:eastAsia="Arial" w:hAnsi="Arial" w:cs="Arial"/>
        <w:sz w:val="20"/>
        <w:szCs w:val="20"/>
        <w:lang w:val="en-US"/>
      </w:rPr>
      <w:t>t</w:t>
    </w:r>
  </w:p>
  <w:p w14:paraId="494B2911" w14:textId="6F2FF698" w:rsidR="00403104" w:rsidRPr="009609D3" w:rsidRDefault="00403104" w:rsidP="009609D3">
    <w:pPr>
      <w:widowControl w:val="0"/>
      <w:spacing w:line="206" w:lineRule="exact"/>
      <w:ind w:left="-851" w:right="-47"/>
      <w:rPr>
        <w:rFonts w:ascii="Arial" w:eastAsia="Arial" w:hAnsi="Arial" w:cs="Arial"/>
        <w:sz w:val="20"/>
        <w:szCs w:val="20"/>
        <w:lang w:val="en-US"/>
      </w:rPr>
    </w:pPr>
    <w:r w:rsidRPr="009609D3">
      <w:rPr>
        <w:rFonts w:ascii="Arial" w:eastAsia="Arial" w:hAnsi="Arial" w:cs="Arial"/>
        <w:sz w:val="20"/>
        <w:szCs w:val="20"/>
        <w:lang w:val="en-US"/>
      </w:rPr>
      <w:t>PP</w:t>
    </w:r>
    <w:r w:rsidRPr="009609D3">
      <w:rPr>
        <w:rFonts w:ascii="Arial" w:eastAsia="Arial" w:hAnsi="Arial" w:cs="Arial"/>
        <w:spacing w:val="-2"/>
        <w:sz w:val="20"/>
        <w:szCs w:val="20"/>
        <w:lang w:val="en-US"/>
      </w:rPr>
      <w:t>T</w:t>
    </w:r>
    <w:r w:rsidRPr="009609D3">
      <w:rPr>
        <w:rFonts w:ascii="Arial" w:eastAsia="Arial" w:hAnsi="Arial" w:cs="Arial"/>
        <w:spacing w:val="1"/>
        <w:sz w:val="20"/>
        <w:szCs w:val="20"/>
        <w:lang w:val="en-US"/>
      </w:rPr>
      <w:t>-</w:t>
    </w:r>
    <w:r w:rsidRPr="009609D3">
      <w:rPr>
        <w:rFonts w:ascii="Arial" w:eastAsia="Arial" w:hAnsi="Arial" w:cs="Arial"/>
        <w:sz w:val="20"/>
        <w:szCs w:val="20"/>
        <w:lang w:val="en-US"/>
      </w:rPr>
      <w:t>P</w:t>
    </w:r>
    <w:r w:rsidRPr="009609D3">
      <w:rPr>
        <w:rFonts w:ascii="Arial" w:eastAsia="Arial" w:hAnsi="Arial" w:cs="Arial"/>
        <w:spacing w:val="-1"/>
        <w:sz w:val="20"/>
        <w:szCs w:val="20"/>
        <w:lang w:val="en-US"/>
      </w:rPr>
      <w:t>G</w:t>
    </w:r>
    <w:r w:rsidRPr="009609D3">
      <w:rPr>
        <w:rFonts w:ascii="Arial" w:eastAsia="Arial" w:hAnsi="Arial" w:cs="Arial"/>
        <w:sz w:val="20"/>
        <w:szCs w:val="20"/>
        <w:lang w:val="en-US"/>
      </w:rPr>
      <w:t>N</w:t>
    </w:r>
    <w:r w:rsidR="009609D3">
      <w:rPr>
        <w:rFonts w:ascii="Arial" w:eastAsia="Arial" w:hAnsi="Arial" w:cs="Arial"/>
        <w:sz w:val="20"/>
        <w:szCs w:val="20"/>
        <w:lang w:val="en-US"/>
      </w:rPr>
      <w:t>-</w:t>
    </w:r>
    <w:r w:rsidRPr="009609D3">
      <w:rPr>
        <w:rFonts w:ascii="Arial" w:eastAsia="Arial" w:hAnsi="Arial" w:cs="Arial"/>
        <w:spacing w:val="1"/>
        <w:sz w:val="20"/>
        <w:szCs w:val="20"/>
        <w:lang w:val="en-US"/>
      </w:rPr>
      <w:t xml:space="preserve">24 </w:t>
    </w:r>
    <w:r w:rsidRPr="009609D3">
      <w:rPr>
        <w:rFonts w:ascii="Arial" w:eastAsia="Arial" w:hAnsi="Arial" w:cs="Arial"/>
        <w:sz w:val="20"/>
        <w:szCs w:val="20"/>
        <w:lang w:val="en-US"/>
      </w:rPr>
      <w:t xml:space="preserve">- Management of </w:t>
    </w:r>
    <w:proofErr w:type="spellStart"/>
    <w:r w:rsidRPr="009609D3">
      <w:rPr>
        <w:rFonts w:ascii="Arial" w:eastAsia="Arial" w:hAnsi="Arial" w:cs="Arial"/>
        <w:sz w:val="20"/>
        <w:szCs w:val="20"/>
        <w:lang w:val="en-US"/>
      </w:rPr>
      <w:t>Hyperprolactinaemia</w:t>
    </w:r>
    <w:proofErr w:type="spellEnd"/>
    <w:r w:rsidRPr="009609D3">
      <w:rPr>
        <w:rFonts w:ascii="Arial" w:eastAsia="Arial" w:hAnsi="Arial" w:cs="Arial"/>
        <w:sz w:val="20"/>
        <w:szCs w:val="20"/>
        <w:lang w:val="en-US"/>
      </w:rPr>
      <w:t xml:space="preserve"> in Patients Prescribed Antipsychotics - </w:t>
    </w:r>
    <w:r w:rsidRPr="009609D3">
      <w:rPr>
        <w:rFonts w:ascii="Arial" w:eastAsia="Arial" w:hAnsi="Arial" w:cs="Arial"/>
        <w:spacing w:val="-2"/>
        <w:sz w:val="20"/>
        <w:szCs w:val="20"/>
        <w:lang w:val="en-US"/>
      </w:rPr>
      <w:t>V0</w:t>
    </w:r>
    <w:r w:rsidR="005056BA">
      <w:rPr>
        <w:rFonts w:ascii="Arial" w:eastAsia="Arial" w:hAnsi="Arial" w:cs="Arial"/>
        <w:spacing w:val="-2"/>
        <w:sz w:val="20"/>
        <w:szCs w:val="20"/>
        <w:lang w:val="en-US"/>
      </w:rPr>
      <w:t>4</w:t>
    </w:r>
    <w:r w:rsidRPr="009609D3">
      <w:rPr>
        <w:rFonts w:ascii="Arial" w:eastAsia="Arial" w:hAnsi="Arial" w:cs="Arial"/>
        <w:spacing w:val="-2"/>
        <w:sz w:val="20"/>
        <w:szCs w:val="20"/>
        <w:lang w:val="en-US"/>
      </w:rPr>
      <w:t>-Iss</w:t>
    </w:r>
    <w:r w:rsidR="005056BA">
      <w:rPr>
        <w:rFonts w:ascii="Arial" w:eastAsia="Arial" w:hAnsi="Arial" w:cs="Arial"/>
        <w:spacing w:val="-2"/>
        <w:sz w:val="20"/>
        <w:szCs w:val="20"/>
        <w:lang w:val="en-US"/>
      </w:rPr>
      <w:t>1</w:t>
    </w:r>
    <w:r w:rsidRPr="009609D3">
      <w:rPr>
        <w:rFonts w:ascii="Arial" w:eastAsia="Arial" w:hAnsi="Arial" w:cs="Arial"/>
        <w:spacing w:val="-2"/>
        <w:sz w:val="20"/>
        <w:szCs w:val="20"/>
        <w:lang w:val="en-US"/>
      </w:rPr>
      <w:t>-</w:t>
    </w:r>
    <w:r w:rsidR="005056BA">
      <w:rPr>
        <w:rFonts w:ascii="Arial" w:eastAsia="Arial" w:hAnsi="Arial" w:cs="Arial"/>
        <w:spacing w:val="-2"/>
        <w:sz w:val="20"/>
        <w:szCs w:val="20"/>
        <w:lang w:val="en-US"/>
      </w:rPr>
      <w:t>Dec</w:t>
    </w:r>
    <w:r w:rsidRPr="009609D3">
      <w:rPr>
        <w:rFonts w:ascii="Arial" w:eastAsia="Arial" w:hAnsi="Arial" w:cs="Arial"/>
        <w:spacing w:val="-2"/>
        <w:sz w:val="20"/>
        <w:szCs w:val="20"/>
        <w:lang w:val="en-US"/>
      </w:rPr>
      <w:t xml:space="preserve"> 202</w:t>
    </w:r>
    <w:r w:rsidR="009609D3" w:rsidRPr="009609D3">
      <w:rPr>
        <w:rFonts w:ascii="Arial" w:eastAsia="Arial" w:hAnsi="Arial" w:cs="Arial"/>
        <w:spacing w:val="-2"/>
        <w:sz w:val="20"/>
        <w:szCs w:val="20"/>
        <w:lang w:val="en-US"/>
      </w:rPr>
      <w:t>5</w:t>
    </w:r>
  </w:p>
  <w:p w14:paraId="524C2491" w14:textId="53D0E279" w:rsidR="00403104" w:rsidRPr="009609D3" w:rsidRDefault="00403104" w:rsidP="009609D3">
    <w:pPr>
      <w:widowControl w:val="0"/>
      <w:spacing w:line="206" w:lineRule="exact"/>
      <w:ind w:left="-851" w:right="-20"/>
      <w:rPr>
        <w:rFonts w:ascii="Arial" w:eastAsia="Arial" w:hAnsi="Arial" w:cs="Arial"/>
        <w:sz w:val="20"/>
        <w:szCs w:val="20"/>
        <w:lang w:val="en-US"/>
      </w:rPr>
    </w:pPr>
    <w:r w:rsidRPr="009609D3">
      <w:rPr>
        <w:rFonts w:ascii="Arial" w:eastAsia="Arial" w:hAnsi="Arial" w:cs="Arial"/>
        <w:sz w:val="20"/>
        <w:szCs w:val="20"/>
        <w:lang w:val="en-US"/>
      </w:rPr>
      <w:t>P</w:t>
    </w:r>
    <w:r w:rsidRPr="009609D3">
      <w:rPr>
        <w:rFonts w:ascii="Arial" w:eastAsia="Arial" w:hAnsi="Arial" w:cs="Arial"/>
        <w:spacing w:val="1"/>
        <w:sz w:val="20"/>
        <w:szCs w:val="20"/>
        <w:lang w:val="en-US"/>
      </w:rPr>
      <w:t>a</w:t>
    </w:r>
    <w:r w:rsidRPr="009609D3">
      <w:rPr>
        <w:rFonts w:ascii="Arial" w:eastAsia="Arial" w:hAnsi="Arial" w:cs="Arial"/>
        <w:sz w:val="20"/>
        <w:szCs w:val="20"/>
        <w:lang w:val="en-US"/>
      </w:rPr>
      <w:t>rt</w:t>
    </w:r>
    <w:r w:rsidRPr="009609D3">
      <w:rPr>
        <w:rFonts w:ascii="Arial" w:eastAsia="Arial" w:hAnsi="Arial" w:cs="Arial"/>
        <w:spacing w:val="1"/>
        <w:sz w:val="20"/>
        <w:szCs w:val="20"/>
        <w:lang w:val="en-US"/>
      </w:rPr>
      <w:t xml:space="preserve"> o</w:t>
    </w:r>
    <w:r w:rsidRPr="009609D3">
      <w:rPr>
        <w:rFonts w:ascii="Arial" w:eastAsia="Arial" w:hAnsi="Arial" w:cs="Arial"/>
        <w:sz w:val="20"/>
        <w:szCs w:val="20"/>
        <w:lang w:val="en-US"/>
      </w:rPr>
      <w:t>f</w:t>
    </w:r>
    <w:r w:rsidRPr="009609D3">
      <w:rPr>
        <w:rFonts w:ascii="Arial" w:eastAsia="Arial" w:hAnsi="Arial" w:cs="Arial"/>
        <w:spacing w:val="1"/>
        <w:sz w:val="20"/>
        <w:szCs w:val="20"/>
        <w:lang w:val="en-US"/>
      </w:rPr>
      <w:t xml:space="preserve"> C</w:t>
    </w:r>
    <w:r w:rsidRPr="009609D3">
      <w:rPr>
        <w:rFonts w:ascii="Arial" w:eastAsia="Arial" w:hAnsi="Arial" w:cs="Arial"/>
        <w:sz w:val="20"/>
        <w:szCs w:val="20"/>
        <w:lang w:val="en-US"/>
      </w:rPr>
      <w:t>N</w:t>
    </w:r>
    <w:r w:rsidRPr="009609D3">
      <w:rPr>
        <w:rFonts w:ascii="Arial" w:eastAsia="Arial" w:hAnsi="Arial" w:cs="Arial"/>
        <w:spacing w:val="-7"/>
        <w:sz w:val="20"/>
        <w:szCs w:val="20"/>
        <w:lang w:val="en-US"/>
      </w:rPr>
      <w:t>T</w:t>
    </w:r>
    <w:r w:rsidRPr="009609D3">
      <w:rPr>
        <w:rFonts w:ascii="Arial" w:eastAsia="Arial" w:hAnsi="Arial" w:cs="Arial"/>
        <w:spacing w:val="8"/>
        <w:sz w:val="20"/>
        <w:szCs w:val="20"/>
        <w:lang w:val="en-US"/>
      </w:rPr>
      <w:t>W</w:t>
    </w:r>
    <w:r w:rsidRPr="009609D3">
      <w:rPr>
        <w:rFonts w:ascii="Arial" w:eastAsia="Arial" w:hAnsi="Arial" w:cs="Arial"/>
        <w:sz w:val="20"/>
        <w:szCs w:val="20"/>
        <w:lang w:val="en-US"/>
      </w:rPr>
      <w:t>(C</w:t>
    </w:r>
    <w:r w:rsidRPr="009609D3">
      <w:rPr>
        <w:rFonts w:ascii="Arial" w:eastAsia="Arial" w:hAnsi="Arial" w:cs="Arial"/>
        <w:spacing w:val="-3"/>
        <w:sz w:val="20"/>
        <w:szCs w:val="20"/>
        <w:lang w:val="en-US"/>
      </w:rPr>
      <w:t>)</w:t>
    </w:r>
    <w:r w:rsidRPr="009609D3">
      <w:rPr>
        <w:rFonts w:ascii="Arial" w:eastAsia="Arial" w:hAnsi="Arial" w:cs="Arial"/>
        <w:spacing w:val="1"/>
        <w:sz w:val="20"/>
        <w:szCs w:val="20"/>
        <w:lang w:val="en-US"/>
      </w:rPr>
      <w:t>3</w:t>
    </w:r>
    <w:r w:rsidRPr="009609D3">
      <w:rPr>
        <w:rFonts w:ascii="Arial" w:eastAsia="Arial" w:hAnsi="Arial" w:cs="Arial"/>
        <w:sz w:val="20"/>
        <w:szCs w:val="20"/>
        <w:lang w:val="en-US"/>
      </w:rPr>
      <w:t>8</w:t>
    </w:r>
    <w:r w:rsidRPr="009609D3">
      <w:rPr>
        <w:rFonts w:ascii="Arial" w:eastAsia="Arial" w:hAnsi="Arial" w:cs="Arial"/>
        <w:spacing w:val="1"/>
        <w:sz w:val="20"/>
        <w:szCs w:val="20"/>
        <w:lang w:val="en-US"/>
      </w:rPr>
      <w:t xml:space="preserve"> - </w:t>
    </w:r>
    <w:r w:rsidRPr="009609D3">
      <w:rPr>
        <w:rFonts w:ascii="Arial" w:eastAsia="Arial" w:hAnsi="Arial" w:cs="Arial"/>
        <w:sz w:val="20"/>
        <w:szCs w:val="20"/>
        <w:lang w:val="en-US"/>
      </w:rPr>
      <w:t>P</w:t>
    </w:r>
    <w:r w:rsidRPr="009609D3">
      <w:rPr>
        <w:rFonts w:ascii="Arial" w:eastAsia="Arial" w:hAnsi="Arial" w:cs="Arial"/>
        <w:spacing w:val="-1"/>
        <w:sz w:val="20"/>
        <w:szCs w:val="20"/>
        <w:lang w:val="en-US"/>
      </w:rPr>
      <w:t>h</w:t>
    </w:r>
    <w:r w:rsidRPr="009609D3">
      <w:rPr>
        <w:rFonts w:ascii="Arial" w:eastAsia="Arial" w:hAnsi="Arial" w:cs="Arial"/>
        <w:spacing w:val="1"/>
        <w:sz w:val="20"/>
        <w:szCs w:val="20"/>
        <w:lang w:val="en-US"/>
      </w:rPr>
      <w:t>a</w:t>
    </w:r>
    <w:r w:rsidRPr="009609D3">
      <w:rPr>
        <w:rFonts w:ascii="Arial" w:eastAsia="Arial" w:hAnsi="Arial" w:cs="Arial"/>
        <w:sz w:val="20"/>
        <w:szCs w:val="20"/>
        <w:lang w:val="en-US"/>
      </w:rPr>
      <w:t>r</w:t>
    </w:r>
    <w:r w:rsidRPr="009609D3">
      <w:rPr>
        <w:rFonts w:ascii="Arial" w:eastAsia="Arial" w:hAnsi="Arial" w:cs="Arial"/>
        <w:spacing w:val="1"/>
        <w:sz w:val="20"/>
        <w:szCs w:val="20"/>
        <w:lang w:val="en-US"/>
      </w:rPr>
      <w:t>m</w:t>
    </w:r>
    <w:r w:rsidRPr="009609D3">
      <w:rPr>
        <w:rFonts w:ascii="Arial" w:eastAsia="Arial" w:hAnsi="Arial" w:cs="Arial"/>
        <w:spacing w:val="-2"/>
        <w:sz w:val="20"/>
        <w:szCs w:val="20"/>
        <w:lang w:val="en-US"/>
      </w:rPr>
      <w:t>a</w:t>
    </w:r>
    <w:r w:rsidRPr="009609D3">
      <w:rPr>
        <w:rFonts w:ascii="Arial" w:eastAsia="Arial" w:hAnsi="Arial" w:cs="Arial"/>
        <w:spacing w:val="1"/>
        <w:sz w:val="20"/>
        <w:szCs w:val="20"/>
        <w:lang w:val="en-US"/>
      </w:rPr>
      <w:t>c</w:t>
    </w:r>
    <w:r w:rsidRPr="009609D3">
      <w:rPr>
        <w:rFonts w:ascii="Arial" w:eastAsia="Arial" w:hAnsi="Arial" w:cs="Arial"/>
        <w:spacing w:val="-2"/>
        <w:sz w:val="20"/>
        <w:szCs w:val="20"/>
        <w:lang w:val="en-US"/>
      </w:rPr>
      <w:t>o</w:t>
    </w:r>
    <w:r w:rsidRPr="009609D3">
      <w:rPr>
        <w:rFonts w:ascii="Arial" w:eastAsia="Arial" w:hAnsi="Arial" w:cs="Arial"/>
        <w:spacing w:val="1"/>
        <w:sz w:val="20"/>
        <w:szCs w:val="20"/>
        <w:lang w:val="en-US"/>
      </w:rPr>
      <w:t>l</w:t>
    </w:r>
    <w:r w:rsidRPr="009609D3">
      <w:rPr>
        <w:rFonts w:ascii="Arial" w:eastAsia="Arial" w:hAnsi="Arial" w:cs="Arial"/>
        <w:spacing w:val="-2"/>
        <w:sz w:val="20"/>
        <w:szCs w:val="20"/>
        <w:lang w:val="en-US"/>
      </w:rPr>
      <w:t>o</w:t>
    </w:r>
    <w:r w:rsidRPr="009609D3">
      <w:rPr>
        <w:rFonts w:ascii="Arial" w:eastAsia="Arial" w:hAnsi="Arial" w:cs="Arial"/>
        <w:spacing w:val="1"/>
        <w:sz w:val="20"/>
        <w:szCs w:val="20"/>
        <w:lang w:val="en-US"/>
      </w:rPr>
      <w:t>gic</w:t>
    </w:r>
    <w:r w:rsidRPr="009609D3">
      <w:rPr>
        <w:rFonts w:ascii="Arial" w:eastAsia="Arial" w:hAnsi="Arial" w:cs="Arial"/>
        <w:spacing w:val="-2"/>
        <w:sz w:val="20"/>
        <w:szCs w:val="20"/>
        <w:lang w:val="en-US"/>
      </w:rPr>
      <w:t>a</w:t>
    </w:r>
    <w:r w:rsidRPr="009609D3">
      <w:rPr>
        <w:rFonts w:ascii="Arial" w:eastAsia="Arial" w:hAnsi="Arial" w:cs="Arial"/>
        <w:sz w:val="20"/>
        <w:szCs w:val="20"/>
        <w:lang w:val="en-US"/>
      </w:rPr>
      <w:t>l</w:t>
    </w:r>
    <w:r w:rsidRPr="009609D3">
      <w:rPr>
        <w:rFonts w:ascii="Arial" w:eastAsia="Arial" w:hAnsi="Arial" w:cs="Arial"/>
        <w:spacing w:val="1"/>
        <w:sz w:val="20"/>
        <w:szCs w:val="20"/>
        <w:lang w:val="en-US"/>
      </w:rPr>
      <w:t xml:space="preserve"> </w:t>
    </w:r>
    <w:r w:rsidRPr="009609D3">
      <w:rPr>
        <w:rFonts w:ascii="Arial" w:eastAsia="Arial" w:hAnsi="Arial" w:cs="Arial"/>
        <w:spacing w:val="-2"/>
        <w:sz w:val="20"/>
        <w:szCs w:val="20"/>
        <w:lang w:val="en-US"/>
      </w:rPr>
      <w:t>T</w:t>
    </w:r>
    <w:r w:rsidRPr="009609D3">
      <w:rPr>
        <w:rFonts w:ascii="Arial" w:eastAsia="Arial" w:hAnsi="Arial" w:cs="Arial"/>
        <w:spacing w:val="1"/>
        <w:sz w:val="20"/>
        <w:szCs w:val="20"/>
        <w:lang w:val="en-US"/>
      </w:rPr>
      <w:t>he</w:t>
    </w:r>
    <w:r w:rsidRPr="009609D3">
      <w:rPr>
        <w:rFonts w:ascii="Arial" w:eastAsia="Arial" w:hAnsi="Arial" w:cs="Arial"/>
        <w:sz w:val="20"/>
        <w:szCs w:val="20"/>
        <w:lang w:val="en-US"/>
      </w:rPr>
      <w:t>r</w:t>
    </w:r>
    <w:r w:rsidRPr="009609D3">
      <w:rPr>
        <w:rFonts w:ascii="Arial" w:eastAsia="Arial" w:hAnsi="Arial" w:cs="Arial"/>
        <w:spacing w:val="1"/>
        <w:sz w:val="20"/>
        <w:szCs w:val="20"/>
        <w:lang w:val="en-US"/>
      </w:rPr>
      <w:t>ap</w:t>
    </w:r>
    <w:r w:rsidRPr="009609D3">
      <w:rPr>
        <w:rFonts w:ascii="Arial" w:eastAsia="Arial" w:hAnsi="Arial" w:cs="Arial"/>
        <w:sz w:val="20"/>
        <w:szCs w:val="20"/>
        <w:lang w:val="en-US"/>
      </w:rPr>
      <w:t>ies</w:t>
    </w:r>
    <w:r w:rsidRPr="009609D3">
      <w:rPr>
        <w:rFonts w:ascii="Arial" w:eastAsia="Arial" w:hAnsi="Arial" w:cs="Arial"/>
        <w:spacing w:val="-1"/>
        <w:sz w:val="20"/>
        <w:szCs w:val="20"/>
        <w:lang w:val="en-US"/>
      </w:rPr>
      <w:t xml:space="preserve"> </w:t>
    </w:r>
    <w:r w:rsidRPr="009609D3">
      <w:rPr>
        <w:rFonts w:ascii="Arial" w:eastAsia="Arial" w:hAnsi="Arial" w:cs="Arial"/>
        <w:sz w:val="20"/>
        <w:szCs w:val="20"/>
        <w:lang w:val="en-US"/>
      </w:rPr>
      <w:t>P</w:t>
    </w:r>
    <w:r w:rsidRPr="009609D3">
      <w:rPr>
        <w:rFonts w:ascii="Arial" w:eastAsia="Arial" w:hAnsi="Arial" w:cs="Arial"/>
        <w:spacing w:val="1"/>
        <w:sz w:val="20"/>
        <w:szCs w:val="20"/>
        <w:lang w:val="en-US"/>
      </w:rPr>
      <w:t>o</w:t>
    </w:r>
    <w:r w:rsidRPr="009609D3">
      <w:rPr>
        <w:rFonts w:ascii="Arial" w:eastAsia="Arial" w:hAnsi="Arial" w:cs="Arial"/>
        <w:spacing w:val="-2"/>
        <w:sz w:val="20"/>
        <w:szCs w:val="20"/>
        <w:lang w:val="en-US"/>
      </w:rPr>
      <w:t>l</w:t>
    </w:r>
    <w:r w:rsidRPr="009609D3">
      <w:rPr>
        <w:rFonts w:ascii="Arial" w:eastAsia="Arial" w:hAnsi="Arial" w:cs="Arial"/>
        <w:spacing w:val="1"/>
        <w:sz w:val="20"/>
        <w:szCs w:val="20"/>
        <w:lang w:val="en-US"/>
      </w:rPr>
      <w:t>ic</w:t>
    </w:r>
    <w:r w:rsidRPr="009609D3">
      <w:rPr>
        <w:rFonts w:ascii="Arial" w:eastAsia="Arial" w:hAnsi="Arial" w:cs="Arial"/>
        <w:sz w:val="20"/>
        <w:szCs w:val="20"/>
        <w:lang w:val="en-US"/>
      </w:rPr>
      <w: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F3CA" w14:textId="77777777" w:rsidR="00C84EA1" w:rsidRDefault="00C84E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DE9D" w14:textId="77777777" w:rsidR="00C84EA1" w:rsidRDefault="00C84EA1" w:rsidP="00673CAC">
      <w:r>
        <w:separator/>
      </w:r>
    </w:p>
  </w:footnote>
  <w:footnote w:type="continuationSeparator" w:id="0">
    <w:p w14:paraId="6A613AF2" w14:textId="77777777" w:rsidR="00C84EA1" w:rsidRDefault="00C84EA1" w:rsidP="0067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4275" w14:textId="67028E13" w:rsidR="003372D5" w:rsidRDefault="0033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02B2" w14:textId="6811691C" w:rsidR="00C84EA1" w:rsidRPr="00403104" w:rsidRDefault="00C84EA1" w:rsidP="004C3EFE">
    <w:pPr>
      <w:pStyle w:val="Header"/>
      <w:ind w:right="95"/>
      <w:jc w:val="right"/>
      <w:rPr>
        <w:rFonts w:ascii="Arial" w:hAnsi="Arial" w:cs="Arial"/>
        <w:bCs/>
        <w:sz w:val="20"/>
        <w:szCs w:val="20"/>
      </w:rPr>
    </w:pPr>
    <w:r w:rsidRPr="00403104">
      <w:rPr>
        <w:rFonts w:ascii="Arial" w:hAnsi="Arial" w:cs="Arial"/>
        <w:bCs/>
        <w:sz w:val="20"/>
        <w:szCs w:val="20"/>
      </w:rPr>
      <w:t>PPT-PGN-24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A7FB" w14:textId="7B1B7273" w:rsidR="00C84EA1" w:rsidRPr="00A35628" w:rsidRDefault="00C84EA1" w:rsidP="00A356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ACC"/>
    <w:multiLevelType w:val="hybridMultilevel"/>
    <w:tmpl w:val="560C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0A16"/>
    <w:multiLevelType w:val="hybridMultilevel"/>
    <w:tmpl w:val="31FC0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537EC"/>
    <w:multiLevelType w:val="hybridMultilevel"/>
    <w:tmpl w:val="0CF8F834"/>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16223B0F"/>
    <w:multiLevelType w:val="hybridMultilevel"/>
    <w:tmpl w:val="4ED6EFD8"/>
    <w:lvl w:ilvl="0" w:tplc="08090001">
      <w:start w:val="1"/>
      <w:numFmt w:val="bullet"/>
      <w:lvlText w:val=""/>
      <w:lvlJc w:val="left"/>
      <w:pPr>
        <w:ind w:left="75" w:hanging="360"/>
      </w:pPr>
      <w:rPr>
        <w:rFonts w:ascii="Symbol" w:hAnsi="Symbol" w:hint="default"/>
      </w:rPr>
    </w:lvl>
    <w:lvl w:ilvl="1" w:tplc="08090003">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4" w15:restartNumberingAfterBreak="0">
    <w:nsid w:val="1AF27215"/>
    <w:multiLevelType w:val="multilevel"/>
    <w:tmpl w:val="1244FF1A"/>
    <w:lvl w:ilvl="0">
      <w:start w:val="1"/>
      <w:numFmt w:val="decimal"/>
      <w:lvlText w:val="%1"/>
      <w:lvlJc w:val="left"/>
      <w:pPr>
        <w:ind w:left="405" w:hanging="405"/>
      </w:pPr>
      <w:rPr>
        <w:rFonts w:hint="default"/>
        <w:b/>
      </w:rPr>
    </w:lvl>
    <w:lvl w:ilvl="1">
      <w:start w:val="1"/>
      <w:numFmt w:val="decimal"/>
      <w:lvlText w:val="%1.%2"/>
      <w:lvlJc w:val="left"/>
      <w:pPr>
        <w:ind w:left="680" w:hanging="6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923A2"/>
    <w:multiLevelType w:val="hybridMultilevel"/>
    <w:tmpl w:val="8CE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C1189"/>
    <w:multiLevelType w:val="multilevel"/>
    <w:tmpl w:val="B4107536"/>
    <w:lvl w:ilvl="0">
      <w:start w:val="1"/>
      <w:numFmt w:val="bullet"/>
      <w:lvlText w:val=""/>
      <w:lvlJc w:val="left"/>
      <w:pPr>
        <w:ind w:left="1845" w:hanging="405"/>
      </w:pPr>
      <w:rPr>
        <w:rFonts w:ascii="Symbol" w:hAnsi="Symbol" w:hint="default"/>
        <w:b/>
      </w:rPr>
    </w:lvl>
    <w:lvl w:ilvl="1">
      <w:start w:val="1"/>
      <w:numFmt w:val="decimal"/>
      <w:lvlText w:val="%1.%2"/>
      <w:lvlJc w:val="left"/>
      <w:pPr>
        <w:ind w:left="2120" w:hanging="6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2486FC8"/>
    <w:multiLevelType w:val="hybridMultilevel"/>
    <w:tmpl w:val="2AE8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15546"/>
    <w:multiLevelType w:val="multilevel"/>
    <w:tmpl w:val="275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46C56"/>
    <w:multiLevelType w:val="hybridMultilevel"/>
    <w:tmpl w:val="8EC4A156"/>
    <w:lvl w:ilvl="0" w:tplc="AF443EB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EC5820"/>
    <w:multiLevelType w:val="multilevel"/>
    <w:tmpl w:val="4448EB0E"/>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B0178E7"/>
    <w:multiLevelType w:val="hybridMultilevel"/>
    <w:tmpl w:val="CAC0DF88"/>
    <w:lvl w:ilvl="0" w:tplc="0B2ABF7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024DC8"/>
    <w:multiLevelType w:val="hybridMultilevel"/>
    <w:tmpl w:val="5EEA96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8A2B96"/>
    <w:multiLevelType w:val="hybridMultilevel"/>
    <w:tmpl w:val="C404678E"/>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10AC8"/>
    <w:multiLevelType w:val="hybridMultilevel"/>
    <w:tmpl w:val="BCA0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023472"/>
    <w:multiLevelType w:val="multilevel"/>
    <w:tmpl w:val="C3D2F83C"/>
    <w:lvl w:ilvl="0">
      <w:start w:val="1"/>
      <w:numFmt w:val="bullet"/>
      <w:lvlText w:val=""/>
      <w:lvlJc w:val="left"/>
      <w:pPr>
        <w:ind w:left="1134" w:hanging="454"/>
      </w:pPr>
      <w:rPr>
        <w:rFonts w:ascii="Symbol" w:hAnsi="Symbol" w:hint="default"/>
        <w:b/>
      </w:rPr>
    </w:lvl>
    <w:lvl w:ilvl="1">
      <w:start w:val="1"/>
      <w:numFmt w:val="decimal"/>
      <w:lvlText w:val="%1.%2"/>
      <w:lvlJc w:val="left"/>
      <w:pPr>
        <w:ind w:left="1894" w:hanging="454"/>
      </w:pPr>
      <w:rPr>
        <w:rFonts w:hint="default"/>
        <w:b w:val="0"/>
      </w:rPr>
    </w:lvl>
    <w:lvl w:ilvl="2">
      <w:start w:val="1"/>
      <w:numFmt w:val="decimal"/>
      <w:lvlText w:val="%1.%2.%3"/>
      <w:lvlJc w:val="left"/>
      <w:pPr>
        <w:ind w:left="2654" w:hanging="454"/>
      </w:pPr>
      <w:rPr>
        <w:rFonts w:hint="default"/>
        <w:b w:val="0"/>
      </w:rPr>
    </w:lvl>
    <w:lvl w:ilvl="3">
      <w:start w:val="1"/>
      <w:numFmt w:val="decimal"/>
      <w:lvlText w:val="%1.%2.%3.%4"/>
      <w:lvlJc w:val="left"/>
      <w:pPr>
        <w:ind w:left="3414" w:hanging="454"/>
      </w:pPr>
      <w:rPr>
        <w:rFonts w:hint="default"/>
      </w:rPr>
    </w:lvl>
    <w:lvl w:ilvl="4">
      <w:start w:val="1"/>
      <w:numFmt w:val="decimal"/>
      <w:lvlText w:val="%1.%2.%3.%4.%5"/>
      <w:lvlJc w:val="left"/>
      <w:pPr>
        <w:ind w:left="4174" w:hanging="454"/>
      </w:pPr>
      <w:rPr>
        <w:rFonts w:hint="default"/>
      </w:rPr>
    </w:lvl>
    <w:lvl w:ilvl="5">
      <w:start w:val="1"/>
      <w:numFmt w:val="decimal"/>
      <w:lvlText w:val="%1.%2.%3.%4.%5.%6"/>
      <w:lvlJc w:val="left"/>
      <w:pPr>
        <w:ind w:left="4934" w:hanging="454"/>
      </w:pPr>
      <w:rPr>
        <w:rFonts w:hint="default"/>
      </w:rPr>
    </w:lvl>
    <w:lvl w:ilvl="6">
      <w:start w:val="1"/>
      <w:numFmt w:val="decimal"/>
      <w:lvlText w:val="%1.%2.%3.%4.%5.%6.%7"/>
      <w:lvlJc w:val="left"/>
      <w:pPr>
        <w:ind w:left="5694" w:hanging="454"/>
      </w:pPr>
      <w:rPr>
        <w:rFonts w:hint="default"/>
      </w:rPr>
    </w:lvl>
    <w:lvl w:ilvl="7">
      <w:start w:val="1"/>
      <w:numFmt w:val="decimal"/>
      <w:lvlText w:val="%1.%2.%3.%4.%5.%6.%7.%8"/>
      <w:lvlJc w:val="left"/>
      <w:pPr>
        <w:ind w:left="6454" w:hanging="454"/>
      </w:pPr>
      <w:rPr>
        <w:rFonts w:hint="default"/>
      </w:rPr>
    </w:lvl>
    <w:lvl w:ilvl="8">
      <w:start w:val="1"/>
      <w:numFmt w:val="decimal"/>
      <w:lvlText w:val="%1.%2.%3.%4.%5.%6.%7.%8.%9"/>
      <w:lvlJc w:val="left"/>
      <w:pPr>
        <w:ind w:left="7214" w:hanging="454"/>
      </w:pPr>
      <w:rPr>
        <w:rFonts w:hint="default"/>
      </w:rPr>
    </w:lvl>
  </w:abstractNum>
  <w:abstractNum w:abstractNumId="16" w15:restartNumberingAfterBreak="0">
    <w:nsid w:val="330639D5"/>
    <w:multiLevelType w:val="hybridMultilevel"/>
    <w:tmpl w:val="2E5A9B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687200"/>
    <w:multiLevelType w:val="hybridMultilevel"/>
    <w:tmpl w:val="6CB01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DF2A8C"/>
    <w:multiLevelType w:val="hybridMultilevel"/>
    <w:tmpl w:val="FA4A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C49A7"/>
    <w:multiLevelType w:val="hybridMultilevel"/>
    <w:tmpl w:val="C3866588"/>
    <w:lvl w:ilvl="0" w:tplc="9D7284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541F7"/>
    <w:multiLevelType w:val="multilevel"/>
    <w:tmpl w:val="B4107536"/>
    <w:lvl w:ilvl="0">
      <w:start w:val="1"/>
      <w:numFmt w:val="bullet"/>
      <w:lvlText w:val=""/>
      <w:lvlJc w:val="left"/>
      <w:pPr>
        <w:ind w:left="1845" w:hanging="405"/>
      </w:pPr>
      <w:rPr>
        <w:rFonts w:ascii="Symbol" w:hAnsi="Symbol" w:hint="default"/>
        <w:b/>
      </w:rPr>
    </w:lvl>
    <w:lvl w:ilvl="1">
      <w:start w:val="1"/>
      <w:numFmt w:val="decimal"/>
      <w:lvlText w:val="%1.%2"/>
      <w:lvlJc w:val="left"/>
      <w:pPr>
        <w:ind w:left="2120" w:hanging="6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10324FF"/>
    <w:multiLevelType w:val="hybridMultilevel"/>
    <w:tmpl w:val="08CA9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C675B"/>
    <w:multiLevelType w:val="hybridMultilevel"/>
    <w:tmpl w:val="BA1087B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022990"/>
    <w:multiLevelType w:val="hybridMultilevel"/>
    <w:tmpl w:val="4A8A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90A94"/>
    <w:multiLevelType w:val="hybridMultilevel"/>
    <w:tmpl w:val="699E5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143AD"/>
    <w:multiLevelType w:val="multilevel"/>
    <w:tmpl w:val="B4107536"/>
    <w:lvl w:ilvl="0">
      <w:start w:val="1"/>
      <w:numFmt w:val="bullet"/>
      <w:lvlText w:val=""/>
      <w:lvlJc w:val="left"/>
      <w:pPr>
        <w:ind w:left="-3915" w:hanging="405"/>
      </w:pPr>
      <w:rPr>
        <w:rFonts w:ascii="Symbol" w:hAnsi="Symbol" w:hint="default"/>
        <w:b/>
      </w:rPr>
    </w:lvl>
    <w:lvl w:ilvl="1">
      <w:start w:val="1"/>
      <w:numFmt w:val="decimal"/>
      <w:lvlText w:val="%1.%2"/>
      <w:lvlJc w:val="left"/>
      <w:pPr>
        <w:ind w:left="-3640" w:hanging="6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5DB81EDE"/>
    <w:multiLevelType w:val="hybridMultilevel"/>
    <w:tmpl w:val="96F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258D1"/>
    <w:multiLevelType w:val="hybridMultilevel"/>
    <w:tmpl w:val="3922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758B0"/>
    <w:multiLevelType w:val="hybridMultilevel"/>
    <w:tmpl w:val="54D02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593985"/>
    <w:multiLevelType w:val="hybridMultilevel"/>
    <w:tmpl w:val="D438E492"/>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30" w15:restartNumberingAfterBreak="0">
    <w:nsid w:val="64C51758"/>
    <w:multiLevelType w:val="hybridMultilevel"/>
    <w:tmpl w:val="2AEC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DB039D"/>
    <w:multiLevelType w:val="multilevel"/>
    <w:tmpl w:val="B4107536"/>
    <w:lvl w:ilvl="0">
      <w:start w:val="1"/>
      <w:numFmt w:val="bullet"/>
      <w:lvlText w:val=""/>
      <w:lvlJc w:val="left"/>
      <w:pPr>
        <w:ind w:left="1845" w:hanging="405"/>
      </w:pPr>
      <w:rPr>
        <w:rFonts w:ascii="Symbol" w:hAnsi="Symbol" w:hint="default"/>
        <w:b/>
      </w:rPr>
    </w:lvl>
    <w:lvl w:ilvl="1">
      <w:start w:val="1"/>
      <w:numFmt w:val="decimal"/>
      <w:lvlText w:val="%1.%2"/>
      <w:lvlJc w:val="left"/>
      <w:pPr>
        <w:ind w:left="2120" w:hanging="6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F753C58"/>
    <w:multiLevelType w:val="hybridMultilevel"/>
    <w:tmpl w:val="56FEB8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4C6B87"/>
    <w:multiLevelType w:val="hybridMultilevel"/>
    <w:tmpl w:val="C4D011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0802288"/>
    <w:multiLevelType w:val="hybridMultilevel"/>
    <w:tmpl w:val="F6A48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4688C"/>
    <w:multiLevelType w:val="multilevel"/>
    <w:tmpl w:val="46D82324"/>
    <w:lvl w:ilvl="0">
      <w:start w:val="1"/>
      <w:numFmt w:val="decimal"/>
      <w:lvlText w:val="%1"/>
      <w:lvlJc w:val="left"/>
      <w:pPr>
        <w:ind w:left="454" w:hanging="454"/>
      </w:pPr>
      <w:rPr>
        <w:rFonts w:hint="default"/>
        <w:b/>
      </w:rPr>
    </w:lvl>
    <w:lvl w:ilvl="1">
      <w:start w:val="1"/>
      <w:numFmt w:val="decimal"/>
      <w:lvlText w:val="%1.%2"/>
      <w:lvlJc w:val="left"/>
      <w:pPr>
        <w:ind w:left="680" w:hanging="567"/>
      </w:pPr>
      <w:rPr>
        <w:rFonts w:hint="default"/>
        <w:b w:val="0"/>
        <w:color w:val="auto"/>
      </w:rPr>
    </w:lvl>
    <w:lvl w:ilvl="2">
      <w:start w:val="1"/>
      <w:numFmt w:val="decimal"/>
      <w:lvlText w:val="%1.%2.%3"/>
      <w:lvlJc w:val="left"/>
      <w:pPr>
        <w:ind w:left="1247" w:hanging="963"/>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86019"/>
    <w:multiLevelType w:val="hybridMultilevel"/>
    <w:tmpl w:val="9E4E9704"/>
    <w:lvl w:ilvl="0" w:tplc="571885C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900F0"/>
    <w:multiLevelType w:val="hybridMultilevel"/>
    <w:tmpl w:val="285E0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B391307"/>
    <w:multiLevelType w:val="hybridMultilevel"/>
    <w:tmpl w:val="1EB6A7D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6500D9"/>
    <w:multiLevelType w:val="hybridMultilevel"/>
    <w:tmpl w:val="551C6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1B36C3"/>
    <w:multiLevelType w:val="hybridMultilevel"/>
    <w:tmpl w:val="480A2DE8"/>
    <w:lvl w:ilvl="0" w:tplc="04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FA36936"/>
    <w:multiLevelType w:val="hybridMultilevel"/>
    <w:tmpl w:val="086EA58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15305984">
    <w:abstractNumId w:val="41"/>
  </w:num>
  <w:num w:numId="2" w16cid:durableId="2106028537">
    <w:abstractNumId w:val="3"/>
  </w:num>
  <w:num w:numId="3" w16cid:durableId="709382784">
    <w:abstractNumId w:val="10"/>
  </w:num>
  <w:num w:numId="4" w16cid:durableId="1525630101">
    <w:abstractNumId w:val="35"/>
  </w:num>
  <w:num w:numId="5" w16cid:durableId="1980071511">
    <w:abstractNumId w:val="21"/>
  </w:num>
  <w:num w:numId="6" w16cid:durableId="116798034">
    <w:abstractNumId w:val="24"/>
  </w:num>
  <w:num w:numId="7" w16cid:durableId="730468478">
    <w:abstractNumId w:val="23"/>
  </w:num>
  <w:num w:numId="8" w16cid:durableId="1683899960">
    <w:abstractNumId w:val="19"/>
  </w:num>
  <w:num w:numId="9" w16cid:durableId="383456596">
    <w:abstractNumId w:val="33"/>
  </w:num>
  <w:num w:numId="10" w16cid:durableId="1532105609">
    <w:abstractNumId w:val="28"/>
  </w:num>
  <w:num w:numId="11" w16cid:durableId="2142065004">
    <w:abstractNumId w:val="27"/>
  </w:num>
  <w:num w:numId="12" w16cid:durableId="1098259440">
    <w:abstractNumId w:val="1"/>
  </w:num>
  <w:num w:numId="13" w16cid:durableId="174006715">
    <w:abstractNumId w:val="26"/>
  </w:num>
  <w:num w:numId="14" w16cid:durableId="1164783160">
    <w:abstractNumId w:val="0"/>
  </w:num>
  <w:num w:numId="15" w16cid:durableId="573319189">
    <w:abstractNumId w:val="18"/>
  </w:num>
  <w:num w:numId="16" w16cid:durableId="1080834939">
    <w:abstractNumId w:val="5"/>
  </w:num>
  <w:num w:numId="17" w16cid:durableId="813058351">
    <w:abstractNumId w:val="40"/>
  </w:num>
  <w:num w:numId="18" w16cid:durableId="1705060237">
    <w:abstractNumId w:val="13"/>
  </w:num>
  <w:num w:numId="19" w16cid:durableId="109280217">
    <w:abstractNumId w:val="32"/>
  </w:num>
  <w:num w:numId="20" w16cid:durableId="1700159107">
    <w:abstractNumId w:val="14"/>
  </w:num>
  <w:num w:numId="21" w16cid:durableId="1655642900">
    <w:abstractNumId w:val="17"/>
  </w:num>
  <w:num w:numId="22" w16cid:durableId="313611830">
    <w:abstractNumId w:val="35"/>
    <w:lvlOverride w:ilvl="0">
      <w:lvl w:ilvl="0">
        <w:start w:val="1"/>
        <w:numFmt w:val="decimal"/>
        <w:lvlText w:val="%1"/>
        <w:lvlJc w:val="left"/>
        <w:pPr>
          <w:ind w:left="405" w:hanging="405"/>
        </w:pPr>
        <w:rPr>
          <w:rFonts w:hint="default"/>
          <w:b/>
        </w:rPr>
      </w:lvl>
    </w:lvlOverride>
    <w:lvlOverride w:ilvl="1">
      <w:lvl w:ilvl="1">
        <w:start w:val="1"/>
        <w:numFmt w:val="decimal"/>
        <w:lvlText w:val="%1.%2"/>
        <w:lvlJc w:val="left"/>
        <w:pPr>
          <w:ind w:left="680"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3" w16cid:durableId="987513773">
    <w:abstractNumId w:val="12"/>
  </w:num>
  <w:num w:numId="24" w16cid:durableId="942570029">
    <w:abstractNumId w:val="4"/>
  </w:num>
  <w:num w:numId="25" w16cid:durableId="1555239865">
    <w:abstractNumId w:val="6"/>
  </w:num>
  <w:num w:numId="26" w16cid:durableId="159781772">
    <w:abstractNumId w:val="31"/>
  </w:num>
  <w:num w:numId="27" w16cid:durableId="939022885">
    <w:abstractNumId w:val="25"/>
  </w:num>
  <w:num w:numId="28" w16cid:durableId="175002113">
    <w:abstractNumId w:val="20"/>
  </w:num>
  <w:num w:numId="29" w16cid:durableId="1213731667">
    <w:abstractNumId w:val="15"/>
  </w:num>
  <w:num w:numId="30" w16cid:durableId="1704866852">
    <w:abstractNumId w:val="29"/>
  </w:num>
  <w:num w:numId="31" w16cid:durableId="127675473">
    <w:abstractNumId w:val="35"/>
    <w:lvlOverride w:ilvl="0">
      <w:lvl w:ilvl="0">
        <w:start w:val="1"/>
        <w:numFmt w:val="decimal"/>
        <w:lvlText w:val="%1"/>
        <w:lvlJc w:val="left"/>
        <w:pPr>
          <w:ind w:left="454" w:hanging="454"/>
        </w:pPr>
        <w:rPr>
          <w:rFonts w:hint="default"/>
          <w:b/>
        </w:rPr>
      </w:lvl>
    </w:lvlOverride>
    <w:lvlOverride w:ilvl="1">
      <w:lvl w:ilvl="1">
        <w:start w:val="1"/>
        <w:numFmt w:val="decimal"/>
        <w:lvlText w:val="%1.%2"/>
        <w:lvlJc w:val="left"/>
        <w:pPr>
          <w:ind w:left="680" w:hanging="567"/>
        </w:pPr>
        <w:rPr>
          <w:rFonts w:hint="default"/>
          <w:b w:val="0"/>
        </w:rPr>
      </w:lvl>
    </w:lvlOverride>
    <w:lvlOverride w:ilvl="2">
      <w:lvl w:ilvl="2">
        <w:start w:val="1"/>
        <w:numFmt w:val="decimal"/>
        <w:lvlText w:val="%1.%2.%3"/>
        <w:lvlJc w:val="left"/>
        <w:pPr>
          <w:ind w:left="1021" w:hanging="794"/>
        </w:pPr>
        <w:rPr>
          <w:rFonts w:hint="default"/>
          <w:b w:val="0"/>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2" w16cid:durableId="156920073">
    <w:abstractNumId w:val="35"/>
    <w:lvlOverride w:ilvl="0">
      <w:lvl w:ilvl="0">
        <w:start w:val="1"/>
        <w:numFmt w:val="decimal"/>
        <w:lvlText w:val="%1"/>
        <w:lvlJc w:val="left"/>
        <w:pPr>
          <w:ind w:left="454" w:hanging="454"/>
        </w:pPr>
        <w:rPr>
          <w:rFonts w:hint="default"/>
          <w:b/>
        </w:rPr>
      </w:lvl>
    </w:lvlOverride>
    <w:lvlOverride w:ilvl="1">
      <w:lvl w:ilvl="1">
        <w:start w:val="1"/>
        <w:numFmt w:val="decimal"/>
        <w:lvlText w:val="%1.%2"/>
        <w:lvlJc w:val="left"/>
        <w:pPr>
          <w:ind w:left="680" w:hanging="567"/>
        </w:pPr>
        <w:rPr>
          <w:rFonts w:hint="default"/>
          <w:b w:val="0"/>
        </w:rPr>
      </w:lvl>
    </w:lvlOverride>
    <w:lvlOverride w:ilvl="2">
      <w:lvl w:ilvl="2">
        <w:start w:val="1"/>
        <w:numFmt w:val="decimal"/>
        <w:lvlText w:val="%1.%2.%3"/>
        <w:lvlJc w:val="left"/>
        <w:pPr>
          <w:ind w:left="1134" w:hanging="850"/>
        </w:pPr>
        <w:rPr>
          <w:rFonts w:hint="default"/>
          <w:b w:val="0"/>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3" w16cid:durableId="1596745979">
    <w:abstractNumId w:val="9"/>
  </w:num>
  <w:num w:numId="34" w16cid:durableId="386414731">
    <w:abstractNumId w:val="11"/>
  </w:num>
  <w:num w:numId="35" w16cid:durableId="1463385753">
    <w:abstractNumId w:val="38"/>
  </w:num>
  <w:num w:numId="36" w16cid:durableId="804355138">
    <w:abstractNumId w:val="16"/>
  </w:num>
  <w:num w:numId="37" w16cid:durableId="948514113">
    <w:abstractNumId w:val="8"/>
  </w:num>
  <w:num w:numId="38" w16cid:durableId="1943799850">
    <w:abstractNumId w:val="2"/>
  </w:num>
  <w:num w:numId="39" w16cid:durableId="1755739464">
    <w:abstractNumId w:val="36"/>
  </w:num>
  <w:num w:numId="40" w16cid:durableId="925578084">
    <w:abstractNumId w:val="7"/>
  </w:num>
  <w:num w:numId="41" w16cid:durableId="660816862">
    <w:abstractNumId w:val="30"/>
  </w:num>
  <w:num w:numId="42" w16cid:durableId="1890413433">
    <w:abstractNumId w:val="39"/>
  </w:num>
  <w:num w:numId="43" w16cid:durableId="415595387">
    <w:abstractNumId w:val="22"/>
  </w:num>
  <w:num w:numId="44" w16cid:durableId="1852446334">
    <w:abstractNumId w:val="37"/>
  </w:num>
  <w:num w:numId="45" w16cid:durableId="130662389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0660">
      <o:colormru v:ext="edit" colors="#a2d66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LE0MDe2NDU3NLZQ0lEKTi0uzszPAykwqgUAIuH23iwAAAA="/>
  </w:docVars>
  <w:rsids>
    <w:rsidRoot w:val="00034ECE"/>
    <w:rsid w:val="00017161"/>
    <w:rsid w:val="000251B8"/>
    <w:rsid w:val="00032983"/>
    <w:rsid w:val="00034ECE"/>
    <w:rsid w:val="00036998"/>
    <w:rsid w:val="0004201B"/>
    <w:rsid w:val="00050D1D"/>
    <w:rsid w:val="00053990"/>
    <w:rsid w:val="00062A7F"/>
    <w:rsid w:val="00065721"/>
    <w:rsid w:val="00066F9B"/>
    <w:rsid w:val="00067D1A"/>
    <w:rsid w:val="00071001"/>
    <w:rsid w:val="00071CCF"/>
    <w:rsid w:val="00081BC4"/>
    <w:rsid w:val="0008349E"/>
    <w:rsid w:val="00083DAA"/>
    <w:rsid w:val="000846CF"/>
    <w:rsid w:val="00091866"/>
    <w:rsid w:val="00093733"/>
    <w:rsid w:val="00093A68"/>
    <w:rsid w:val="000943AF"/>
    <w:rsid w:val="00094AD9"/>
    <w:rsid w:val="00097DF3"/>
    <w:rsid w:val="000A4DCA"/>
    <w:rsid w:val="000A6350"/>
    <w:rsid w:val="000D097D"/>
    <w:rsid w:val="000D2D50"/>
    <w:rsid w:val="000E17D5"/>
    <w:rsid w:val="000E37E5"/>
    <w:rsid w:val="000F048E"/>
    <w:rsid w:val="000F21B9"/>
    <w:rsid w:val="000F4C41"/>
    <w:rsid w:val="00102118"/>
    <w:rsid w:val="001047EA"/>
    <w:rsid w:val="00105EA9"/>
    <w:rsid w:val="00105F0D"/>
    <w:rsid w:val="0010689F"/>
    <w:rsid w:val="001101D0"/>
    <w:rsid w:val="00116E64"/>
    <w:rsid w:val="001217E5"/>
    <w:rsid w:val="00122F34"/>
    <w:rsid w:val="00123CBB"/>
    <w:rsid w:val="00124D93"/>
    <w:rsid w:val="0013315A"/>
    <w:rsid w:val="00133385"/>
    <w:rsid w:val="001334FF"/>
    <w:rsid w:val="001374C9"/>
    <w:rsid w:val="0014048F"/>
    <w:rsid w:val="00140718"/>
    <w:rsid w:val="001415BC"/>
    <w:rsid w:val="00142B7F"/>
    <w:rsid w:val="00146727"/>
    <w:rsid w:val="00150C11"/>
    <w:rsid w:val="001576AA"/>
    <w:rsid w:val="001578A3"/>
    <w:rsid w:val="00161B3A"/>
    <w:rsid w:val="00166C00"/>
    <w:rsid w:val="0016714B"/>
    <w:rsid w:val="001839C3"/>
    <w:rsid w:val="00187AF8"/>
    <w:rsid w:val="001A1798"/>
    <w:rsid w:val="001A1D42"/>
    <w:rsid w:val="001A24E3"/>
    <w:rsid w:val="001A599B"/>
    <w:rsid w:val="001A726B"/>
    <w:rsid w:val="001B1D4B"/>
    <w:rsid w:val="001B4FF9"/>
    <w:rsid w:val="001C4918"/>
    <w:rsid w:val="001D1864"/>
    <w:rsid w:val="001D7F44"/>
    <w:rsid w:val="001E4ED2"/>
    <w:rsid w:val="001E6A96"/>
    <w:rsid w:val="001F09FD"/>
    <w:rsid w:val="001F1203"/>
    <w:rsid w:val="00203BAB"/>
    <w:rsid w:val="00213020"/>
    <w:rsid w:val="002165E9"/>
    <w:rsid w:val="00217C52"/>
    <w:rsid w:val="00227372"/>
    <w:rsid w:val="00230014"/>
    <w:rsid w:val="00242D5C"/>
    <w:rsid w:val="002464EF"/>
    <w:rsid w:val="002548E9"/>
    <w:rsid w:val="00263DB9"/>
    <w:rsid w:val="002644F6"/>
    <w:rsid w:val="002731C4"/>
    <w:rsid w:val="002747F7"/>
    <w:rsid w:val="00274D7F"/>
    <w:rsid w:val="002760DF"/>
    <w:rsid w:val="002903F0"/>
    <w:rsid w:val="00290B08"/>
    <w:rsid w:val="00291264"/>
    <w:rsid w:val="00292DFD"/>
    <w:rsid w:val="0029338A"/>
    <w:rsid w:val="002A05CD"/>
    <w:rsid w:val="002A135B"/>
    <w:rsid w:val="002A1CB0"/>
    <w:rsid w:val="002B00B4"/>
    <w:rsid w:val="002C0BEE"/>
    <w:rsid w:val="002C3BD5"/>
    <w:rsid w:val="002C5A52"/>
    <w:rsid w:val="002D6119"/>
    <w:rsid w:val="002D63C4"/>
    <w:rsid w:val="002E42DF"/>
    <w:rsid w:val="002E7E09"/>
    <w:rsid w:val="002F18FC"/>
    <w:rsid w:val="002F789E"/>
    <w:rsid w:val="00310603"/>
    <w:rsid w:val="00310FFE"/>
    <w:rsid w:val="00314F0F"/>
    <w:rsid w:val="00316730"/>
    <w:rsid w:val="00331AD4"/>
    <w:rsid w:val="00333545"/>
    <w:rsid w:val="003372D5"/>
    <w:rsid w:val="0035474F"/>
    <w:rsid w:val="003557A0"/>
    <w:rsid w:val="00357F9C"/>
    <w:rsid w:val="00366901"/>
    <w:rsid w:val="003713F7"/>
    <w:rsid w:val="003715A7"/>
    <w:rsid w:val="003811DD"/>
    <w:rsid w:val="0038742A"/>
    <w:rsid w:val="00394D30"/>
    <w:rsid w:val="0039679C"/>
    <w:rsid w:val="003A5FF6"/>
    <w:rsid w:val="003A7F3C"/>
    <w:rsid w:val="003B3F80"/>
    <w:rsid w:val="003B5CD6"/>
    <w:rsid w:val="003C10A3"/>
    <w:rsid w:val="003D66F3"/>
    <w:rsid w:val="003F20E6"/>
    <w:rsid w:val="003F2317"/>
    <w:rsid w:val="003F2BEC"/>
    <w:rsid w:val="0040017B"/>
    <w:rsid w:val="0040121F"/>
    <w:rsid w:val="00403104"/>
    <w:rsid w:val="004079DA"/>
    <w:rsid w:val="004148D2"/>
    <w:rsid w:val="00414D57"/>
    <w:rsid w:val="00421FA7"/>
    <w:rsid w:val="00422613"/>
    <w:rsid w:val="004318CD"/>
    <w:rsid w:val="00432506"/>
    <w:rsid w:val="00440215"/>
    <w:rsid w:val="0044199F"/>
    <w:rsid w:val="00445E11"/>
    <w:rsid w:val="00447CA8"/>
    <w:rsid w:val="00454CF8"/>
    <w:rsid w:val="00466397"/>
    <w:rsid w:val="00471BDA"/>
    <w:rsid w:val="0047350A"/>
    <w:rsid w:val="00475BAC"/>
    <w:rsid w:val="00476C23"/>
    <w:rsid w:val="00480269"/>
    <w:rsid w:val="004825B2"/>
    <w:rsid w:val="00483C9A"/>
    <w:rsid w:val="004907FE"/>
    <w:rsid w:val="00491A0C"/>
    <w:rsid w:val="00494C6E"/>
    <w:rsid w:val="004A332F"/>
    <w:rsid w:val="004A77CF"/>
    <w:rsid w:val="004B14A2"/>
    <w:rsid w:val="004B3CA2"/>
    <w:rsid w:val="004C379B"/>
    <w:rsid w:val="004C3EFE"/>
    <w:rsid w:val="004C52B7"/>
    <w:rsid w:val="004C6639"/>
    <w:rsid w:val="004C691F"/>
    <w:rsid w:val="004C6E14"/>
    <w:rsid w:val="004D0E74"/>
    <w:rsid w:val="004D3599"/>
    <w:rsid w:val="004D4B95"/>
    <w:rsid w:val="004E267F"/>
    <w:rsid w:val="004E4F12"/>
    <w:rsid w:val="004E618E"/>
    <w:rsid w:val="004F1DB3"/>
    <w:rsid w:val="005056BA"/>
    <w:rsid w:val="00506D01"/>
    <w:rsid w:val="00510296"/>
    <w:rsid w:val="005117C8"/>
    <w:rsid w:val="00514194"/>
    <w:rsid w:val="0052340E"/>
    <w:rsid w:val="005262E2"/>
    <w:rsid w:val="005350C8"/>
    <w:rsid w:val="005401B3"/>
    <w:rsid w:val="005474F9"/>
    <w:rsid w:val="0055243F"/>
    <w:rsid w:val="0055637E"/>
    <w:rsid w:val="00557DD5"/>
    <w:rsid w:val="00562F58"/>
    <w:rsid w:val="00563AF0"/>
    <w:rsid w:val="005707EB"/>
    <w:rsid w:val="00570B3D"/>
    <w:rsid w:val="00571799"/>
    <w:rsid w:val="00577067"/>
    <w:rsid w:val="00580F8E"/>
    <w:rsid w:val="0058283D"/>
    <w:rsid w:val="00583264"/>
    <w:rsid w:val="005844A8"/>
    <w:rsid w:val="005929FF"/>
    <w:rsid w:val="00595F99"/>
    <w:rsid w:val="00596118"/>
    <w:rsid w:val="005A17F3"/>
    <w:rsid w:val="005A675A"/>
    <w:rsid w:val="005B7EC9"/>
    <w:rsid w:val="005C58CE"/>
    <w:rsid w:val="005D5127"/>
    <w:rsid w:val="005D7D19"/>
    <w:rsid w:val="005F36E4"/>
    <w:rsid w:val="005F668D"/>
    <w:rsid w:val="005F7A79"/>
    <w:rsid w:val="006063A5"/>
    <w:rsid w:val="00616456"/>
    <w:rsid w:val="006172CF"/>
    <w:rsid w:val="006213BA"/>
    <w:rsid w:val="00622CA1"/>
    <w:rsid w:val="006274B8"/>
    <w:rsid w:val="0063318C"/>
    <w:rsid w:val="00634CC0"/>
    <w:rsid w:val="00634FD7"/>
    <w:rsid w:val="0063615D"/>
    <w:rsid w:val="0063677E"/>
    <w:rsid w:val="00640185"/>
    <w:rsid w:val="00641541"/>
    <w:rsid w:val="00644799"/>
    <w:rsid w:val="00644CA4"/>
    <w:rsid w:val="00673CAC"/>
    <w:rsid w:val="0067651A"/>
    <w:rsid w:val="00684FEA"/>
    <w:rsid w:val="00685A52"/>
    <w:rsid w:val="006A1008"/>
    <w:rsid w:val="006A79B3"/>
    <w:rsid w:val="006B1D4A"/>
    <w:rsid w:val="006B4938"/>
    <w:rsid w:val="006E1C45"/>
    <w:rsid w:val="006E49CA"/>
    <w:rsid w:val="006E522D"/>
    <w:rsid w:val="006F52B3"/>
    <w:rsid w:val="00700AEA"/>
    <w:rsid w:val="007023BC"/>
    <w:rsid w:val="00702719"/>
    <w:rsid w:val="0070326C"/>
    <w:rsid w:val="00706A72"/>
    <w:rsid w:val="007077E8"/>
    <w:rsid w:val="007202F9"/>
    <w:rsid w:val="007351C7"/>
    <w:rsid w:val="00736136"/>
    <w:rsid w:val="007372F9"/>
    <w:rsid w:val="00757E21"/>
    <w:rsid w:val="00761D42"/>
    <w:rsid w:val="00762D32"/>
    <w:rsid w:val="00771320"/>
    <w:rsid w:val="0077250F"/>
    <w:rsid w:val="007905C5"/>
    <w:rsid w:val="00794656"/>
    <w:rsid w:val="007A2E4A"/>
    <w:rsid w:val="007B2AFC"/>
    <w:rsid w:val="007C701E"/>
    <w:rsid w:val="007D033E"/>
    <w:rsid w:val="007D22A7"/>
    <w:rsid w:val="007D69F3"/>
    <w:rsid w:val="007E37E6"/>
    <w:rsid w:val="007F2D18"/>
    <w:rsid w:val="007F3D44"/>
    <w:rsid w:val="007F7EFE"/>
    <w:rsid w:val="0080052F"/>
    <w:rsid w:val="008011C5"/>
    <w:rsid w:val="00801B44"/>
    <w:rsid w:val="008025B0"/>
    <w:rsid w:val="00805C4B"/>
    <w:rsid w:val="008213FD"/>
    <w:rsid w:val="00821F13"/>
    <w:rsid w:val="008223F3"/>
    <w:rsid w:val="00825136"/>
    <w:rsid w:val="00834E87"/>
    <w:rsid w:val="00837A93"/>
    <w:rsid w:val="00837FA1"/>
    <w:rsid w:val="00842911"/>
    <w:rsid w:val="00851A8D"/>
    <w:rsid w:val="00861A6E"/>
    <w:rsid w:val="00875BFD"/>
    <w:rsid w:val="00880680"/>
    <w:rsid w:val="008837C8"/>
    <w:rsid w:val="008841EC"/>
    <w:rsid w:val="0089521B"/>
    <w:rsid w:val="008A16A0"/>
    <w:rsid w:val="008A345B"/>
    <w:rsid w:val="008A427C"/>
    <w:rsid w:val="008A7DE1"/>
    <w:rsid w:val="008B2857"/>
    <w:rsid w:val="008C38C1"/>
    <w:rsid w:val="008C51A6"/>
    <w:rsid w:val="008D2643"/>
    <w:rsid w:val="008E0840"/>
    <w:rsid w:val="008E10AE"/>
    <w:rsid w:val="008E5D14"/>
    <w:rsid w:val="008E6383"/>
    <w:rsid w:val="008F1078"/>
    <w:rsid w:val="00917631"/>
    <w:rsid w:val="00922025"/>
    <w:rsid w:val="00925610"/>
    <w:rsid w:val="00931A10"/>
    <w:rsid w:val="00932149"/>
    <w:rsid w:val="00936DE2"/>
    <w:rsid w:val="00940EB6"/>
    <w:rsid w:val="00941E73"/>
    <w:rsid w:val="00946D79"/>
    <w:rsid w:val="009525B6"/>
    <w:rsid w:val="009543D1"/>
    <w:rsid w:val="009561DE"/>
    <w:rsid w:val="009609D3"/>
    <w:rsid w:val="0097118A"/>
    <w:rsid w:val="00973B28"/>
    <w:rsid w:val="009741AF"/>
    <w:rsid w:val="00975BC6"/>
    <w:rsid w:val="00975C61"/>
    <w:rsid w:val="00980680"/>
    <w:rsid w:val="009839B0"/>
    <w:rsid w:val="009861A3"/>
    <w:rsid w:val="00992001"/>
    <w:rsid w:val="009A641A"/>
    <w:rsid w:val="009B1177"/>
    <w:rsid w:val="009B2B09"/>
    <w:rsid w:val="009B3DF9"/>
    <w:rsid w:val="009B5F6D"/>
    <w:rsid w:val="009D276D"/>
    <w:rsid w:val="009D3BE2"/>
    <w:rsid w:val="009E6430"/>
    <w:rsid w:val="009F0A56"/>
    <w:rsid w:val="009F41B2"/>
    <w:rsid w:val="009F4BA4"/>
    <w:rsid w:val="009F5DEC"/>
    <w:rsid w:val="00A03B45"/>
    <w:rsid w:val="00A0448E"/>
    <w:rsid w:val="00A059FD"/>
    <w:rsid w:val="00A07758"/>
    <w:rsid w:val="00A14FCD"/>
    <w:rsid w:val="00A1649D"/>
    <w:rsid w:val="00A20779"/>
    <w:rsid w:val="00A254CE"/>
    <w:rsid w:val="00A27861"/>
    <w:rsid w:val="00A32AE1"/>
    <w:rsid w:val="00A35628"/>
    <w:rsid w:val="00A361E7"/>
    <w:rsid w:val="00A40904"/>
    <w:rsid w:val="00A469A4"/>
    <w:rsid w:val="00A476C1"/>
    <w:rsid w:val="00A505A0"/>
    <w:rsid w:val="00A60DE9"/>
    <w:rsid w:val="00A62D8A"/>
    <w:rsid w:val="00A71420"/>
    <w:rsid w:val="00A72306"/>
    <w:rsid w:val="00A7396B"/>
    <w:rsid w:val="00A766B5"/>
    <w:rsid w:val="00A81282"/>
    <w:rsid w:val="00A83156"/>
    <w:rsid w:val="00A851B8"/>
    <w:rsid w:val="00A91089"/>
    <w:rsid w:val="00A919D4"/>
    <w:rsid w:val="00A954AD"/>
    <w:rsid w:val="00A957A3"/>
    <w:rsid w:val="00A95926"/>
    <w:rsid w:val="00A959C3"/>
    <w:rsid w:val="00AB774A"/>
    <w:rsid w:val="00AC0899"/>
    <w:rsid w:val="00AC3D6E"/>
    <w:rsid w:val="00AC72C0"/>
    <w:rsid w:val="00AC7B56"/>
    <w:rsid w:val="00AD0BC6"/>
    <w:rsid w:val="00AD143B"/>
    <w:rsid w:val="00AD3032"/>
    <w:rsid w:val="00AD709A"/>
    <w:rsid w:val="00AD7942"/>
    <w:rsid w:val="00AE05FF"/>
    <w:rsid w:val="00AE37E6"/>
    <w:rsid w:val="00AE394C"/>
    <w:rsid w:val="00AF3081"/>
    <w:rsid w:val="00B00F4B"/>
    <w:rsid w:val="00B02575"/>
    <w:rsid w:val="00B030A4"/>
    <w:rsid w:val="00B04BF2"/>
    <w:rsid w:val="00B149BE"/>
    <w:rsid w:val="00B303A8"/>
    <w:rsid w:val="00B32596"/>
    <w:rsid w:val="00B35829"/>
    <w:rsid w:val="00B4244A"/>
    <w:rsid w:val="00B53574"/>
    <w:rsid w:val="00B62C98"/>
    <w:rsid w:val="00B66265"/>
    <w:rsid w:val="00B71424"/>
    <w:rsid w:val="00B74AD4"/>
    <w:rsid w:val="00B77F78"/>
    <w:rsid w:val="00B839EC"/>
    <w:rsid w:val="00B95DC0"/>
    <w:rsid w:val="00B96357"/>
    <w:rsid w:val="00BA1432"/>
    <w:rsid w:val="00BA2303"/>
    <w:rsid w:val="00BA5C1D"/>
    <w:rsid w:val="00BC1DC1"/>
    <w:rsid w:val="00BC3CCF"/>
    <w:rsid w:val="00BD0808"/>
    <w:rsid w:val="00BD1279"/>
    <w:rsid w:val="00BD414F"/>
    <w:rsid w:val="00BD7FC3"/>
    <w:rsid w:val="00BE19C1"/>
    <w:rsid w:val="00BF4343"/>
    <w:rsid w:val="00C13263"/>
    <w:rsid w:val="00C1564B"/>
    <w:rsid w:val="00C165AC"/>
    <w:rsid w:val="00C216B5"/>
    <w:rsid w:val="00C24000"/>
    <w:rsid w:val="00C2531A"/>
    <w:rsid w:val="00C35231"/>
    <w:rsid w:val="00C41162"/>
    <w:rsid w:val="00C51E39"/>
    <w:rsid w:val="00C52CA5"/>
    <w:rsid w:val="00C64C87"/>
    <w:rsid w:val="00C71617"/>
    <w:rsid w:val="00C71E4E"/>
    <w:rsid w:val="00C77319"/>
    <w:rsid w:val="00C82785"/>
    <w:rsid w:val="00C837C1"/>
    <w:rsid w:val="00C84EA1"/>
    <w:rsid w:val="00C96D61"/>
    <w:rsid w:val="00CA711D"/>
    <w:rsid w:val="00CC1A50"/>
    <w:rsid w:val="00CC78A3"/>
    <w:rsid w:val="00CE78D2"/>
    <w:rsid w:val="00CF3400"/>
    <w:rsid w:val="00CF3874"/>
    <w:rsid w:val="00CF640D"/>
    <w:rsid w:val="00CF7907"/>
    <w:rsid w:val="00D035D6"/>
    <w:rsid w:val="00D16A8F"/>
    <w:rsid w:val="00D236CD"/>
    <w:rsid w:val="00D3109D"/>
    <w:rsid w:val="00D324A6"/>
    <w:rsid w:val="00D36A5A"/>
    <w:rsid w:val="00D45901"/>
    <w:rsid w:val="00D5079D"/>
    <w:rsid w:val="00D53527"/>
    <w:rsid w:val="00D645EE"/>
    <w:rsid w:val="00D745B4"/>
    <w:rsid w:val="00D87F35"/>
    <w:rsid w:val="00D9163A"/>
    <w:rsid w:val="00D94A32"/>
    <w:rsid w:val="00D95043"/>
    <w:rsid w:val="00D9619C"/>
    <w:rsid w:val="00D96252"/>
    <w:rsid w:val="00D9726C"/>
    <w:rsid w:val="00DA0983"/>
    <w:rsid w:val="00DA37B5"/>
    <w:rsid w:val="00DA6307"/>
    <w:rsid w:val="00DC3195"/>
    <w:rsid w:val="00DD1A02"/>
    <w:rsid w:val="00DD54F9"/>
    <w:rsid w:val="00DD7894"/>
    <w:rsid w:val="00DE169F"/>
    <w:rsid w:val="00DE2B37"/>
    <w:rsid w:val="00DE5D4B"/>
    <w:rsid w:val="00DE716C"/>
    <w:rsid w:val="00DF47C3"/>
    <w:rsid w:val="00E01218"/>
    <w:rsid w:val="00E0136F"/>
    <w:rsid w:val="00E01A11"/>
    <w:rsid w:val="00E0302D"/>
    <w:rsid w:val="00E15F85"/>
    <w:rsid w:val="00E16546"/>
    <w:rsid w:val="00E26649"/>
    <w:rsid w:val="00E26775"/>
    <w:rsid w:val="00E3139C"/>
    <w:rsid w:val="00E4147B"/>
    <w:rsid w:val="00E53398"/>
    <w:rsid w:val="00E54079"/>
    <w:rsid w:val="00E60BB9"/>
    <w:rsid w:val="00E60F8A"/>
    <w:rsid w:val="00E62153"/>
    <w:rsid w:val="00E70D20"/>
    <w:rsid w:val="00E71576"/>
    <w:rsid w:val="00E732B8"/>
    <w:rsid w:val="00E76686"/>
    <w:rsid w:val="00E7685C"/>
    <w:rsid w:val="00E858FC"/>
    <w:rsid w:val="00E878E9"/>
    <w:rsid w:val="00EA1AAB"/>
    <w:rsid w:val="00EA641A"/>
    <w:rsid w:val="00EA7024"/>
    <w:rsid w:val="00EA7954"/>
    <w:rsid w:val="00EB5D61"/>
    <w:rsid w:val="00ED1DAE"/>
    <w:rsid w:val="00ED7A0C"/>
    <w:rsid w:val="00EE0689"/>
    <w:rsid w:val="00EE0D4A"/>
    <w:rsid w:val="00EE270E"/>
    <w:rsid w:val="00EE712B"/>
    <w:rsid w:val="00F0101B"/>
    <w:rsid w:val="00F04E52"/>
    <w:rsid w:val="00F07511"/>
    <w:rsid w:val="00F076C9"/>
    <w:rsid w:val="00F202DC"/>
    <w:rsid w:val="00F237BB"/>
    <w:rsid w:val="00F37341"/>
    <w:rsid w:val="00F438FF"/>
    <w:rsid w:val="00F45F86"/>
    <w:rsid w:val="00F5231B"/>
    <w:rsid w:val="00F526E7"/>
    <w:rsid w:val="00F64C54"/>
    <w:rsid w:val="00F6651B"/>
    <w:rsid w:val="00F73FD3"/>
    <w:rsid w:val="00F740D6"/>
    <w:rsid w:val="00F77687"/>
    <w:rsid w:val="00F85E7F"/>
    <w:rsid w:val="00F87764"/>
    <w:rsid w:val="00F922E9"/>
    <w:rsid w:val="00F946C0"/>
    <w:rsid w:val="00F953F7"/>
    <w:rsid w:val="00FB24CC"/>
    <w:rsid w:val="00FB75CA"/>
    <w:rsid w:val="00FC1362"/>
    <w:rsid w:val="00FC5842"/>
    <w:rsid w:val="00FD1FD7"/>
    <w:rsid w:val="00FD2206"/>
    <w:rsid w:val="00FE51AA"/>
    <w:rsid w:val="00FF166D"/>
    <w:rsid w:val="00FF19E3"/>
    <w:rsid w:val="00FF78ED"/>
    <w:rsid w:val="00FF7A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60">
      <o:colormru v:ext="edit" colors="#a2d668"/>
    </o:shapedefaults>
    <o:shapelayout v:ext="edit">
      <o:idmap v:ext="edit" data="1"/>
    </o:shapelayout>
  </w:shapeDefaults>
  <w:decimalSymbol w:val="."/>
  <w:listSeparator w:val=","/>
  <w14:docId w14:val="7778E5C4"/>
  <w15:chartTrackingRefBased/>
  <w15:docId w15:val="{E9E8295B-FA46-4CDB-9574-D84D98D0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ECE"/>
    <w:rPr>
      <w:sz w:val="24"/>
      <w:szCs w:val="24"/>
      <w:lang w:eastAsia="en-US"/>
    </w:rPr>
  </w:style>
  <w:style w:type="paragraph" w:styleId="Heading1">
    <w:name w:val="heading 1"/>
    <w:basedOn w:val="Normal"/>
    <w:next w:val="Normal"/>
    <w:link w:val="Heading1Char"/>
    <w:qFormat/>
    <w:rsid w:val="00922025"/>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3D66F3"/>
    <w:pPr>
      <w:keepNext/>
      <w:jc w:val="center"/>
      <w:outlineLvl w:val="2"/>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4ECE"/>
    <w:pPr>
      <w:tabs>
        <w:tab w:val="center" w:pos="4153"/>
        <w:tab w:val="right" w:pos="8306"/>
      </w:tabs>
    </w:pPr>
    <w:rPr>
      <w:rFonts w:ascii="Garamond" w:hAnsi="Garamond"/>
    </w:rPr>
  </w:style>
  <w:style w:type="paragraph" w:styleId="Header">
    <w:name w:val="header"/>
    <w:basedOn w:val="Normal"/>
    <w:link w:val="HeaderChar"/>
    <w:uiPriority w:val="99"/>
    <w:rsid w:val="00034ECE"/>
    <w:pPr>
      <w:tabs>
        <w:tab w:val="center" w:pos="4153"/>
        <w:tab w:val="right" w:pos="8306"/>
      </w:tabs>
    </w:pPr>
  </w:style>
  <w:style w:type="character" w:styleId="PageNumber">
    <w:name w:val="page number"/>
    <w:basedOn w:val="DefaultParagraphFont"/>
    <w:rsid w:val="00034ECE"/>
  </w:style>
  <w:style w:type="paragraph" w:customStyle="1" w:styleId="Normal10pt">
    <w:name w:val="Normal + 10pt"/>
    <w:basedOn w:val="BodyTextIndent"/>
    <w:rsid w:val="00034ECE"/>
    <w:pPr>
      <w:tabs>
        <w:tab w:val="num" w:pos="360"/>
      </w:tabs>
      <w:spacing w:before="60" w:after="0"/>
      <w:ind w:left="357" w:hanging="357"/>
      <w:jc w:val="both"/>
    </w:pPr>
    <w:rPr>
      <w:rFonts w:ascii="Arial" w:hAnsi="Arial"/>
      <w:sz w:val="20"/>
      <w:szCs w:val="20"/>
    </w:rPr>
  </w:style>
  <w:style w:type="paragraph" w:styleId="BodyTextIndent">
    <w:name w:val="Body Text Indent"/>
    <w:basedOn w:val="Normal"/>
    <w:rsid w:val="00034ECE"/>
    <w:pPr>
      <w:spacing w:after="120"/>
      <w:ind w:left="283"/>
    </w:pPr>
  </w:style>
  <w:style w:type="table" w:styleId="TableGrid">
    <w:name w:val="Table Grid"/>
    <w:basedOn w:val="TableNormal"/>
    <w:rsid w:val="0082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526E7"/>
    <w:rPr>
      <w:sz w:val="16"/>
      <w:szCs w:val="16"/>
    </w:rPr>
  </w:style>
  <w:style w:type="paragraph" w:styleId="CommentText">
    <w:name w:val="annotation text"/>
    <w:basedOn w:val="Normal"/>
    <w:link w:val="CommentTextChar"/>
    <w:rsid w:val="00F526E7"/>
    <w:rPr>
      <w:sz w:val="20"/>
      <w:szCs w:val="20"/>
    </w:rPr>
  </w:style>
  <w:style w:type="character" w:customStyle="1" w:styleId="CommentTextChar">
    <w:name w:val="Comment Text Char"/>
    <w:link w:val="CommentText"/>
    <w:rsid w:val="00F526E7"/>
    <w:rPr>
      <w:lang w:eastAsia="en-US"/>
    </w:rPr>
  </w:style>
  <w:style w:type="paragraph" w:styleId="CommentSubject">
    <w:name w:val="annotation subject"/>
    <w:basedOn w:val="CommentText"/>
    <w:next w:val="CommentText"/>
    <w:link w:val="CommentSubjectChar"/>
    <w:rsid w:val="00F526E7"/>
    <w:rPr>
      <w:b/>
      <w:bCs/>
    </w:rPr>
  </w:style>
  <w:style w:type="character" w:customStyle="1" w:styleId="CommentSubjectChar">
    <w:name w:val="Comment Subject Char"/>
    <w:link w:val="CommentSubject"/>
    <w:rsid w:val="00F526E7"/>
    <w:rPr>
      <w:b/>
      <w:bCs/>
      <w:lang w:eastAsia="en-US"/>
    </w:rPr>
  </w:style>
  <w:style w:type="paragraph" w:styleId="BalloonText">
    <w:name w:val="Balloon Text"/>
    <w:basedOn w:val="Normal"/>
    <w:link w:val="BalloonTextChar"/>
    <w:rsid w:val="00F526E7"/>
    <w:rPr>
      <w:rFonts w:ascii="Tahoma" w:hAnsi="Tahoma" w:cs="Tahoma"/>
      <w:sz w:val="16"/>
      <w:szCs w:val="16"/>
    </w:rPr>
  </w:style>
  <w:style w:type="character" w:customStyle="1" w:styleId="BalloonTextChar">
    <w:name w:val="Balloon Text Char"/>
    <w:link w:val="BalloonText"/>
    <w:rsid w:val="00F526E7"/>
    <w:rPr>
      <w:rFonts w:ascii="Tahoma" w:hAnsi="Tahoma" w:cs="Tahoma"/>
      <w:sz w:val="16"/>
      <w:szCs w:val="16"/>
      <w:lang w:eastAsia="en-US"/>
    </w:rPr>
  </w:style>
  <w:style w:type="character" w:customStyle="1" w:styleId="HeaderChar">
    <w:name w:val="Header Char"/>
    <w:link w:val="Header"/>
    <w:uiPriority w:val="99"/>
    <w:rsid w:val="001B1D4B"/>
    <w:rPr>
      <w:sz w:val="24"/>
      <w:szCs w:val="24"/>
      <w:lang w:eastAsia="en-US"/>
    </w:rPr>
  </w:style>
  <w:style w:type="paragraph" w:styleId="ListParagraph">
    <w:name w:val="List Paragraph"/>
    <w:basedOn w:val="Normal"/>
    <w:uiPriority w:val="34"/>
    <w:qFormat/>
    <w:rsid w:val="003F2BEC"/>
    <w:pPr>
      <w:ind w:left="720"/>
    </w:pPr>
  </w:style>
  <w:style w:type="character" w:styleId="Hyperlink">
    <w:name w:val="Hyperlink"/>
    <w:rsid w:val="00050D1D"/>
    <w:rPr>
      <w:color w:val="0000FF"/>
      <w:u w:val="single"/>
    </w:rPr>
  </w:style>
  <w:style w:type="character" w:customStyle="1" w:styleId="FooterChar">
    <w:name w:val="Footer Char"/>
    <w:link w:val="Footer"/>
    <w:uiPriority w:val="99"/>
    <w:rsid w:val="00BF4343"/>
    <w:rPr>
      <w:rFonts w:ascii="Garamond" w:hAnsi="Garamond"/>
      <w:sz w:val="24"/>
      <w:szCs w:val="24"/>
      <w:lang w:eastAsia="en-US"/>
    </w:rPr>
  </w:style>
  <w:style w:type="character" w:styleId="FollowedHyperlink">
    <w:name w:val="FollowedHyperlink"/>
    <w:rsid w:val="00595F99"/>
    <w:rPr>
      <w:color w:val="954F72"/>
      <w:u w:val="single"/>
    </w:rPr>
  </w:style>
  <w:style w:type="paragraph" w:customStyle="1" w:styleId="CharChar1">
    <w:name w:val="Char Char1"/>
    <w:basedOn w:val="Normal"/>
    <w:rsid w:val="002A05CD"/>
    <w:pPr>
      <w:spacing w:after="120" w:line="240" w:lineRule="exact"/>
    </w:pPr>
    <w:rPr>
      <w:rFonts w:ascii="Verdana" w:hAnsi="Verdana" w:cs="Verdana"/>
      <w:sz w:val="20"/>
      <w:szCs w:val="20"/>
      <w:lang w:val="en-US"/>
    </w:rPr>
  </w:style>
  <w:style w:type="character" w:customStyle="1" w:styleId="ilfuvd">
    <w:name w:val="ilfuvd"/>
    <w:rsid w:val="00357F9C"/>
  </w:style>
  <w:style w:type="paragraph" w:styleId="FootnoteText">
    <w:name w:val="footnote text"/>
    <w:basedOn w:val="Normal"/>
    <w:link w:val="FootnoteTextChar"/>
    <w:rsid w:val="00A07758"/>
    <w:rPr>
      <w:sz w:val="20"/>
      <w:szCs w:val="20"/>
    </w:rPr>
  </w:style>
  <w:style w:type="character" w:customStyle="1" w:styleId="FootnoteTextChar">
    <w:name w:val="Footnote Text Char"/>
    <w:link w:val="FootnoteText"/>
    <w:rsid w:val="00A07758"/>
    <w:rPr>
      <w:lang w:eastAsia="en-US"/>
    </w:rPr>
  </w:style>
  <w:style w:type="character" w:styleId="FootnoteReference">
    <w:name w:val="footnote reference"/>
    <w:rsid w:val="00A07758"/>
    <w:rPr>
      <w:vertAlign w:val="superscript"/>
    </w:rPr>
  </w:style>
  <w:style w:type="character" w:customStyle="1" w:styleId="title1">
    <w:name w:val="title1"/>
    <w:rsid w:val="006A1008"/>
  </w:style>
  <w:style w:type="character" w:customStyle="1" w:styleId="Subtitle1">
    <w:name w:val="Subtitle1"/>
    <w:rsid w:val="006A1008"/>
  </w:style>
  <w:style w:type="character" w:styleId="Strong">
    <w:name w:val="Strong"/>
    <w:uiPriority w:val="22"/>
    <w:qFormat/>
    <w:rsid w:val="00053990"/>
    <w:rPr>
      <w:b/>
      <w:bCs/>
    </w:rPr>
  </w:style>
  <w:style w:type="character" w:customStyle="1" w:styleId="Heading1Char">
    <w:name w:val="Heading 1 Char"/>
    <w:link w:val="Heading1"/>
    <w:rsid w:val="00922025"/>
    <w:rPr>
      <w:rFonts w:ascii="Calibri Light" w:eastAsia="Times New Roman" w:hAnsi="Calibri Light" w:cs="Times New Roman"/>
      <w:b/>
      <w:bCs/>
      <w:kern w:val="32"/>
      <w:sz w:val="32"/>
      <w:szCs w:val="32"/>
      <w:lang w:eastAsia="en-US"/>
    </w:rPr>
  </w:style>
  <w:style w:type="character" w:customStyle="1" w:styleId="UnresolvedMention1">
    <w:name w:val="Unresolved Mention1"/>
    <w:basedOn w:val="DefaultParagraphFont"/>
    <w:uiPriority w:val="99"/>
    <w:semiHidden/>
    <w:unhideWhenUsed/>
    <w:rsid w:val="00A14FCD"/>
    <w:rPr>
      <w:color w:val="605E5C"/>
      <w:shd w:val="clear" w:color="auto" w:fill="E1DFDD"/>
    </w:rPr>
  </w:style>
  <w:style w:type="paragraph" w:styleId="Revision">
    <w:name w:val="Revision"/>
    <w:hidden/>
    <w:uiPriority w:val="99"/>
    <w:semiHidden/>
    <w:rsid w:val="001F1203"/>
    <w:rPr>
      <w:sz w:val="24"/>
      <w:szCs w:val="24"/>
      <w:lang w:eastAsia="en-US"/>
    </w:rPr>
  </w:style>
  <w:style w:type="character" w:styleId="UnresolvedMention">
    <w:name w:val="Unresolved Mention"/>
    <w:basedOn w:val="DefaultParagraphFont"/>
    <w:uiPriority w:val="99"/>
    <w:semiHidden/>
    <w:unhideWhenUsed/>
    <w:rsid w:val="00960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00393">
      <w:bodyDiv w:val="1"/>
      <w:marLeft w:val="0"/>
      <w:marRight w:val="0"/>
      <w:marTop w:val="0"/>
      <w:marBottom w:val="0"/>
      <w:divBdr>
        <w:top w:val="none" w:sz="0" w:space="0" w:color="auto"/>
        <w:left w:val="none" w:sz="0" w:space="0" w:color="auto"/>
        <w:bottom w:val="none" w:sz="0" w:space="0" w:color="auto"/>
        <w:right w:val="none" w:sz="0" w:space="0" w:color="auto"/>
      </w:divBdr>
    </w:div>
    <w:div w:id="451679345">
      <w:bodyDiv w:val="1"/>
      <w:marLeft w:val="0"/>
      <w:marRight w:val="0"/>
      <w:marTop w:val="0"/>
      <w:marBottom w:val="0"/>
      <w:divBdr>
        <w:top w:val="none" w:sz="0" w:space="0" w:color="auto"/>
        <w:left w:val="none" w:sz="0" w:space="0" w:color="auto"/>
        <w:bottom w:val="none" w:sz="0" w:space="0" w:color="auto"/>
        <w:right w:val="none" w:sz="0" w:space="0" w:color="auto"/>
      </w:divBdr>
      <w:divsChild>
        <w:div w:id="2062359114">
          <w:marLeft w:val="0"/>
          <w:marRight w:val="0"/>
          <w:marTop w:val="0"/>
          <w:marBottom w:val="0"/>
          <w:divBdr>
            <w:top w:val="none" w:sz="0" w:space="0" w:color="auto"/>
            <w:left w:val="none" w:sz="0" w:space="0" w:color="auto"/>
            <w:bottom w:val="none" w:sz="0" w:space="0" w:color="auto"/>
            <w:right w:val="none" w:sz="0" w:space="0" w:color="auto"/>
          </w:divBdr>
          <w:divsChild>
            <w:div w:id="1218275061">
              <w:marLeft w:val="0"/>
              <w:marRight w:val="0"/>
              <w:marTop w:val="0"/>
              <w:marBottom w:val="0"/>
              <w:divBdr>
                <w:top w:val="none" w:sz="0" w:space="0" w:color="auto"/>
                <w:left w:val="none" w:sz="0" w:space="0" w:color="auto"/>
                <w:bottom w:val="none" w:sz="0" w:space="0" w:color="auto"/>
                <w:right w:val="none" w:sz="0" w:space="0" w:color="auto"/>
              </w:divBdr>
              <w:divsChild>
                <w:div w:id="1723288970">
                  <w:marLeft w:val="0"/>
                  <w:marRight w:val="300"/>
                  <w:marTop w:val="0"/>
                  <w:marBottom w:val="0"/>
                  <w:divBdr>
                    <w:top w:val="none" w:sz="0" w:space="0" w:color="auto"/>
                    <w:left w:val="none" w:sz="0" w:space="0" w:color="auto"/>
                    <w:bottom w:val="none" w:sz="0" w:space="0" w:color="auto"/>
                    <w:right w:val="none" w:sz="0" w:space="0" w:color="auto"/>
                  </w:divBdr>
                  <w:divsChild>
                    <w:div w:id="783576555">
                      <w:marLeft w:val="0"/>
                      <w:marRight w:val="0"/>
                      <w:marTop w:val="0"/>
                      <w:marBottom w:val="0"/>
                      <w:divBdr>
                        <w:top w:val="none" w:sz="0" w:space="0" w:color="auto"/>
                        <w:left w:val="none" w:sz="0" w:space="0" w:color="auto"/>
                        <w:bottom w:val="none" w:sz="0" w:space="0" w:color="auto"/>
                        <w:right w:val="none" w:sz="0" w:space="0" w:color="auto"/>
                      </w:divBdr>
                      <w:divsChild>
                        <w:div w:id="626008825">
                          <w:marLeft w:val="0"/>
                          <w:marRight w:val="0"/>
                          <w:marTop w:val="0"/>
                          <w:marBottom w:val="0"/>
                          <w:divBdr>
                            <w:top w:val="none" w:sz="0" w:space="0" w:color="auto"/>
                            <w:left w:val="none" w:sz="0" w:space="0" w:color="auto"/>
                            <w:bottom w:val="none" w:sz="0" w:space="0" w:color="auto"/>
                            <w:right w:val="none" w:sz="0" w:space="0" w:color="auto"/>
                          </w:divBdr>
                          <w:divsChild>
                            <w:div w:id="20737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84824">
      <w:bodyDiv w:val="1"/>
      <w:marLeft w:val="0"/>
      <w:marRight w:val="0"/>
      <w:marTop w:val="0"/>
      <w:marBottom w:val="0"/>
      <w:divBdr>
        <w:top w:val="none" w:sz="0" w:space="0" w:color="auto"/>
        <w:left w:val="none" w:sz="0" w:space="0" w:color="auto"/>
        <w:bottom w:val="none" w:sz="0" w:space="0" w:color="auto"/>
        <w:right w:val="none" w:sz="0" w:space="0" w:color="auto"/>
      </w:divBdr>
      <w:divsChild>
        <w:div w:id="1072310537">
          <w:marLeft w:val="0"/>
          <w:marRight w:val="0"/>
          <w:marTop w:val="0"/>
          <w:marBottom w:val="0"/>
          <w:divBdr>
            <w:top w:val="none" w:sz="0" w:space="0" w:color="auto"/>
            <w:left w:val="none" w:sz="0" w:space="0" w:color="auto"/>
            <w:bottom w:val="none" w:sz="0" w:space="0" w:color="auto"/>
            <w:right w:val="none" w:sz="0" w:space="0" w:color="auto"/>
          </w:divBdr>
          <w:divsChild>
            <w:div w:id="1355839545">
              <w:marLeft w:val="0"/>
              <w:marRight w:val="0"/>
              <w:marTop w:val="0"/>
              <w:marBottom w:val="0"/>
              <w:divBdr>
                <w:top w:val="none" w:sz="0" w:space="0" w:color="auto"/>
                <w:left w:val="none" w:sz="0" w:space="0" w:color="auto"/>
                <w:bottom w:val="none" w:sz="0" w:space="0" w:color="auto"/>
                <w:right w:val="none" w:sz="0" w:space="0" w:color="auto"/>
              </w:divBdr>
              <w:divsChild>
                <w:div w:id="1843399453">
                  <w:marLeft w:val="0"/>
                  <w:marRight w:val="0"/>
                  <w:marTop w:val="0"/>
                  <w:marBottom w:val="0"/>
                  <w:divBdr>
                    <w:top w:val="none" w:sz="0" w:space="0" w:color="auto"/>
                    <w:left w:val="none" w:sz="0" w:space="0" w:color="auto"/>
                    <w:bottom w:val="none" w:sz="0" w:space="0" w:color="auto"/>
                    <w:right w:val="none" w:sz="0" w:space="0" w:color="auto"/>
                  </w:divBdr>
                  <w:divsChild>
                    <w:div w:id="1348213271">
                      <w:marLeft w:val="0"/>
                      <w:marRight w:val="0"/>
                      <w:marTop w:val="0"/>
                      <w:marBottom w:val="0"/>
                      <w:divBdr>
                        <w:top w:val="none" w:sz="0" w:space="0" w:color="auto"/>
                        <w:left w:val="none" w:sz="0" w:space="0" w:color="auto"/>
                        <w:bottom w:val="none" w:sz="0" w:space="0" w:color="auto"/>
                        <w:right w:val="none" w:sz="0" w:space="0" w:color="auto"/>
                      </w:divBdr>
                      <w:divsChild>
                        <w:div w:id="392582642">
                          <w:marLeft w:val="0"/>
                          <w:marRight w:val="0"/>
                          <w:marTop w:val="0"/>
                          <w:marBottom w:val="0"/>
                          <w:divBdr>
                            <w:top w:val="none" w:sz="0" w:space="0" w:color="auto"/>
                            <w:left w:val="none" w:sz="0" w:space="0" w:color="auto"/>
                            <w:bottom w:val="none" w:sz="0" w:space="0" w:color="auto"/>
                            <w:right w:val="none" w:sz="0" w:space="0" w:color="auto"/>
                          </w:divBdr>
                          <w:divsChild>
                            <w:div w:id="1823109645">
                              <w:marLeft w:val="0"/>
                              <w:marRight w:val="0"/>
                              <w:marTop w:val="0"/>
                              <w:marBottom w:val="0"/>
                              <w:divBdr>
                                <w:top w:val="none" w:sz="0" w:space="0" w:color="auto"/>
                                <w:left w:val="none" w:sz="0" w:space="0" w:color="auto"/>
                                <w:bottom w:val="none" w:sz="0" w:space="0" w:color="auto"/>
                                <w:right w:val="none" w:sz="0" w:space="0" w:color="auto"/>
                              </w:divBdr>
                              <w:divsChild>
                                <w:div w:id="2036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844208">
      <w:bodyDiv w:val="1"/>
      <w:marLeft w:val="0"/>
      <w:marRight w:val="0"/>
      <w:marTop w:val="0"/>
      <w:marBottom w:val="0"/>
      <w:divBdr>
        <w:top w:val="none" w:sz="0" w:space="0" w:color="auto"/>
        <w:left w:val="none" w:sz="0" w:space="0" w:color="auto"/>
        <w:bottom w:val="none" w:sz="0" w:space="0" w:color="auto"/>
        <w:right w:val="none" w:sz="0" w:space="0" w:color="auto"/>
      </w:divBdr>
      <w:divsChild>
        <w:div w:id="1236742036">
          <w:marLeft w:val="0"/>
          <w:marRight w:val="0"/>
          <w:marTop w:val="0"/>
          <w:marBottom w:val="0"/>
          <w:divBdr>
            <w:top w:val="none" w:sz="0" w:space="0" w:color="auto"/>
            <w:left w:val="none" w:sz="0" w:space="0" w:color="auto"/>
            <w:bottom w:val="none" w:sz="0" w:space="0" w:color="auto"/>
            <w:right w:val="none" w:sz="0" w:space="0" w:color="auto"/>
          </w:divBdr>
          <w:divsChild>
            <w:div w:id="1507868345">
              <w:marLeft w:val="0"/>
              <w:marRight w:val="0"/>
              <w:marTop w:val="0"/>
              <w:marBottom w:val="0"/>
              <w:divBdr>
                <w:top w:val="none" w:sz="0" w:space="0" w:color="auto"/>
                <w:left w:val="none" w:sz="0" w:space="0" w:color="auto"/>
                <w:bottom w:val="none" w:sz="0" w:space="0" w:color="auto"/>
                <w:right w:val="none" w:sz="0" w:space="0" w:color="auto"/>
              </w:divBdr>
              <w:divsChild>
                <w:div w:id="236595292">
                  <w:marLeft w:val="0"/>
                  <w:marRight w:val="0"/>
                  <w:marTop w:val="0"/>
                  <w:marBottom w:val="0"/>
                  <w:divBdr>
                    <w:top w:val="none" w:sz="0" w:space="0" w:color="auto"/>
                    <w:left w:val="none" w:sz="0" w:space="0" w:color="auto"/>
                    <w:bottom w:val="none" w:sz="0" w:space="0" w:color="auto"/>
                    <w:right w:val="none" w:sz="0" w:space="0" w:color="auto"/>
                  </w:divBdr>
                  <w:divsChild>
                    <w:div w:id="1865091016">
                      <w:marLeft w:val="0"/>
                      <w:marRight w:val="0"/>
                      <w:marTop w:val="0"/>
                      <w:marBottom w:val="0"/>
                      <w:divBdr>
                        <w:top w:val="none" w:sz="0" w:space="0" w:color="auto"/>
                        <w:left w:val="none" w:sz="0" w:space="0" w:color="auto"/>
                        <w:bottom w:val="none" w:sz="0" w:space="0" w:color="auto"/>
                        <w:right w:val="none" w:sz="0" w:space="0" w:color="auto"/>
                      </w:divBdr>
                      <w:divsChild>
                        <w:div w:id="17839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pdf/10.1177/0269881107087976" TargetMode="External"/><Relationship Id="rId18" Type="http://schemas.openxmlformats.org/officeDocument/2006/relationships/hyperlink" Target="https://www.nice.org.uk/guidance/cg15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twnhs.sharepoint.com/:f:/r/sites/Policies/Policies/Clinical/Pharmacological%20Therapies%20Policy/PGN%2008%20-%20Physical%20Health%20Monitoring%20of%20Patients%20Prescribed%20Antipsychotics%20and%20Other%20Psychotropic%20Medicines?csf=1&amp;web=1&amp;e=Zx7XvQ" TargetMode="External"/><Relationship Id="rId17" Type="http://schemas.openxmlformats.org/officeDocument/2006/relationships/hyperlink" Target="https://www.nice.org.uk/guidance/cg17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twnhs.sharepoint.com/sites/Policies/Policies/Forms/AllItems.aspx?id=%2Fsites%2FPolicies%2FPolicies%2FClinical%2FPharmacological%20Therapies%20Policy" TargetMode="External"/><Relationship Id="rId20" Type="http://schemas.openxmlformats.org/officeDocument/2006/relationships/hyperlink" Target="http://www.medicine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hoiceandmedication.org/cntw/generate/handyfactsheethyperprolactinaemia.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tag.nhs.uk/wp-content/uploads/2025/05/NENC-ICS-guideline-for-management-of-osteoporosis-in-primary-care-approved-Dec-2024-v8.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wnhs.sharepoint.com/:f:/r/sites/Policies/Policies/Clinical/Pharmacological%20Therapies%20Policy/PGN%2010%20-%20Guidelines%20for%20the%20Use%20of%20High-Dose%20Antipsychotic%20Therapy?csf=1&amp;web=1&amp;e=YZlbF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57B63A515264AA444EECB56CDCFBA" ma:contentTypeVersion="0" ma:contentTypeDescription="Create a new document." ma:contentTypeScope="" ma:versionID="6be2de18053a2d80f940e2978516e8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86B-9651-4D4E-87B7-53B50B39774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6EC543C-728D-46A2-A1F9-732301D96A05}">
  <ds:schemaRefs>
    <ds:schemaRef ds:uri="http://schemas.microsoft.com/sharepoint/v3/contenttype/forms"/>
  </ds:schemaRefs>
</ds:datastoreItem>
</file>

<file path=customXml/itemProps3.xml><?xml version="1.0" encoding="utf-8"?>
<ds:datastoreItem xmlns:ds="http://schemas.openxmlformats.org/officeDocument/2006/customXml" ds:itemID="{01A049B4-23F5-4327-95B6-74F2641A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AEFFAE-6AE9-42BC-8800-7DAE2CDE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2903</Words>
  <Characters>19939</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22797</CharactersWithSpaces>
  <SharedDoc>false</SharedDoc>
  <HLinks>
    <vt:vector size="138" baseType="variant">
      <vt:variant>
        <vt:i4>5767196</vt:i4>
      </vt:variant>
      <vt:variant>
        <vt:i4>51</vt:i4>
      </vt:variant>
      <vt:variant>
        <vt:i4>0</vt:i4>
      </vt:variant>
      <vt:variant>
        <vt:i4>5</vt:i4>
      </vt:variant>
      <vt:variant>
        <vt:lpwstr>https://www.tewv.nhs.uk/policies/hyperprolactinaemia-management-in-patients-receiving-antipsychotics/</vt:lpwstr>
      </vt:variant>
      <vt:variant>
        <vt:lpwstr/>
      </vt:variant>
      <vt:variant>
        <vt:i4>543555600</vt:i4>
      </vt:variant>
      <vt:variant>
        <vt:i4>48</vt:i4>
      </vt:variant>
      <vt:variant>
        <vt:i4>0</vt:i4>
      </vt:variant>
      <vt:variant>
        <vt:i4>5</vt:i4>
      </vt:variant>
      <vt:variant>
        <vt:lpwstr>C:\Users\afmolloy\AppData\Local\Microsoft\Windows\INetCache\Content.Outlook\BSRLXOHB\•	https:\www.sussexpartnership.nhs.uk\sites\default\files\documents\hyperprolactinaemia_glines_-_update_-_final_-_0816_2.pdf</vt:lpwstr>
      </vt:variant>
      <vt:variant>
        <vt:lpwstr/>
      </vt:variant>
      <vt:variant>
        <vt:i4>917577</vt:i4>
      </vt:variant>
      <vt:variant>
        <vt:i4>45</vt:i4>
      </vt:variant>
      <vt:variant>
        <vt:i4>0</vt:i4>
      </vt:variant>
      <vt:variant>
        <vt:i4>5</vt:i4>
      </vt:variant>
      <vt:variant>
        <vt:lpwstr>http://www.medicines.org.uk/</vt:lpwstr>
      </vt:variant>
      <vt:variant>
        <vt:lpwstr/>
      </vt:variant>
      <vt:variant>
        <vt:i4>2752560</vt:i4>
      </vt:variant>
      <vt:variant>
        <vt:i4>42</vt:i4>
      </vt:variant>
      <vt:variant>
        <vt:i4>0</vt:i4>
      </vt:variant>
      <vt:variant>
        <vt:i4>5</vt:i4>
      </vt:variant>
      <vt:variant>
        <vt:lpwstr>http://www.northoftyneapc.nhs.uk/wp-content/uploads/sites/6/2018/01/Osteoporosis-guidelines-including-bisphosphonate-review-Dec-17.pdf</vt:lpwstr>
      </vt:variant>
      <vt:variant>
        <vt:lpwstr/>
      </vt:variant>
      <vt:variant>
        <vt:i4>7995447</vt:i4>
      </vt:variant>
      <vt:variant>
        <vt:i4>39</vt:i4>
      </vt:variant>
      <vt:variant>
        <vt:i4>0</vt:i4>
      </vt:variant>
      <vt:variant>
        <vt:i4>5</vt:i4>
      </vt:variant>
      <vt:variant>
        <vt:lpwstr>https://www.nice.org.uk/guidance/cg155/chapter/Recommendations</vt:lpwstr>
      </vt:variant>
      <vt:variant>
        <vt:lpwstr/>
      </vt:variant>
      <vt:variant>
        <vt:i4>6684711</vt:i4>
      </vt:variant>
      <vt:variant>
        <vt:i4>36</vt:i4>
      </vt:variant>
      <vt:variant>
        <vt:i4>0</vt:i4>
      </vt:variant>
      <vt:variant>
        <vt:i4>5</vt:i4>
      </vt:variant>
      <vt:variant>
        <vt:lpwstr>https://www.nice.org.uk/guidance/cg178</vt:lpwstr>
      </vt:variant>
      <vt:variant>
        <vt:lpwstr/>
      </vt:variant>
      <vt:variant>
        <vt:i4>1245208</vt:i4>
      </vt:variant>
      <vt:variant>
        <vt:i4>33</vt:i4>
      </vt:variant>
      <vt:variant>
        <vt:i4>0</vt:i4>
      </vt:variant>
      <vt:variant>
        <vt:i4>5</vt:i4>
      </vt:variant>
      <vt:variant>
        <vt:lpwstr>https://www.cntw.nhs.uk/about/policies/pharmacological-therapies-policy/</vt:lpwstr>
      </vt:variant>
      <vt:variant>
        <vt:lpwstr/>
      </vt:variant>
      <vt:variant>
        <vt:i4>917518</vt:i4>
      </vt:variant>
      <vt:variant>
        <vt:i4>30</vt:i4>
      </vt:variant>
      <vt:variant>
        <vt:i4>0</vt:i4>
      </vt:variant>
      <vt:variant>
        <vt:i4>5</vt:i4>
      </vt:variant>
      <vt:variant>
        <vt:lpwstr>https://www.cntw.nhs.uk/content/uploads/2018/09/PPT-PGN-10-GlinesUseHiDoseAntipsyc-V04-Iss2-Nov-19-1.pdf</vt:lpwstr>
      </vt:variant>
      <vt:variant>
        <vt:lpwstr/>
      </vt:variant>
      <vt:variant>
        <vt:i4>2752560</vt:i4>
      </vt:variant>
      <vt:variant>
        <vt:i4>27</vt:i4>
      </vt:variant>
      <vt:variant>
        <vt:i4>0</vt:i4>
      </vt:variant>
      <vt:variant>
        <vt:i4>5</vt:i4>
      </vt:variant>
      <vt:variant>
        <vt:lpwstr>http://www.northoftyneapc.nhs.uk/wp-content/uploads/sites/6/2018/01/Osteoporosis-guidelines-including-bisphosphonate-review-Dec-17.pdf</vt:lpwstr>
      </vt:variant>
      <vt:variant>
        <vt:lpwstr/>
      </vt:variant>
      <vt:variant>
        <vt:i4>3080209</vt:i4>
      </vt:variant>
      <vt:variant>
        <vt:i4>24</vt:i4>
      </vt:variant>
      <vt:variant>
        <vt:i4>0</vt:i4>
      </vt:variant>
      <vt:variant>
        <vt:i4>5</vt:i4>
      </vt:variant>
      <vt:variant>
        <vt:lpwstr/>
      </vt:variant>
      <vt:variant>
        <vt:lpwstr>App_1</vt:lpwstr>
      </vt:variant>
      <vt:variant>
        <vt:i4>3080209</vt:i4>
      </vt:variant>
      <vt:variant>
        <vt:i4>21</vt:i4>
      </vt:variant>
      <vt:variant>
        <vt:i4>0</vt:i4>
      </vt:variant>
      <vt:variant>
        <vt:i4>5</vt:i4>
      </vt:variant>
      <vt:variant>
        <vt:lpwstr/>
      </vt:variant>
      <vt:variant>
        <vt:lpwstr>App_1</vt:lpwstr>
      </vt:variant>
      <vt:variant>
        <vt:i4>1769546</vt:i4>
      </vt:variant>
      <vt:variant>
        <vt:i4>18</vt:i4>
      </vt:variant>
      <vt:variant>
        <vt:i4>0</vt:i4>
      </vt:variant>
      <vt:variant>
        <vt:i4>5</vt:i4>
      </vt:variant>
      <vt:variant>
        <vt:lpwstr>https://journals.sagepub.com/doi/pdf/10.1177/0269881107087976</vt:lpwstr>
      </vt:variant>
      <vt:variant>
        <vt:lpwstr/>
      </vt:variant>
      <vt:variant>
        <vt:i4>8257572</vt:i4>
      </vt:variant>
      <vt:variant>
        <vt:i4>15</vt:i4>
      </vt:variant>
      <vt:variant>
        <vt:i4>0</vt:i4>
      </vt:variant>
      <vt:variant>
        <vt:i4>5</vt:i4>
      </vt:variant>
      <vt:variant>
        <vt:lpwstr/>
      </vt:variant>
      <vt:variant>
        <vt:lpwstr>Section_3_5</vt:lpwstr>
      </vt:variant>
      <vt:variant>
        <vt:i4>3080209</vt:i4>
      </vt:variant>
      <vt:variant>
        <vt:i4>12</vt:i4>
      </vt:variant>
      <vt:variant>
        <vt:i4>0</vt:i4>
      </vt:variant>
      <vt:variant>
        <vt:i4>5</vt:i4>
      </vt:variant>
      <vt:variant>
        <vt:lpwstr/>
      </vt:variant>
      <vt:variant>
        <vt:lpwstr>App_2</vt:lpwstr>
      </vt:variant>
      <vt:variant>
        <vt:i4>5111828</vt:i4>
      </vt:variant>
      <vt:variant>
        <vt:i4>9</vt:i4>
      </vt:variant>
      <vt:variant>
        <vt:i4>0</vt:i4>
      </vt:variant>
      <vt:variant>
        <vt:i4>5</vt:i4>
      </vt:variant>
      <vt:variant>
        <vt:lpwstr/>
      </vt:variant>
      <vt:variant>
        <vt:lpwstr>Section_2_10</vt:lpwstr>
      </vt:variant>
      <vt:variant>
        <vt:i4>7536699</vt:i4>
      </vt:variant>
      <vt:variant>
        <vt:i4>6</vt:i4>
      </vt:variant>
      <vt:variant>
        <vt:i4>0</vt:i4>
      </vt:variant>
      <vt:variant>
        <vt:i4>5</vt:i4>
      </vt:variant>
      <vt:variant>
        <vt:lpwstr>https://www.cntw.nhs.uk/content/uploads/2018/09/PPT-PGN-08-Physical-Health-Monitoring-v01-Iss3-Nov19-2.pdf</vt:lpwstr>
      </vt:variant>
      <vt:variant>
        <vt:lpwstr/>
      </vt:variant>
      <vt:variant>
        <vt:i4>3080209</vt:i4>
      </vt:variant>
      <vt:variant>
        <vt:i4>3</vt:i4>
      </vt:variant>
      <vt:variant>
        <vt:i4>0</vt:i4>
      </vt:variant>
      <vt:variant>
        <vt:i4>5</vt:i4>
      </vt:variant>
      <vt:variant>
        <vt:lpwstr/>
      </vt:variant>
      <vt:variant>
        <vt:lpwstr>App_2</vt:lpwstr>
      </vt:variant>
      <vt:variant>
        <vt:i4>3080209</vt:i4>
      </vt:variant>
      <vt:variant>
        <vt:i4>0</vt:i4>
      </vt:variant>
      <vt:variant>
        <vt:i4>0</vt:i4>
      </vt:variant>
      <vt:variant>
        <vt:i4>5</vt:i4>
      </vt:variant>
      <vt:variant>
        <vt:lpwstr/>
      </vt:variant>
      <vt:variant>
        <vt:lpwstr>App_1</vt:lpwstr>
      </vt:variant>
      <vt:variant>
        <vt:i4>7667813</vt:i4>
      </vt:variant>
      <vt:variant>
        <vt:i4>12</vt:i4>
      </vt:variant>
      <vt:variant>
        <vt:i4>0</vt:i4>
      </vt:variant>
      <vt:variant>
        <vt:i4>5</vt:i4>
      </vt:variant>
      <vt:variant>
        <vt:lpwstr>https://www.cntw.nhs.uk/content/uploads/2015/09/PPT-PGN-10-App2-Monitoring-Requirements-for-HDAT-V04-Aug18.pdf</vt:lpwstr>
      </vt:variant>
      <vt:variant>
        <vt:lpwstr/>
      </vt:variant>
      <vt:variant>
        <vt:i4>1769546</vt:i4>
      </vt:variant>
      <vt:variant>
        <vt:i4>9</vt:i4>
      </vt:variant>
      <vt:variant>
        <vt:i4>0</vt:i4>
      </vt:variant>
      <vt:variant>
        <vt:i4>5</vt:i4>
      </vt:variant>
      <vt:variant>
        <vt:lpwstr>https://journals.sagepub.com/doi/pdf/10.1177/0269881107087976</vt:lpwstr>
      </vt:variant>
      <vt:variant>
        <vt:lpwstr/>
      </vt:variant>
      <vt:variant>
        <vt:i4>524365</vt:i4>
      </vt:variant>
      <vt:variant>
        <vt:i4>6</vt:i4>
      </vt:variant>
      <vt:variant>
        <vt:i4>0</vt:i4>
      </vt:variant>
      <vt:variant>
        <vt:i4>5</vt:i4>
      </vt:variant>
      <vt:variant>
        <vt:lpwstr>https://www.cntw.nhs.uk/content/uploads/2018/09/PPT-PGN-08-App2-Meds-PH-monit-AntipscyhoticsMontrequnder18s-Iss-2-Jul-19.pdf</vt:lpwstr>
      </vt:variant>
      <vt:variant>
        <vt:lpwstr/>
      </vt:variant>
      <vt:variant>
        <vt:i4>2752560</vt:i4>
      </vt:variant>
      <vt:variant>
        <vt:i4>3</vt:i4>
      </vt:variant>
      <vt:variant>
        <vt:i4>0</vt:i4>
      </vt:variant>
      <vt:variant>
        <vt:i4>5</vt:i4>
      </vt:variant>
      <vt:variant>
        <vt:lpwstr>http://www.northoftyneapc.nhs.uk/wp-content/uploads/sites/6/2018/01/Osteoporosis-guidelines-including-bisphosphonate-review-Dec-17.pdf</vt:lpwstr>
      </vt:variant>
      <vt:variant>
        <vt:lpwstr/>
      </vt:variant>
      <vt:variant>
        <vt:i4>2162711</vt:i4>
      </vt:variant>
      <vt:variant>
        <vt:i4>0</vt:i4>
      </vt:variant>
      <vt:variant>
        <vt:i4>0</vt:i4>
      </vt:variant>
      <vt:variant>
        <vt:i4>5</vt:i4>
      </vt:variant>
      <vt:variant>
        <vt:lpwstr/>
      </vt:variant>
      <vt:variant>
        <vt:lpwstr>Section_3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lbowman</dc:creator>
  <cp:keywords/>
  <cp:lastModifiedBy>Sykes, Joanne (She/Her/Hers) (Safety &amp; Trust Innovation)</cp:lastModifiedBy>
  <cp:revision>13</cp:revision>
  <cp:lastPrinted>2023-12-22T13:05:00Z</cp:lastPrinted>
  <dcterms:created xsi:type="dcterms:W3CDTF">2025-11-27T10:43:00Z</dcterms:created>
  <dcterms:modified xsi:type="dcterms:W3CDTF">2025-12-17T11:36:00Z</dcterms:modified>
</cp:coreProperties>
</file>