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E26D" w14:textId="77777777" w:rsidR="00AC4113" w:rsidRPr="00907BF8" w:rsidRDefault="00AC4113" w:rsidP="00AC4113">
      <w:pPr>
        <w:pStyle w:val="Normal10pt"/>
        <w:tabs>
          <w:tab w:val="clear" w:pos="360"/>
        </w:tabs>
        <w:spacing w:before="0" w:after="240"/>
        <w:ind w:right="-46"/>
        <w:jc w:val="right"/>
        <w:rPr>
          <w:b/>
          <w:sz w:val="24"/>
        </w:rPr>
      </w:pPr>
      <w:r w:rsidRPr="00907BF8">
        <w:rPr>
          <w:b/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4CEC0145" wp14:editId="14F98CD2">
            <wp:simplePos x="0" y="0"/>
            <wp:positionH relativeFrom="margin">
              <wp:posOffset>4169539</wp:posOffset>
            </wp:positionH>
            <wp:positionV relativeFrom="paragraph">
              <wp:posOffset>-441325</wp:posOffset>
            </wp:positionV>
            <wp:extent cx="1593502" cy="648571"/>
            <wp:effectExtent l="0" t="0" r="6985" b="0"/>
            <wp:wrapNone/>
            <wp:docPr id="1" name="Picture 1" descr="\\ottowa1\users$\chwallace\allwork\mydocs\CNTW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ttowa1\users$\chwallace\allwork\mydocs\CNTW Log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02" cy="64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F6E3A" w14:textId="77777777" w:rsidR="00AC4113" w:rsidRPr="00907BF8" w:rsidRDefault="00AC4113" w:rsidP="00AC4113">
      <w:pPr>
        <w:pStyle w:val="Normal10pt"/>
        <w:tabs>
          <w:tab w:val="clear" w:pos="360"/>
        </w:tabs>
        <w:spacing w:before="0" w:after="240"/>
        <w:ind w:right="-46"/>
        <w:jc w:val="right"/>
        <w:rPr>
          <w:b/>
          <w:sz w:val="24"/>
        </w:rPr>
      </w:pPr>
      <w:r w:rsidRPr="00907BF8">
        <w:rPr>
          <w:b/>
          <w:sz w:val="24"/>
        </w:rPr>
        <w:t>Appendix 2</w:t>
      </w:r>
    </w:p>
    <w:p w14:paraId="2EA48003" w14:textId="77777777" w:rsidR="00AC4113" w:rsidRPr="00907BF8" w:rsidRDefault="00AC4113" w:rsidP="003C24C1">
      <w:pPr>
        <w:pStyle w:val="Normal10pt"/>
        <w:tabs>
          <w:tab w:val="clear" w:pos="360"/>
        </w:tabs>
        <w:spacing w:before="0"/>
        <w:ind w:left="0" w:firstLine="0"/>
        <w:jc w:val="center"/>
        <w:rPr>
          <w:b/>
          <w:sz w:val="26"/>
          <w:szCs w:val="26"/>
        </w:rPr>
      </w:pPr>
      <w:r w:rsidRPr="00907BF8">
        <w:rPr>
          <w:b/>
          <w:sz w:val="26"/>
          <w:szCs w:val="26"/>
        </w:rPr>
        <w:t>Hyperprolactinaemic Hypogonadism in Females of Reproductive Age</w:t>
      </w:r>
    </w:p>
    <w:p w14:paraId="77CFBDDD" w14:textId="77777777" w:rsidR="00AC4113" w:rsidRPr="00907BF8" w:rsidRDefault="00AC4113" w:rsidP="00AC4113">
      <w:pPr>
        <w:pStyle w:val="Normal10pt"/>
        <w:tabs>
          <w:tab w:val="clear" w:pos="360"/>
        </w:tabs>
        <w:spacing w:before="0" w:after="240"/>
        <w:ind w:left="0" w:firstLine="0"/>
        <w:jc w:val="left"/>
        <w:rPr>
          <w:b/>
          <w:sz w:val="24"/>
        </w:rPr>
      </w:pPr>
    </w:p>
    <w:p w14:paraId="77B3D220" w14:textId="52052299" w:rsidR="00AC4113" w:rsidRPr="00C1065C" w:rsidRDefault="00AC4113" w:rsidP="003C24C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  <w:r w:rsidRPr="00C1065C">
        <w:rPr>
          <w:sz w:val="24"/>
        </w:rPr>
        <w:t>Amenorrhoea</w:t>
      </w:r>
      <w:r w:rsidR="003A53E1" w:rsidRPr="00C1065C">
        <w:rPr>
          <w:sz w:val="24"/>
        </w:rPr>
        <w:t xml:space="preserve"> (absence of menstrual cycle)</w:t>
      </w:r>
      <w:r w:rsidRPr="00C1065C">
        <w:rPr>
          <w:sz w:val="24"/>
        </w:rPr>
        <w:t xml:space="preserve"> or oligomenorrhoea</w:t>
      </w:r>
      <w:r w:rsidR="003A53E1" w:rsidRPr="00C1065C">
        <w:rPr>
          <w:sz w:val="24"/>
        </w:rPr>
        <w:t xml:space="preserve"> (irregular menstrual cycle)</w:t>
      </w:r>
      <w:r w:rsidRPr="00C1065C">
        <w:rPr>
          <w:sz w:val="24"/>
        </w:rPr>
        <w:t xml:space="preserve"> is an obligate feature of female hypogonadism, so if periods are regular and there is no infertility, then hypogonadism can be excluded with a reasonable degree of certainty.</w:t>
      </w:r>
    </w:p>
    <w:p w14:paraId="489105CB" w14:textId="77777777" w:rsidR="003C24C1" w:rsidRPr="00C1065C" w:rsidRDefault="003C24C1" w:rsidP="003C24C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</w:p>
    <w:p w14:paraId="7E98136F" w14:textId="77777777" w:rsidR="00AC4113" w:rsidRPr="00C1065C" w:rsidRDefault="00AC4113" w:rsidP="003C24C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  <w:r w:rsidRPr="00C1065C">
        <w:rPr>
          <w:sz w:val="24"/>
        </w:rPr>
        <w:t>Even if there is amenorrhoea or ol</w:t>
      </w:r>
      <w:r w:rsidR="003C24C1" w:rsidRPr="00C1065C">
        <w:rPr>
          <w:sz w:val="24"/>
        </w:rPr>
        <w:t>igomenorrhoea, there are still three</w:t>
      </w:r>
      <w:r w:rsidRPr="00C1065C">
        <w:rPr>
          <w:sz w:val="24"/>
        </w:rPr>
        <w:t xml:space="preserve"> other possibilities apart from hyperprolactinaemic hypogonadism:</w:t>
      </w:r>
    </w:p>
    <w:p w14:paraId="2B2E8F99" w14:textId="77777777" w:rsidR="003C24C1" w:rsidRPr="00C1065C" w:rsidRDefault="003C24C1" w:rsidP="003C24C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</w:p>
    <w:p w14:paraId="3447A73E" w14:textId="77777777" w:rsidR="00AC4113" w:rsidRPr="00C1065C" w:rsidRDefault="00AC4113" w:rsidP="003C24C1">
      <w:pPr>
        <w:pStyle w:val="Normal10pt"/>
        <w:numPr>
          <w:ilvl w:val="0"/>
          <w:numId w:val="2"/>
        </w:numPr>
        <w:spacing w:before="0" w:after="120"/>
        <w:ind w:left="924" w:right="567" w:hanging="357"/>
        <w:jc w:val="left"/>
        <w:rPr>
          <w:sz w:val="24"/>
        </w:rPr>
      </w:pPr>
      <w:r w:rsidRPr="00C1065C">
        <w:rPr>
          <w:sz w:val="24"/>
        </w:rPr>
        <w:t>Other cause of hypogonadism, e.g. premat</w:t>
      </w:r>
      <w:r w:rsidR="003C24C1" w:rsidRPr="00C1065C">
        <w:rPr>
          <w:sz w:val="24"/>
        </w:rPr>
        <w:t>ure ovarian insufficiency (POI)</w:t>
      </w:r>
      <w:r w:rsidRPr="00C1065C">
        <w:rPr>
          <w:sz w:val="24"/>
        </w:rPr>
        <w:t xml:space="preserve"> or eating/exercise disorder (hypothalamic amenorrhoea)</w:t>
      </w:r>
      <w:r w:rsidR="003C24C1" w:rsidRPr="00C1065C">
        <w:rPr>
          <w:sz w:val="24"/>
        </w:rPr>
        <w:t>.</w:t>
      </w:r>
    </w:p>
    <w:p w14:paraId="3BE7B404" w14:textId="77777777" w:rsidR="00AC4113" w:rsidRPr="00C1065C" w:rsidRDefault="00AC4113" w:rsidP="003C24C1">
      <w:pPr>
        <w:pStyle w:val="Normal10pt"/>
        <w:numPr>
          <w:ilvl w:val="0"/>
          <w:numId w:val="2"/>
        </w:numPr>
        <w:spacing w:before="0" w:after="120"/>
        <w:ind w:left="924" w:right="567" w:hanging="357"/>
        <w:jc w:val="left"/>
        <w:rPr>
          <w:sz w:val="24"/>
        </w:rPr>
      </w:pPr>
      <w:r w:rsidRPr="00C1065C">
        <w:rPr>
          <w:sz w:val="24"/>
        </w:rPr>
        <w:t>Polycystic ovary syndrome (increased body hair, acne and, usually, metabolic syndrome)</w:t>
      </w:r>
      <w:r w:rsidR="003C24C1" w:rsidRPr="00C1065C">
        <w:rPr>
          <w:sz w:val="24"/>
        </w:rPr>
        <w:t>.</w:t>
      </w:r>
      <w:r w:rsidRPr="00C1065C">
        <w:rPr>
          <w:sz w:val="24"/>
        </w:rPr>
        <w:t xml:space="preserve"> </w:t>
      </w:r>
    </w:p>
    <w:p w14:paraId="42F1C3A9" w14:textId="77777777" w:rsidR="00AC4113" w:rsidRPr="00C1065C" w:rsidRDefault="00AC4113" w:rsidP="003C24C1">
      <w:pPr>
        <w:pStyle w:val="Normal10pt"/>
        <w:numPr>
          <w:ilvl w:val="0"/>
          <w:numId w:val="2"/>
        </w:numPr>
        <w:spacing w:before="0"/>
        <w:ind w:left="924" w:right="567" w:hanging="357"/>
        <w:jc w:val="left"/>
        <w:rPr>
          <w:sz w:val="24"/>
        </w:rPr>
      </w:pPr>
      <w:r w:rsidRPr="00C1065C">
        <w:rPr>
          <w:sz w:val="24"/>
        </w:rPr>
        <w:t xml:space="preserve">Medical treatments, including hysterectomy, endometrial ablation, progesterone only “minipill”, Nexplanon contraceptive implants, </w:t>
      </w:r>
      <w:proofErr w:type="spellStart"/>
      <w:r w:rsidRPr="00C1065C">
        <w:rPr>
          <w:sz w:val="24"/>
        </w:rPr>
        <w:t>DepoProvera</w:t>
      </w:r>
      <w:proofErr w:type="spellEnd"/>
      <w:r w:rsidRPr="00C1065C">
        <w:rPr>
          <w:sz w:val="24"/>
        </w:rPr>
        <w:t xml:space="preserve"> injections, or Mirena intrauterine device (IUD)</w:t>
      </w:r>
      <w:r w:rsidR="003C24C1" w:rsidRPr="00C1065C">
        <w:rPr>
          <w:sz w:val="24"/>
        </w:rPr>
        <w:t>.</w:t>
      </w:r>
    </w:p>
    <w:p w14:paraId="4FEC0BCD" w14:textId="77777777" w:rsidR="003C24C1" w:rsidRPr="00C1065C" w:rsidRDefault="003C24C1" w:rsidP="003C24C1">
      <w:pPr>
        <w:pStyle w:val="Normal10pt"/>
        <w:tabs>
          <w:tab w:val="clear" w:pos="360"/>
        </w:tabs>
        <w:spacing w:before="0"/>
        <w:ind w:left="924" w:right="567" w:firstLine="0"/>
        <w:jc w:val="left"/>
        <w:rPr>
          <w:sz w:val="24"/>
        </w:rPr>
      </w:pPr>
    </w:p>
    <w:p w14:paraId="2D8D9669" w14:textId="77777777" w:rsidR="00AC4113" w:rsidRPr="00C1065C" w:rsidRDefault="00AC4113" w:rsidP="003C24C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  <w:r w:rsidRPr="00C1065C">
        <w:rPr>
          <w:sz w:val="24"/>
        </w:rPr>
        <w:t>In women with amenorrhoea or oligomenorrhoea and with nil to suggest (2) or (3) above, features pointing towards hypogonadism include:</w:t>
      </w:r>
    </w:p>
    <w:p w14:paraId="2BCFF2F1" w14:textId="77777777" w:rsidR="003C24C1" w:rsidRPr="00C1065C" w:rsidRDefault="003C24C1" w:rsidP="003C24C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</w:p>
    <w:p w14:paraId="63A7D540" w14:textId="77777777" w:rsidR="00AC4113" w:rsidRPr="00C1065C" w:rsidRDefault="00AC4113" w:rsidP="003C24C1">
      <w:pPr>
        <w:pStyle w:val="Normal10pt"/>
        <w:numPr>
          <w:ilvl w:val="0"/>
          <w:numId w:val="1"/>
        </w:numPr>
        <w:spacing w:before="0" w:after="120"/>
        <w:ind w:left="924" w:right="567" w:hanging="357"/>
        <w:jc w:val="left"/>
        <w:rPr>
          <w:sz w:val="24"/>
        </w:rPr>
      </w:pPr>
      <w:r w:rsidRPr="00C1065C">
        <w:rPr>
          <w:sz w:val="24"/>
        </w:rPr>
        <w:t>Sweating or flushing</w:t>
      </w:r>
      <w:r w:rsidR="003C24C1" w:rsidRPr="00C1065C">
        <w:rPr>
          <w:sz w:val="24"/>
        </w:rPr>
        <w:t>.</w:t>
      </w:r>
    </w:p>
    <w:p w14:paraId="38ACDFF4" w14:textId="77777777" w:rsidR="00AC4113" w:rsidRPr="00C1065C" w:rsidRDefault="00AC4113" w:rsidP="003C24C1">
      <w:pPr>
        <w:pStyle w:val="Normal10pt"/>
        <w:numPr>
          <w:ilvl w:val="0"/>
          <w:numId w:val="1"/>
        </w:numPr>
        <w:spacing w:before="0" w:after="120"/>
        <w:ind w:left="924" w:right="567" w:hanging="357"/>
        <w:jc w:val="left"/>
        <w:rPr>
          <w:sz w:val="24"/>
        </w:rPr>
      </w:pPr>
      <w:r w:rsidRPr="00C1065C">
        <w:rPr>
          <w:sz w:val="24"/>
        </w:rPr>
        <w:t>Low libido, or vaginal dryness</w:t>
      </w:r>
      <w:r w:rsidR="003C24C1" w:rsidRPr="00C1065C">
        <w:rPr>
          <w:sz w:val="24"/>
        </w:rPr>
        <w:t>.</w:t>
      </w:r>
    </w:p>
    <w:p w14:paraId="5B18561A" w14:textId="77777777" w:rsidR="00AC4113" w:rsidRPr="00C1065C" w:rsidRDefault="00AC4113" w:rsidP="003C24C1">
      <w:pPr>
        <w:pStyle w:val="Normal10pt"/>
        <w:numPr>
          <w:ilvl w:val="0"/>
          <w:numId w:val="1"/>
        </w:numPr>
        <w:spacing w:before="0"/>
        <w:ind w:left="924" w:right="567" w:hanging="357"/>
        <w:jc w:val="left"/>
        <w:rPr>
          <w:sz w:val="24"/>
        </w:rPr>
      </w:pPr>
      <w:r w:rsidRPr="00C1065C">
        <w:rPr>
          <w:sz w:val="24"/>
        </w:rPr>
        <w:t>Osteoporosis or fracture</w:t>
      </w:r>
      <w:r w:rsidR="003C24C1" w:rsidRPr="00C1065C">
        <w:rPr>
          <w:sz w:val="24"/>
        </w:rPr>
        <w:t>.</w:t>
      </w:r>
    </w:p>
    <w:p w14:paraId="4FAC01B4" w14:textId="77777777" w:rsidR="003C24C1" w:rsidRPr="00C1065C" w:rsidRDefault="003C24C1" w:rsidP="003C24C1">
      <w:pPr>
        <w:pStyle w:val="Normal10pt"/>
        <w:tabs>
          <w:tab w:val="clear" w:pos="360"/>
        </w:tabs>
        <w:spacing w:before="0"/>
        <w:ind w:left="924" w:right="567" w:firstLine="0"/>
        <w:jc w:val="left"/>
        <w:rPr>
          <w:sz w:val="24"/>
        </w:rPr>
      </w:pPr>
    </w:p>
    <w:p w14:paraId="14CA4390" w14:textId="63FEAF73" w:rsidR="00AC4113" w:rsidRPr="00C1065C" w:rsidRDefault="00AC4113" w:rsidP="003C24C1">
      <w:pPr>
        <w:pStyle w:val="Normal10pt"/>
        <w:tabs>
          <w:tab w:val="clear" w:pos="360"/>
        </w:tabs>
        <w:spacing w:before="0"/>
        <w:ind w:left="0" w:firstLine="0"/>
        <w:jc w:val="left"/>
        <w:rPr>
          <w:sz w:val="24"/>
        </w:rPr>
      </w:pPr>
      <w:r w:rsidRPr="00C1065C">
        <w:rPr>
          <w:sz w:val="24"/>
        </w:rPr>
        <w:t xml:space="preserve">Even in the absence of hypogonadism, the presence of galactorrhoea </w:t>
      </w:r>
      <w:r w:rsidR="003A53E1" w:rsidRPr="00C1065C">
        <w:rPr>
          <w:sz w:val="24"/>
        </w:rPr>
        <w:t xml:space="preserve">(milky breast discharge) </w:t>
      </w:r>
      <w:r w:rsidRPr="00C1065C">
        <w:rPr>
          <w:sz w:val="24"/>
        </w:rPr>
        <w:t>should usually prompt a medication review.</w:t>
      </w:r>
    </w:p>
    <w:p w14:paraId="2E8EB7BE" w14:textId="77777777" w:rsidR="003C24C1" w:rsidRPr="00907BF8" w:rsidRDefault="003C24C1" w:rsidP="003C24C1">
      <w:pPr>
        <w:pStyle w:val="Normal10pt"/>
        <w:tabs>
          <w:tab w:val="clear" w:pos="360"/>
        </w:tabs>
        <w:spacing w:before="0"/>
        <w:ind w:left="794" w:hanging="794"/>
        <w:jc w:val="left"/>
        <w:rPr>
          <w:b/>
          <w:sz w:val="24"/>
        </w:rPr>
      </w:pPr>
    </w:p>
    <w:p w14:paraId="342BB1FD" w14:textId="77777777" w:rsidR="003C24C1" w:rsidRPr="00907BF8" w:rsidRDefault="003C24C1" w:rsidP="003C24C1">
      <w:pPr>
        <w:pStyle w:val="Normal10pt"/>
        <w:tabs>
          <w:tab w:val="clear" w:pos="360"/>
        </w:tabs>
        <w:spacing w:before="0"/>
        <w:ind w:left="794" w:hanging="794"/>
        <w:jc w:val="left"/>
        <w:rPr>
          <w:b/>
          <w:sz w:val="24"/>
        </w:rPr>
      </w:pPr>
      <w:r w:rsidRPr="00907BF8">
        <w:rPr>
          <w:b/>
          <w:sz w:val="24"/>
        </w:rPr>
        <w:t>Blood Tests</w:t>
      </w:r>
    </w:p>
    <w:p w14:paraId="0B581912" w14:textId="77777777" w:rsidR="003C24C1" w:rsidRPr="00907BF8" w:rsidRDefault="003C24C1" w:rsidP="003C24C1">
      <w:pPr>
        <w:pStyle w:val="Normal10pt"/>
        <w:tabs>
          <w:tab w:val="clear" w:pos="360"/>
        </w:tabs>
        <w:spacing w:before="0"/>
        <w:ind w:left="0" w:right="839" w:firstLine="0"/>
        <w:jc w:val="left"/>
        <w:rPr>
          <w:sz w:val="24"/>
        </w:rPr>
      </w:pPr>
    </w:p>
    <w:p w14:paraId="4DC67911" w14:textId="77777777" w:rsidR="003C24C1" w:rsidRPr="00907BF8" w:rsidRDefault="003C24C1" w:rsidP="003C24C1">
      <w:pPr>
        <w:pStyle w:val="Normal10pt"/>
        <w:numPr>
          <w:ilvl w:val="0"/>
          <w:numId w:val="3"/>
        </w:numPr>
        <w:spacing w:before="0" w:after="120"/>
        <w:ind w:left="1151" w:right="567" w:hanging="357"/>
        <w:jc w:val="left"/>
        <w:rPr>
          <w:sz w:val="24"/>
        </w:rPr>
      </w:pPr>
      <w:r w:rsidRPr="00907BF8">
        <w:rPr>
          <w:sz w:val="24"/>
        </w:rPr>
        <w:t>Full blood count (FBC).</w:t>
      </w:r>
    </w:p>
    <w:p w14:paraId="521F5D7D" w14:textId="77777777" w:rsidR="003C24C1" w:rsidRPr="00907BF8" w:rsidRDefault="003C24C1" w:rsidP="003C24C1">
      <w:pPr>
        <w:pStyle w:val="Normal10pt"/>
        <w:numPr>
          <w:ilvl w:val="0"/>
          <w:numId w:val="3"/>
        </w:numPr>
        <w:spacing w:before="0" w:after="120"/>
        <w:ind w:left="1151" w:right="567" w:hanging="357"/>
        <w:jc w:val="left"/>
        <w:rPr>
          <w:sz w:val="24"/>
        </w:rPr>
      </w:pPr>
      <w:r w:rsidRPr="00907BF8">
        <w:rPr>
          <w:sz w:val="24"/>
        </w:rPr>
        <w:t>Luteinising hormone (LH).</w:t>
      </w:r>
    </w:p>
    <w:p w14:paraId="185255DC" w14:textId="77777777" w:rsidR="003C24C1" w:rsidRPr="00907BF8" w:rsidRDefault="003C24C1" w:rsidP="003C24C1">
      <w:pPr>
        <w:pStyle w:val="Normal10pt"/>
        <w:numPr>
          <w:ilvl w:val="0"/>
          <w:numId w:val="3"/>
        </w:numPr>
        <w:spacing w:before="0" w:after="120"/>
        <w:ind w:left="1151" w:right="567" w:hanging="357"/>
        <w:jc w:val="left"/>
        <w:rPr>
          <w:sz w:val="24"/>
        </w:rPr>
      </w:pPr>
      <w:r w:rsidRPr="00907BF8">
        <w:rPr>
          <w:sz w:val="24"/>
        </w:rPr>
        <w:t>Follicle stimulating hormone (FSH).</w:t>
      </w:r>
    </w:p>
    <w:p w14:paraId="29B49D68" w14:textId="77777777" w:rsidR="003C24C1" w:rsidRPr="00907BF8" w:rsidRDefault="003C24C1" w:rsidP="003C24C1">
      <w:pPr>
        <w:pStyle w:val="Normal10pt"/>
        <w:numPr>
          <w:ilvl w:val="0"/>
          <w:numId w:val="3"/>
        </w:numPr>
        <w:spacing w:before="0" w:after="120"/>
        <w:ind w:left="1151" w:right="567" w:hanging="357"/>
        <w:jc w:val="left"/>
        <w:rPr>
          <w:sz w:val="24"/>
        </w:rPr>
      </w:pPr>
      <w:r w:rsidRPr="00907BF8">
        <w:rPr>
          <w:sz w:val="24"/>
        </w:rPr>
        <w:t>Oestradiol.</w:t>
      </w:r>
    </w:p>
    <w:p w14:paraId="1107795F" w14:textId="77777777" w:rsidR="003C24C1" w:rsidRPr="00907BF8" w:rsidRDefault="003C24C1" w:rsidP="003C24C1">
      <w:pPr>
        <w:pStyle w:val="Normal10pt"/>
        <w:numPr>
          <w:ilvl w:val="0"/>
          <w:numId w:val="3"/>
        </w:numPr>
        <w:spacing w:before="0" w:after="120"/>
        <w:ind w:left="1151" w:right="567" w:hanging="357"/>
        <w:jc w:val="left"/>
        <w:rPr>
          <w:sz w:val="24"/>
        </w:rPr>
      </w:pPr>
      <w:r w:rsidRPr="00907BF8">
        <w:rPr>
          <w:sz w:val="24"/>
        </w:rPr>
        <w:t>Testosterone.</w:t>
      </w:r>
    </w:p>
    <w:p w14:paraId="66C7FC23" w14:textId="77777777" w:rsidR="003C24C1" w:rsidRPr="00907BF8" w:rsidRDefault="003C24C1" w:rsidP="003C24C1">
      <w:pPr>
        <w:pStyle w:val="Normal10pt"/>
        <w:numPr>
          <w:ilvl w:val="0"/>
          <w:numId w:val="3"/>
        </w:numPr>
        <w:spacing w:before="0" w:after="120"/>
        <w:ind w:left="1151" w:right="567" w:hanging="357"/>
        <w:jc w:val="left"/>
        <w:rPr>
          <w:sz w:val="24"/>
        </w:rPr>
      </w:pPr>
      <w:r w:rsidRPr="00907BF8">
        <w:rPr>
          <w:sz w:val="24"/>
        </w:rPr>
        <w:t>Sex hormone binding globulin (SHBG).</w:t>
      </w:r>
    </w:p>
    <w:p w14:paraId="0196F0BD" w14:textId="16681CFE" w:rsidR="003C24C1" w:rsidRPr="003A53E1" w:rsidRDefault="003C24C1" w:rsidP="003A53E1">
      <w:pPr>
        <w:pStyle w:val="Normal10pt"/>
        <w:numPr>
          <w:ilvl w:val="0"/>
          <w:numId w:val="3"/>
        </w:numPr>
        <w:spacing w:before="0"/>
        <w:ind w:left="1151" w:right="567" w:hanging="357"/>
        <w:jc w:val="left"/>
        <w:rPr>
          <w:sz w:val="24"/>
        </w:rPr>
      </w:pPr>
      <w:r w:rsidRPr="00907BF8">
        <w:rPr>
          <w:sz w:val="24"/>
        </w:rPr>
        <w:t>Prolactin.</w:t>
      </w:r>
    </w:p>
    <w:p w14:paraId="169E2B33" w14:textId="77777777" w:rsidR="00AC3DEE" w:rsidRPr="00907BF8" w:rsidRDefault="00AC3DEE"/>
    <w:sectPr w:rsidR="00AC3DEE" w:rsidRPr="00907BF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A344" w14:textId="77777777" w:rsidR="003C24C1" w:rsidRDefault="003C24C1" w:rsidP="003C24C1">
      <w:pPr>
        <w:spacing w:after="0" w:line="240" w:lineRule="auto"/>
      </w:pPr>
      <w:r>
        <w:separator/>
      </w:r>
    </w:p>
  </w:endnote>
  <w:endnote w:type="continuationSeparator" w:id="0">
    <w:p w14:paraId="7D326980" w14:textId="77777777" w:rsidR="003C24C1" w:rsidRDefault="003C24C1" w:rsidP="003C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A154" w14:textId="77777777" w:rsidR="003C24C1" w:rsidRDefault="003C24C1" w:rsidP="003C24C1">
    <w:pPr>
      <w:pStyle w:val="Footer"/>
      <w:rPr>
        <w:rFonts w:ascii="Arial" w:hAnsi="Arial" w:cs="Arial"/>
        <w:sz w:val="20"/>
      </w:rPr>
    </w:pPr>
    <w:r w:rsidRPr="002342D1">
      <w:rPr>
        <w:rFonts w:ascii="Arial" w:hAnsi="Arial" w:cs="Arial"/>
        <w:sz w:val="20"/>
      </w:rPr>
      <w:t>Cumbria, Northumberland</w:t>
    </w:r>
    <w:r>
      <w:rPr>
        <w:rFonts w:ascii="Arial" w:hAnsi="Arial" w:cs="Arial"/>
        <w:sz w:val="20"/>
      </w:rPr>
      <w:t>,</w:t>
    </w:r>
    <w:r w:rsidRPr="002342D1">
      <w:rPr>
        <w:rFonts w:ascii="Arial" w:hAnsi="Arial" w:cs="Arial"/>
        <w:sz w:val="20"/>
      </w:rPr>
      <w:t xml:space="preserve"> Tyne and Wear NHS</w:t>
    </w:r>
    <w:r>
      <w:rPr>
        <w:rFonts w:ascii="Arial" w:hAnsi="Arial" w:cs="Arial"/>
        <w:sz w:val="20"/>
      </w:rPr>
      <w:t xml:space="preserve"> Foundation Trust</w:t>
    </w:r>
  </w:p>
  <w:p w14:paraId="1FA8CEDC" w14:textId="6BCDE969" w:rsidR="003C24C1" w:rsidRPr="002342D1" w:rsidRDefault="008A0B02" w:rsidP="003C24C1">
    <w:pPr>
      <w:pStyle w:val="Footer"/>
      <w:rPr>
        <w:rFonts w:cs="Arial"/>
        <w:b/>
      </w:rPr>
    </w:pPr>
    <w:r>
      <w:rPr>
        <w:rFonts w:ascii="Arial" w:hAnsi="Arial" w:cs="Arial"/>
        <w:sz w:val="20"/>
      </w:rPr>
      <w:t>App</w:t>
    </w:r>
    <w:r w:rsidR="003C24C1">
      <w:rPr>
        <w:rFonts w:ascii="Arial" w:hAnsi="Arial" w:cs="Arial"/>
        <w:sz w:val="20"/>
      </w:rPr>
      <w:t xml:space="preserve"> 2 - </w:t>
    </w:r>
    <w:r w:rsidR="003C24C1" w:rsidRPr="003C24C1">
      <w:rPr>
        <w:rFonts w:ascii="Arial" w:hAnsi="Arial" w:cs="Arial"/>
        <w:sz w:val="20"/>
      </w:rPr>
      <w:t>Hyperprolactinaemic Hypogonadism in Females of Reproductive Age</w:t>
    </w:r>
    <w:r>
      <w:rPr>
        <w:rFonts w:ascii="Arial" w:hAnsi="Arial" w:cs="Arial"/>
        <w:sz w:val="20"/>
      </w:rPr>
      <w:t xml:space="preserve"> - V0</w:t>
    </w:r>
    <w:r w:rsidR="003A53E1"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>-Iss</w:t>
    </w:r>
    <w:r w:rsidR="003A53E1">
      <w:rPr>
        <w:rFonts w:ascii="Arial" w:hAnsi="Arial" w:cs="Arial"/>
        <w:sz w:val="20"/>
      </w:rPr>
      <w:t>1</w:t>
    </w:r>
    <w:r>
      <w:rPr>
        <w:rFonts w:ascii="Arial" w:hAnsi="Arial" w:cs="Arial"/>
        <w:sz w:val="20"/>
      </w:rPr>
      <w:t>-</w:t>
    </w:r>
    <w:r w:rsidR="003A53E1">
      <w:rPr>
        <w:rFonts w:ascii="Arial" w:hAnsi="Arial" w:cs="Arial"/>
        <w:sz w:val="20"/>
      </w:rPr>
      <w:t>Dec</w:t>
    </w:r>
    <w:r>
      <w:rPr>
        <w:rFonts w:ascii="Arial" w:hAnsi="Arial" w:cs="Arial"/>
        <w:sz w:val="20"/>
      </w:rPr>
      <w:t xml:space="preserve"> 202</w:t>
    </w:r>
    <w:r w:rsidR="00391BFC">
      <w:rPr>
        <w:rFonts w:ascii="Arial" w:hAnsi="Arial" w:cs="Arial"/>
        <w:sz w:val="20"/>
      </w:rPr>
      <w:t>5</w:t>
    </w:r>
  </w:p>
  <w:p w14:paraId="2A14A25E" w14:textId="77777777" w:rsidR="003C24C1" w:rsidRPr="003C24C1" w:rsidRDefault="003C24C1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Part of PPT-PGN-24 - </w:t>
    </w:r>
    <w:r w:rsidRPr="002342D1">
      <w:rPr>
        <w:rFonts w:ascii="Arial" w:hAnsi="Arial" w:cs="Arial"/>
        <w:sz w:val="20"/>
      </w:rPr>
      <w:t>Management of Hyperprolactinaemia in Patients Prescribed Antipsychotics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B08D" w14:textId="77777777" w:rsidR="003C24C1" w:rsidRDefault="003C24C1" w:rsidP="003C24C1">
      <w:pPr>
        <w:spacing w:after="0" w:line="240" w:lineRule="auto"/>
      </w:pPr>
      <w:r>
        <w:separator/>
      </w:r>
    </w:p>
  </w:footnote>
  <w:footnote w:type="continuationSeparator" w:id="0">
    <w:p w14:paraId="7AB3765A" w14:textId="77777777" w:rsidR="003C24C1" w:rsidRDefault="003C24C1" w:rsidP="003C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675B"/>
    <w:multiLevelType w:val="hybridMultilevel"/>
    <w:tmpl w:val="BA1087B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52495"/>
    <w:multiLevelType w:val="hybridMultilevel"/>
    <w:tmpl w:val="444CA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500D9"/>
    <w:multiLevelType w:val="hybridMultilevel"/>
    <w:tmpl w:val="551C67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79907">
    <w:abstractNumId w:val="2"/>
  </w:num>
  <w:num w:numId="2" w16cid:durableId="959266250">
    <w:abstractNumId w:val="0"/>
  </w:num>
  <w:num w:numId="3" w16cid:durableId="2267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13"/>
    <w:rsid w:val="00391BFC"/>
    <w:rsid w:val="003A53E1"/>
    <w:rsid w:val="003C24C1"/>
    <w:rsid w:val="00890F1F"/>
    <w:rsid w:val="008A0B02"/>
    <w:rsid w:val="00907BF8"/>
    <w:rsid w:val="00AC3DEE"/>
    <w:rsid w:val="00AC4113"/>
    <w:rsid w:val="00C1065C"/>
    <w:rsid w:val="00E4147B"/>
    <w:rsid w:val="00E85319"/>
    <w:rsid w:val="00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70734"/>
  <w15:chartTrackingRefBased/>
  <w15:docId w15:val="{5A9F4DDE-3F2C-4FDB-A3F4-2DEF6C0D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0pt">
    <w:name w:val="Normal + 10pt"/>
    <w:basedOn w:val="BodyTextIndent"/>
    <w:rsid w:val="00AC4113"/>
    <w:pPr>
      <w:tabs>
        <w:tab w:val="num" w:pos="360"/>
      </w:tabs>
      <w:spacing w:before="60"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41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4113"/>
  </w:style>
  <w:style w:type="paragraph" w:styleId="Header">
    <w:name w:val="header"/>
    <w:basedOn w:val="Normal"/>
    <w:link w:val="HeaderChar"/>
    <w:uiPriority w:val="99"/>
    <w:unhideWhenUsed/>
    <w:rsid w:val="003C2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4C1"/>
  </w:style>
  <w:style w:type="paragraph" w:styleId="Footer">
    <w:name w:val="footer"/>
    <w:basedOn w:val="Normal"/>
    <w:link w:val="FooterChar"/>
    <w:uiPriority w:val="99"/>
    <w:unhideWhenUsed/>
    <w:rsid w:val="003C2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F871-8064-4AA7-99EE-115E1EB8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Cumbria, Northumberland Tyne and Wear NHS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Christopher (He/Him/His) (Safety &amp; Trust Innovation)</dc:creator>
  <cp:keywords/>
  <dc:description/>
  <cp:lastModifiedBy>Sykes, Joanne (She/Her/Hers) (Safety &amp; Trust Innovation)</cp:lastModifiedBy>
  <cp:revision>7</cp:revision>
  <dcterms:created xsi:type="dcterms:W3CDTF">2024-01-16T15:16:00Z</dcterms:created>
  <dcterms:modified xsi:type="dcterms:W3CDTF">2025-12-17T11:38:00Z</dcterms:modified>
</cp:coreProperties>
</file>