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E2488" w14:textId="77777777" w:rsidR="00067DBA" w:rsidRDefault="00067DBA" w:rsidP="00067DBA">
      <w:pPr>
        <w:spacing w:after="200" w:line="276" w:lineRule="auto"/>
      </w:pPr>
    </w:p>
    <w:p w14:paraId="76173AC5" w14:textId="05C0CDA7" w:rsidR="009463E0" w:rsidRDefault="00067DBA" w:rsidP="00181E30">
      <w:pPr>
        <w:spacing w:after="200" w:line="276" w:lineRule="auto"/>
      </w:pPr>
      <w:r w:rsidRPr="00067DBA">
        <w:rPr>
          <w:noProof/>
        </w:rPr>
        <w:drawing>
          <wp:inline distT="0" distB="0" distL="0" distR="0" wp14:anchorId="5BF85022" wp14:editId="501E79AC">
            <wp:extent cx="3149995" cy="958291"/>
            <wp:effectExtent l="0" t="0" r="0" b="0"/>
            <wp:docPr id="2074442378"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42378" name="Picture 1" descr="A close-up of a logo&#10;&#10;AI-generated content may be incorrect."/>
                    <pic:cNvPicPr/>
                  </pic:nvPicPr>
                  <pic:blipFill>
                    <a:blip r:embed="rId8"/>
                    <a:stretch>
                      <a:fillRect/>
                    </a:stretch>
                  </pic:blipFill>
                  <pic:spPr>
                    <a:xfrm>
                      <a:off x="0" y="0"/>
                      <a:ext cx="3173625" cy="965480"/>
                    </a:xfrm>
                    <a:prstGeom prst="rect">
                      <a:avLst/>
                    </a:prstGeom>
                  </pic:spPr>
                </pic:pic>
              </a:graphicData>
            </a:graphic>
          </wp:inline>
        </w:drawing>
      </w:r>
      <w:r w:rsidR="009463E0">
        <w:rPr>
          <w:noProof/>
        </w:rPr>
        <w:drawing>
          <wp:inline distT="0" distB="0" distL="0" distR="0" wp14:anchorId="5AA10757" wp14:editId="66AA2CE2">
            <wp:extent cx="2221185" cy="734461"/>
            <wp:effectExtent l="0" t="0" r="8255" b="8890"/>
            <wp:docPr id="1697068233" name="Picture 5"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68233" name="Picture 5" descr="A logo for a company&#10;&#10;AI-generated content may be incorr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74314" cy="752029"/>
                    </a:xfrm>
                    <a:prstGeom prst="rect">
                      <a:avLst/>
                    </a:prstGeom>
                  </pic:spPr>
                </pic:pic>
              </a:graphicData>
            </a:graphic>
          </wp:inline>
        </w:drawing>
      </w:r>
    </w:p>
    <w:p w14:paraId="53F8F833" w14:textId="75D72C49" w:rsidR="009463E0" w:rsidRDefault="009463E0" w:rsidP="009463E0">
      <w:pPr>
        <w:spacing w:after="200" w:line="276" w:lineRule="auto"/>
        <w:jc w:val="right"/>
      </w:pPr>
    </w:p>
    <w:p w14:paraId="79E06137" w14:textId="77777777" w:rsidR="00181E30" w:rsidRDefault="00181E30" w:rsidP="009463E0">
      <w:pPr>
        <w:spacing w:after="200" w:line="276" w:lineRule="auto"/>
        <w:jc w:val="right"/>
      </w:pPr>
    </w:p>
    <w:p w14:paraId="419CC847" w14:textId="686D4EE3" w:rsidR="009463E0" w:rsidRDefault="00067DBA" w:rsidP="009463E0">
      <w:pPr>
        <w:spacing w:after="200" w:line="276" w:lineRule="auto"/>
        <w:jc w:val="right"/>
      </w:pPr>
      <w:r w:rsidRPr="009463E0">
        <w:rPr>
          <w:noProof/>
        </w:rPr>
        <w:drawing>
          <wp:inline distT="0" distB="0" distL="0" distR="0" wp14:anchorId="44783CB2" wp14:editId="4AA09DB4">
            <wp:extent cx="5731510" cy="3706495"/>
            <wp:effectExtent l="0" t="0" r="2540" b="8255"/>
            <wp:docPr id="1908212089" name="Picture 7" descr="A building with a clock tower&#10;&#10;AI-generated content may be incorrect.">
              <a:extLst xmlns:a="http://schemas.openxmlformats.org/drawingml/2006/main">
                <a:ext uri="{FF2B5EF4-FFF2-40B4-BE49-F238E27FC236}">
                  <a16:creationId xmlns:a16="http://schemas.microsoft.com/office/drawing/2014/main" id="{083B7867-20B9-D7D1-D69F-DD0D4BA75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12089" name="Picture 7" descr="A building with a clock tower&#10;&#10;AI-generated content may be incorrect.">
                      <a:extLst>
                        <a:ext uri="{FF2B5EF4-FFF2-40B4-BE49-F238E27FC236}">
                          <a16:creationId xmlns:a16="http://schemas.microsoft.com/office/drawing/2014/main" id="{083B7867-20B9-D7D1-D69F-DD0D4BA751B3}"/>
                        </a:ext>
                      </a:extLst>
                    </pic:cNvPr>
                    <pic:cNvPicPr>
                      <a:picLocks noChangeAspect="1"/>
                    </pic:cNvPicPr>
                  </pic:nvPicPr>
                  <pic:blipFill>
                    <a:blip r:embed="rId10"/>
                    <a:stretch>
                      <a:fillRect/>
                    </a:stretch>
                  </pic:blipFill>
                  <pic:spPr>
                    <a:xfrm>
                      <a:off x="0" y="0"/>
                      <a:ext cx="5731510" cy="3706495"/>
                    </a:xfrm>
                    <a:prstGeom prst="rect">
                      <a:avLst/>
                    </a:prstGeom>
                  </pic:spPr>
                </pic:pic>
              </a:graphicData>
            </a:graphic>
          </wp:inline>
        </w:drawing>
      </w:r>
    </w:p>
    <w:p w14:paraId="6B27A795" w14:textId="77777777" w:rsidR="009463E0" w:rsidRDefault="009463E0" w:rsidP="009463E0">
      <w:pPr>
        <w:spacing w:after="200" w:line="276" w:lineRule="auto"/>
        <w:jc w:val="right"/>
      </w:pPr>
    </w:p>
    <w:p w14:paraId="333F3ACF" w14:textId="477EA5C9" w:rsidR="009463E0" w:rsidRDefault="009463E0" w:rsidP="009463E0">
      <w:pPr>
        <w:spacing w:after="200" w:line="276" w:lineRule="auto"/>
        <w:jc w:val="right"/>
      </w:pPr>
    </w:p>
    <w:p w14:paraId="37C005A2" w14:textId="77777777" w:rsidR="009463E0" w:rsidRPr="00181E30" w:rsidRDefault="009463E0" w:rsidP="009463E0">
      <w:pPr>
        <w:spacing w:after="200" w:line="276" w:lineRule="auto"/>
        <w:jc w:val="center"/>
        <w:rPr>
          <w:b/>
          <w:bCs/>
          <w:color w:val="0070C0"/>
          <w:kern w:val="36"/>
          <w:sz w:val="72"/>
          <w:szCs w:val="200"/>
          <w:lang w:eastAsia="en-GB"/>
        </w:rPr>
      </w:pPr>
      <w:r w:rsidRPr="00181E30">
        <w:rPr>
          <w:b/>
          <w:bCs/>
          <w:color w:val="0070C0"/>
          <w:kern w:val="36"/>
          <w:sz w:val="72"/>
          <w:szCs w:val="200"/>
          <w:lang w:eastAsia="en-GB"/>
        </w:rPr>
        <w:t>CNTW Estates Strategy</w:t>
      </w:r>
    </w:p>
    <w:p w14:paraId="3BFCE3A6" w14:textId="77777777" w:rsidR="009463E0" w:rsidRPr="00181E30" w:rsidRDefault="009463E0" w:rsidP="009463E0">
      <w:pPr>
        <w:spacing w:after="200" w:line="276" w:lineRule="auto"/>
        <w:jc w:val="center"/>
        <w:rPr>
          <w:b/>
          <w:bCs/>
          <w:color w:val="0070C0"/>
          <w:kern w:val="36"/>
          <w:sz w:val="72"/>
          <w:szCs w:val="200"/>
          <w:lang w:eastAsia="en-GB"/>
        </w:rPr>
      </w:pPr>
      <w:r w:rsidRPr="00181E30">
        <w:rPr>
          <w:b/>
          <w:bCs/>
          <w:color w:val="0070C0"/>
          <w:kern w:val="36"/>
          <w:sz w:val="72"/>
          <w:szCs w:val="200"/>
          <w:lang w:eastAsia="en-GB"/>
        </w:rPr>
        <w:t>2023-2028</w:t>
      </w:r>
    </w:p>
    <w:p w14:paraId="07F4B983" w14:textId="0ECEEEBE" w:rsidR="009463E0" w:rsidRPr="00067DBA" w:rsidRDefault="009463E0" w:rsidP="009463E0">
      <w:pPr>
        <w:spacing w:after="200" w:line="276" w:lineRule="auto"/>
      </w:pPr>
      <w:r>
        <w:br w:type="page"/>
      </w:r>
    </w:p>
    <w:p w14:paraId="04446E4B" w14:textId="26F04382" w:rsidR="001D2E87" w:rsidRPr="0041239A" w:rsidRDefault="001D2E87" w:rsidP="001D2E87">
      <w:pPr>
        <w:pStyle w:val="Heading1"/>
      </w:pPr>
      <w:r>
        <w:lastRenderedPageBreak/>
        <w:t>1</w:t>
      </w:r>
      <w:r w:rsidRPr="0041239A">
        <w:tab/>
        <w:t>Executive summary</w:t>
      </w:r>
    </w:p>
    <w:p w14:paraId="70F25E4F" w14:textId="3045266C" w:rsidR="001D2E87" w:rsidRPr="0043588B" w:rsidRDefault="001D2E87" w:rsidP="001D2E87">
      <w:pPr>
        <w:pStyle w:val="Heading2"/>
        <w:ind w:left="0"/>
        <w:rPr>
          <w:color w:val="0070C0"/>
        </w:rPr>
      </w:pPr>
      <w:r w:rsidRPr="0043588B">
        <w:rPr>
          <w:color w:val="0070C0"/>
        </w:rPr>
        <w:t>1.1</w:t>
      </w:r>
      <w:r w:rsidRPr="0043588B">
        <w:rPr>
          <w:color w:val="0070C0"/>
        </w:rPr>
        <w:tab/>
        <w:t>Introduction</w:t>
      </w:r>
    </w:p>
    <w:p w14:paraId="0B81217C" w14:textId="77777777" w:rsidR="001D2E87" w:rsidRPr="001D2E87" w:rsidRDefault="001D2E87" w:rsidP="001D2E87">
      <w:pPr>
        <w:rPr>
          <w:rFonts w:eastAsia="Calibri"/>
          <w:lang w:eastAsia="en-GB"/>
        </w:rPr>
      </w:pPr>
    </w:p>
    <w:p w14:paraId="1D18E9B9" w14:textId="77777777" w:rsidR="001D2E87" w:rsidRDefault="001D2E87" w:rsidP="001D2E87">
      <w:pPr>
        <w:widowControl w:val="0"/>
        <w:contextualSpacing/>
        <w:rPr>
          <w:rFonts w:eastAsia="Calibri"/>
          <w:color w:val="595959"/>
          <w:sz w:val="24"/>
        </w:rPr>
      </w:pPr>
      <w:r w:rsidRPr="001D2E87">
        <w:rPr>
          <w:rFonts w:eastAsia="Calibri"/>
          <w:color w:val="595959"/>
          <w:sz w:val="24"/>
        </w:rPr>
        <w:t xml:space="preserve">This document sets out the Cumbria, Northumberland, Tyne and Wear NHS Foundation Trust (Trust) Estates Strategy for the period 2023 – 2028. </w:t>
      </w:r>
    </w:p>
    <w:p w14:paraId="0F290380" w14:textId="77777777" w:rsidR="0009344F" w:rsidRPr="001D2E87" w:rsidRDefault="0009344F" w:rsidP="001D2E87">
      <w:pPr>
        <w:widowControl w:val="0"/>
        <w:contextualSpacing/>
        <w:rPr>
          <w:rFonts w:eastAsia="Calibri"/>
          <w:i/>
          <w:color w:val="595959"/>
          <w:sz w:val="24"/>
        </w:rPr>
      </w:pPr>
    </w:p>
    <w:p w14:paraId="5FCB1CC5" w14:textId="364D2310" w:rsidR="001D2E87" w:rsidRDefault="001D2E87" w:rsidP="001D2E87">
      <w:pPr>
        <w:widowControl w:val="0"/>
        <w:contextualSpacing/>
        <w:rPr>
          <w:rFonts w:eastAsia="Calibri"/>
          <w:color w:val="595959"/>
          <w:sz w:val="24"/>
        </w:rPr>
      </w:pPr>
      <w:r w:rsidRPr="001D2E87">
        <w:rPr>
          <w:rFonts w:eastAsia="Calibri"/>
          <w:color w:val="595959"/>
          <w:sz w:val="24"/>
        </w:rPr>
        <w:t xml:space="preserve">The aim of this Estate Strategy is to provide a </w:t>
      </w:r>
      <w:r w:rsidR="002D27B6" w:rsidRPr="001D2E87">
        <w:rPr>
          <w:rFonts w:eastAsia="Calibri"/>
          <w:color w:val="595959"/>
          <w:sz w:val="24"/>
        </w:rPr>
        <w:t>user-friendly</w:t>
      </w:r>
      <w:r w:rsidRPr="001D2E87">
        <w:rPr>
          <w:rFonts w:eastAsia="Calibri"/>
          <w:color w:val="595959"/>
          <w:sz w:val="24"/>
        </w:rPr>
        <w:t xml:space="preserve"> working document that clearly identifies the changes required to the Estate to enable the services provided by the Trust to be delivered in accordance with their strategic objectives. It sets out the </w:t>
      </w:r>
      <w:r w:rsidR="002D27B6" w:rsidRPr="001D2E87">
        <w:rPr>
          <w:rFonts w:eastAsia="Calibri"/>
          <w:color w:val="595959"/>
          <w:sz w:val="24"/>
        </w:rPr>
        <w:t>long-term</w:t>
      </w:r>
      <w:r w:rsidRPr="001D2E87">
        <w:rPr>
          <w:rFonts w:eastAsia="Calibri"/>
          <w:color w:val="595959"/>
          <w:sz w:val="24"/>
        </w:rPr>
        <w:t xml:space="preserve"> plan for developing and managing the Estate in an optimum way </w:t>
      </w:r>
      <w:proofErr w:type="gramStart"/>
      <w:r w:rsidRPr="001D2E87">
        <w:rPr>
          <w:rFonts w:eastAsia="Calibri"/>
          <w:color w:val="595959"/>
          <w:sz w:val="24"/>
        </w:rPr>
        <w:t>in order to</w:t>
      </w:r>
      <w:proofErr w:type="gramEnd"/>
      <w:r w:rsidRPr="001D2E87">
        <w:rPr>
          <w:rFonts w:eastAsia="Calibri"/>
          <w:color w:val="595959"/>
          <w:sz w:val="24"/>
        </w:rPr>
        <w:t xml:space="preserve"> meet the Trusts vision of being a “leader in the delivery of </w:t>
      </w:r>
      <w:r w:rsidR="00084AD8" w:rsidRPr="001D2E87">
        <w:rPr>
          <w:rFonts w:eastAsia="Calibri"/>
          <w:color w:val="595959"/>
          <w:sz w:val="24"/>
        </w:rPr>
        <w:t>high-quality</w:t>
      </w:r>
      <w:r w:rsidRPr="001D2E87">
        <w:rPr>
          <w:rFonts w:eastAsia="Calibri"/>
          <w:color w:val="595959"/>
          <w:sz w:val="24"/>
        </w:rPr>
        <w:t xml:space="preserve"> care and a champion for those we serve” and its underpinning values, strategic ambitions and quality goals. The strategy is aligned to both National and Local Strategies and those of the Integrated Care System (ICS).</w:t>
      </w:r>
    </w:p>
    <w:p w14:paraId="1B94AC22" w14:textId="77777777" w:rsidR="0009344F" w:rsidRPr="001D2E87" w:rsidRDefault="0009344F" w:rsidP="001D2E87">
      <w:pPr>
        <w:widowControl w:val="0"/>
        <w:contextualSpacing/>
        <w:rPr>
          <w:rFonts w:eastAsia="Calibri"/>
          <w:color w:val="595959"/>
          <w:sz w:val="24"/>
        </w:rPr>
      </w:pPr>
    </w:p>
    <w:p w14:paraId="0E1BA51C" w14:textId="45DBBEE7" w:rsidR="001D2E87" w:rsidRPr="001D2E87" w:rsidRDefault="001D2E87" w:rsidP="001D2E87">
      <w:pPr>
        <w:widowControl w:val="0"/>
        <w:contextualSpacing/>
        <w:rPr>
          <w:rFonts w:eastAsia="Calibri"/>
          <w:color w:val="595959"/>
          <w:sz w:val="24"/>
        </w:rPr>
      </w:pPr>
      <w:r w:rsidRPr="001D2E87">
        <w:rPr>
          <w:rFonts w:eastAsia="Calibri"/>
          <w:color w:val="595959"/>
          <w:sz w:val="24"/>
        </w:rPr>
        <w:t xml:space="preserve">This strategy will address three strategic questions; where are we now? where do we want to be? and how do we get there? In answering these </w:t>
      </w:r>
      <w:r w:rsidR="002D27B6" w:rsidRPr="001D2E87">
        <w:rPr>
          <w:rFonts w:eastAsia="Calibri"/>
          <w:color w:val="595959"/>
          <w:sz w:val="24"/>
        </w:rPr>
        <w:t>questions,</w:t>
      </w:r>
      <w:r w:rsidRPr="001D2E87">
        <w:rPr>
          <w:rFonts w:eastAsia="Calibri"/>
          <w:color w:val="595959"/>
          <w:sz w:val="24"/>
        </w:rPr>
        <w:t xml:space="preserve"> the strategy will also </w:t>
      </w:r>
      <w:proofErr w:type="gramStart"/>
      <w:r w:rsidRPr="001D2E87">
        <w:rPr>
          <w:rFonts w:eastAsia="Calibri"/>
          <w:color w:val="595959"/>
          <w:sz w:val="24"/>
        </w:rPr>
        <w:t>take into account</w:t>
      </w:r>
      <w:proofErr w:type="gramEnd"/>
      <w:r w:rsidRPr="001D2E87">
        <w:rPr>
          <w:rFonts w:eastAsia="Calibri"/>
          <w:color w:val="595959"/>
          <w:sz w:val="24"/>
        </w:rPr>
        <w:t xml:space="preserve"> the following:</w:t>
      </w:r>
    </w:p>
    <w:p w14:paraId="5599DA18" w14:textId="77777777" w:rsidR="001D2E87" w:rsidRPr="001D2E87" w:rsidRDefault="001D2E87" w:rsidP="002867BC">
      <w:pPr>
        <w:pStyle w:val="ListParagraph"/>
        <w:widowControl w:val="0"/>
        <w:numPr>
          <w:ilvl w:val="0"/>
          <w:numId w:val="3"/>
        </w:numPr>
        <w:spacing w:before="120"/>
        <w:ind w:right="340"/>
        <w:jc w:val="both"/>
        <w:rPr>
          <w:sz w:val="24"/>
        </w:rPr>
      </w:pPr>
      <w:r w:rsidRPr="001D2E87">
        <w:rPr>
          <w:sz w:val="24"/>
        </w:rPr>
        <w:t>The Trust’s existing estate, including an analysis of its overall condition and suitability and a reflection of the developments that have been carried out over the last few years providing a context of where we have come from and an understanding of where we want to be.</w:t>
      </w:r>
    </w:p>
    <w:p w14:paraId="0A50AA08" w14:textId="77777777" w:rsidR="001D2E87" w:rsidRPr="001D2E87" w:rsidRDefault="001D2E87" w:rsidP="002867BC">
      <w:pPr>
        <w:pStyle w:val="ListParagraph"/>
        <w:widowControl w:val="0"/>
        <w:numPr>
          <w:ilvl w:val="0"/>
          <w:numId w:val="3"/>
        </w:numPr>
        <w:spacing w:before="120"/>
        <w:ind w:right="340"/>
        <w:jc w:val="both"/>
        <w:rPr>
          <w:sz w:val="24"/>
        </w:rPr>
      </w:pPr>
      <w:r w:rsidRPr="001D2E87">
        <w:rPr>
          <w:sz w:val="24"/>
        </w:rPr>
        <w:t>How the service development strategies of the clinical and support services teams along with relevant external factors influence the way in which the estate is provided and needs to be developed.</w:t>
      </w:r>
    </w:p>
    <w:p w14:paraId="5397AA2E" w14:textId="77777777" w:rsidR="001D2E87" w:rsidRPr="001D2E87" w:rsidRDefault="001D2E87" w:rsidP="002867BC">
      <w:pPr>
        <w:pStyle w:val="ListParagraph"/>
        <w:widowControl w:val="0"/>
        <w:numPr>
          <w:ilvl w:val="0"/>
          <w:numId w:val="3"/>
        </w:numPr>
        <w:spacing w:before="120"/>
        <w:ind w:right="340"/>
        <w:jc w:val="both"/>
        <w:rPr>
          <w:sz w:val="24"/>
        </w:rPr>
      </w:pPr>
      <w:r w:rsidRPr="001D2E87">
        <w:rPr>
          <w:sz w:val="24"/>
        </w:rPr>
        <w:t>The proposed changes to the Estate, providing an environment suitable for the delivery of the Trusts services over the next 5 years and beyond, supported by an investment programme which includes rebuilding, upgrading and delivery of the changes required.</w:t>
      </w:r>
    </w:p>
    <w:p w14:paraId="7C68862B" w14:textId="77777777" w:rsidR="001D2E87" w:rsidRPr="001D2E87" w:rsidRDefault="001D2E87" w:rsidP="002867BC">
      <w:pPr>
        <w:pStyle w:val="ListParagraph"/>
        <w:widowControl w:val="0"/>
        <w:numPr>
          <w:ilvl w:val="0"/>
          <w:numId w:val="3"/>
        </w:numPr>
        <w:spacing w:before="120"/>
        <w:ind w:right="340"/>
        <w:jc w:val="both"/>
        <w:rPr>
          <w:sz w:val="24"/>
        </w:rPr>
      </w:pPr>
      <w:r w:rsidRPr="001D2E87">
        <w:rPr>
          <w:sz w:val="24"/>
        </w:rPr>
        <w:t xml:space="preserve">The </w:t>
      </w:r>
      <w:r w:rsidRPr="001D2E87">
        <w:rPr>
          <w:b/>
          <w:sz w:val="24"/>
        </w:rPr>
        <w:t>significant challenges</w:t>
      </w:r>
      <w:r w:rsidRPr="001D2E87">
        <w:rPr>
          <w:sz w:val="24"/>
        </w:rPr>
        <w:t xml:space="preserve"> faced by the organisation in respect of </w:t>
      </w:r>
      <w:r w:rsidRPr="001D2E87">
        <w:rPr>
          <w:b/>
          <w:sz w:val="24"/>
        </w:rPr>
        <w:t>access to capital</w:t>
      </w:r>
      <w:r w:rsidRPr="001D2E87">
        <w:rPr>
          <w:sz w:val="24"/>
        </w:rPr>
        <w:t xml:space="preserve"> funds and the restrictions imposed on CNTW as they operate to the capital departmental expenditure limit (CDEL) in place across the ICS.</w:t>
      </w:r>
    </w:p>
    <w:p w14:paraId="50F00932" w14:textId="77777777" w:rsidR="001D2E87" w:rsidRPr="00020551" w:rsidRDefault="001D2E87" w:rsidP="002A19E4">
      <w:pPr>
        <w:pStyle w:val="ListParagraph"/>
        <w:ind w:left="1080"/>
      </w:pPr>
    </w:p>
    <w:p w14:paraId="239D9A75" w14:textId="67DFB8E0" w:rsidR="001D2E87" w:rsidRPr="00411C59" w:rsidRDefault="001D2E87" w:rsidP="001D2E87">
      <w:pPr>
        <w:pStyle w:val="Heading2"/>
        <w:ind w:left="0"/>
      </w:pPr>
      <w:r>
        <w:t>1.2</w:t>
      </w:r>
      <w:r w:rsidRPr="00411C59">
        <w:tab/>
        <w:t>Where are we now?</w:t>
      </w:r>
    </w:p>
    <w:p w14:paraId="04081B91" w14:textId="77777777" w:rsidR="001D2E87" w:rsidRDefault="001D2E87" w:rsidP="00FF77DD">
      <w:pPr>
        <w:rPr>
          <w:b/>
          <w:color w:val="1F497D" w:themeColor="text2"/>
        </w:rPr>
      </w:pPr>
    </w:p>
    <w:p w14:paraId="703B456E" w14:textId="430A7A71" w:rsidR="001D2E87" w:rsidRPr="0043588B" w:rsidRDefault="001D2E87" w:rsidP="00FF77DD">
      <w:pPr>
        <w:rPr>
          <w:b/>
          <w:color w:val="0070C0"/>
        </w:rPr>
      </w:pPr>
      <w:r w:rsidRPr="0043588B">
        <w:rPr>
          <w:b/>
          <w:color w:val="0070C0"/>
        </w:rPr>
        <w:t>Overview</w:t>
      </w:r>
    </w:p>
    <w:p w14:paraId="02F7AF7D" w14:textId="77777777" w:rsidR="00C81228" w:rsidRPr="00411C59" w:rsidRDefault="00C81228" w:rsidP="00FF77DD">
      <w:pPr>
        <w:rPr>
          <w:b/>
          <w:color w:val="1F497D" w:themeColor="text2"/>
        </w:rPr>
      </w:pPr>
    </w:p>
    <w:p w14:paraId="2CE37F61" w14:textId="46164D56" w:rsidR="001D2E87" w:rsidRDefault="001D2E87" w:rsidP="007F4C98">
      <w:pPr>
        <w:rPr>
          <w:rFonts w:cs="Arial"/>
          <w:sz w:val="24"/>
        </w:rPr>
      </w:pPr>
      <w:r>
        <w:t xml:space="preserve">Cumbria, Northumberland, Tyne and Wear NHS Foundation Trust (CNTW) was formed on </w:t>
      </w:r>
      <w:r w:rsidRPr="001D2E87">
        <w:rPr>
          <w:rFonts w:cs="Arial"/>
          <w:sz w:val="24"/>
        </w:rPr>
        <w:t>the 1</w:t>
      </w:r>
      <w:r w:rsidRPr="001D2E87">
        <w:rPr>
          <w:rFonts w:cs="Arial"/>
          <w:sz w:val="24"/>
          <w:vertAlign w:val="superscript"/>
        </w:rPr>
        <w:t>st</w:t>
      </w:r>
      <w:r w:rsidRPr="001D2E87">
        <w:rPr>
          <w:rFonts w:cs="Arial"/>
          <w:sz w:val="24"/>
        </w:rPr>
        <w:t xml:space="preserve"> of October 2019 following the transfer of mental health and learning disability services from Cumbria Partnership NHS Foundation Trust to Northumberland, Tyne and Wear NHS Foundation Trust. Northumberland, Tyne and Wear NHS Trust (NTW) was established on 1</w:t>
      </w:r>
      <w:r w:rsidRPr="001D2E87">
        <w:rPr>
          <w:rFonts w:cs="Arial"/>
          <w:sz w:val="24"/>
          <w:vertAlign w:val="superscript"/>
        </w:rPr>
        <w:t>st</w:t>
      </w:r>
      <w:r w:rsidRPr="001D2E87">
        <w:rPr>
          <w:rFonts w:cs="Arial"/>
          <w:sz w:val="24"/>
        </w:rPr>
        <w:t xml:space="preserve"> of April 2006 following the merger of three Trusts: Newcastle, North Tyneside and Northumberland Mental Health NHS Trust, South of Tyne and Wearside Mental Health NHS Trust and Northgate and Prudhoe NHS Trust. The Trust achieved authorisation as an NHS Foundation Trust on 1 December 2009. </w:t>
      </w:r>
    </w:p>
    <w:p w14:paraId="5742363C" w14:textId="77777777" w:rsidR="0009344F" w:rsidRPr="001D2E87" w:rsidRDefault="0009344F" w:rsidP="007F4C98">
      <w:pPr>
        <w:rPr>
          <w:rFonts w:cs="Arial"/>
          <w:sz w:val="24"/>
        </w:rPr>
      </w:pPr>
    </w:p>
    <w:p w14:paraId="2E9A6DCD" w14:textId="607E0F04" w:rsidR="001D2E87" w:rsidRPr="001D2E87" w:rsidRDefault="001D2E87" w:rsidP="007F4C98">
      <w:pPr>
        <w:rPr>
          <w:rFonts w:cs="Arial"/>
          <w:sz w:val="24"/>
        </w:rPr>
      </w:pPr>
      <w:r w:rsidRPr="001D2E87">
        <w:rPr>
          <w:rFonts w:cs="Arial"/>
          <w:sz w:val="24"/>
        </w:rPr>
        <w:t xml:space="preserve">Since its inception in 2006 the Trust has undergone significant changes both in the makeup of its Estate and the expansion of its geographical area to provide care in North Cumbria and a CAMHS service in Middlesbrough. The Trust now operates from over 75 sites across serving a population of approximately 1.7 </w:t>
      </w:r>
      <w:r w:rsidR="002D27B6" w:rsidRPr="001D2E87">
        <w:rPr>
          <w:rFonts w:cs="Arial"/>
          <w:sz w:val="24"/>
        </w:rPr>
        <w:t>million and</w:t>
      </w:r>
      <w:r w:rsidRPr="001D2E87">
        <w:rPr>
          <w:rFonts w:cs="Arial"/>
          <w:sz w:val="24"/>
        </w:rPr>
        <w:t xml:space="preserve"> providing services across an area totalling 4,800 square miles.</w:t>
      </w:r>
    </w:p>
    <w:p w14:paraId="17EB912A" w14:textId="06DA7BD7" w:rsidR="001D2E87" w:rsidRDefault="001D2E87" w:rsidP="00020551">
      <w:pPr>
        <w:rPr>
          <w:rFonts w:cs="Arial"/>
          <w:b/>
          <w:color w:val="1F497D" w:themeColor="text2"/>
          <w:sz w:val="24"/>
        </w:rPr>
      </w:pPr>
    </w:p>
    <w:p w14:paraId="757328D6" w14:textId="36F2B3E1" w:rsidR="001D2E87" w:rsidRPr="0043588B" w:rsidRDefault="001D2E87" w:rsidP="00020551">
      <w:pPr>
        <w:rPr>
          <w:rFonts w:cs="Arial"/>
          <w:b/>
          <w:color w:val="0070C0"/>
          <w:sz w:val="24"/>
        </w:rPr>
      </w:pPr>
      <w:r w:rsidRPr="0043588B">
        <w:rPr>
          <w:rFonts w:cs="Arial"/>
          <w:b/>
          <w:color w:val="0070C0"/>
          <w:sz w:val="24"/>
        </w:rPr>
        <w:t>Clinical and Operational Service Delivery</w:t>
      </w:r>
    </w:p>
    <w:p w14:paraId="63FD7797" w14:textId="77777777" w:rsidR="00C81228" w:rsidRPr="0043588B" w:rsidRDefault="00C81228" w:rsidP="00020551">
      <w:pPr>
        <w:rPr>
          <w:rFonts w:cs="Arial"/>
          <w:b/>
          <w:color w:val="0070C0"/>
          <w:sz w:val="24"/>
        </w:rPr>
      </w:pPr>
    </w:p>
    <w:p w14:paraId="5DF29200" w14:textId="72DD3FA2" w:rsidR="001D2E87" w:rsidRPr="001D2E87" w:rsidRDefault="001D2E87" w:rsidP="00706C7E">
      <w:pPr>
        <w:rPr>
          <w:rFonts w:cs="Arial"/>
          <w:sz w:val="24"/>
        </w:rPr>
      </w:pPr>
      <w:r w:rsidRPr="001D2E87">
        <w:rPr>
          <w:rFonts w:cs="Arial"/>
          <w:sz w:val="24"/>
        </w:rPr>
        <w:t xml:space="preserve">The Trust provides a range of mental health, learning disability and specialist services across the north east and north Cumbria, with wards and day services; a number of community teams, </w:t>
      </w:r>
      <w:r w:rsidR="002D27B6" w:rsidRPr="001D2E87">
        <w:rPr>
          <w:rFonts w:cs="Arial"/>
          <w:sz w:val="24"/>
        </w:rPr>
        <w:t>including</w:t>
      </w:r>
      <w:r w:rsidRPr="001D2E87">
        <w:rPr>
          <w:rFonts w:cs="Arial"/>
          <w:sz w:val="24"/>
        </w:rPr>
        <w:t xml:space="preserve"> drug and alcohol, psychosis, autism and ADHD, homelessness and street triage with Northumbria Police.</w:t>
      </w:r>
    </w:p>
    <w:p w14:paraId="3DD7F85F" w14:textId="77777777" w:rsidR="001D2E87" w:rsidRPr="001D2E87" w:rsidRDefault="001D2E87" w:rsidP="00020551">
      <w:pPr>
        <w:rPr>
          <w:rFonts w:cs="Arial"/>
          <w:sz w:val="24"/>
        </w:rPr>
      </w:pPr>
      <w:r w:rsidRPr="001D2E87">
        <w:rPr>
          <w:rFonts w:cs="Arial"/>
          <w:sz w:val="24"/>
        </w:rPr>
        <w:t xml:space="preserve">The clinical services provided by the Trust are organised into 4 Clinical Business Units (CBU’s) covering each of the geographical locations, with each CBU incorporating access, community, in-patient and specialist services teams. </w:t>
      </w:r>
    </w:p>
    <w:p w14:paraId="21601D58" w14:textId="77777777" w:rsidR="001D2E87" w:rsidRPr="001D2E87" w:rsidRDefault="001D2E87" w:rsidP="00E1509B">
      <w:pPr>
        <w:rPr>
          <w:rFonts w:cs="Arial"/>
          <w:sz w:val="24"/>
        </w:rPr>
      </w:pPr>
      <w:proofErr w:type="gramStart"/>
      <w:r w:rsidRPr="001D2E87">
        <w:rPr>
          <w:rFonts w:cs="Arial"/>
          <w:sz w:val="24"/>
        </w:rPr>
        <w:t>The majority of</w:t>
      </w:r>
      <w:proofErr w:type="gramEnd"/>
      <w:r w:rsidRPr="001D2E87">
        <w:rPr>
          <w:rFonts w:cs="Arial"/>
          <w:sz w:val="24"/>
        </w:rPr>
        <w:t xml:space="preserve"> corporate services are based at St Nicholas Hospital, including finance, workforce, informatics, and the executive team. It is also a base for the Trusts subsidiary company - NTW Solutions. </w:t>
      </w:r>
    </w:p>
    <w:p w14:paraId="4E97C0B2" w14:textId="77777777" w:rsidR="001D2E87" w:rsidRDefault="001D2E87" w:rsidP="002E2D4C">
      <w:pPr>
        <w:rPr>
          <w:rFonts w:cs="Arial"/>
          <w:b/>
          <w:color w:val="1F497D" w:themeColor="text2"/>
          <w:sz w:val="24"/>
        </w:rPr>
      </w:pPr>
    </w:p>
    <w:p w14:paraId="7F5281B8" w14:textId="163D73FF" w:rsidR="001D2E87" w:rsidRPr="0043588B" w:rsidRDefault="001D2E87" w:rsidP="002E2D4C">
      <w:pPr>
        <w:rPr>
          <w:rFonts w:cs="Arial"/>
          <w:b/>
          <w:color w:val="0070C0"/>
          <w:sz w:val="24"/>
        </w:rPr>
      </w:pPr>
      <w:r w:rsidRPr="0043588B">
        <w:rPr>
          <w:rFonts w:cs="Arial"/>
          <w:b/>
          <w:color w:val="0070C0"/>
          <w:sz w:val="24"/>
        </w:rPr>
        <w:t>Care Quality Commission (CQC) Rating</w:t>
      </w:r>
    </w:p>
    <w:p w14:paraId="2B14D086" w14:textId="77777777" w:rsidR="00C81228" w:rsidRPr="001D2E87" w:rsidRDefault="00C81228" w:rsidP="002E2D4C">
      <w:pPr>
        <w:rPr>
          <w:rFonts w:cs="Arial"/>
          <w:b/>
          <w:color w:val="1F497D" w:themeColor="text2"/>
          <w:sz w:val="24"/>
        </w:rPr>
      </w:pPr>
    </w:p>
    <w:p w14:paraId="1B477E5C" w14:textId="77777777" w:rsidR="001D2E87" w:rsidRPr="001D2E87" w:rsidRDefault="001D2E87" w:rsidP="002E2D4C">
      <w:pPr>
        <w:rPr>
          <w:rFonts w:cs="Arial"/>
          <w:sz w:val="24"/>
        </w:rPr>
      </w:pPr>
      <w:r w:rsidRPr="001D2E87">
        <w:rPr>
          <w:rFonts w:cs="Arial"/>
          <w:sz w:val="24"/>
        </w:rPr>
        <w:t xml:space="preserve">The CQC, the independent regulator of health and social care, have rated the Trust as </w:t>
      </w:r>
      <w:r w:rsidRPr="001D2E87">
        <w:rPr>
          <w:rFonts w:cs="Arial"/>
          <w:b/>
          <w:i/>
          <w:sz w:val="24"/>
        </w:rPr>
        <w:t xml:space="preserve">“Outstanding” </w:t>
      </w:r>
      <w:r w:rsidRPr="001D2E87">
        <w:rPr>
          <w:rFonts w:cs="Arial"/>
          <w:sz w:val="24"/>
        </w:rPr>
        <w:t>in their last inspection report published in August 2022. Inspections have identified some areas where environmental or estates related safety improvements are required and these have either been addressed or plans are in progress.</w:t>
      </w:r>
    </w:p>
    <w:p w14:paraId="578A0EE6" w14:textId="77777777" w:rsidR="001D2E87" w:rsidRPr="0043588B" w:rsidRDefault="001D2E87" w:rsidP="002E2D4C">
      <w:pPr>
        <w:rPr>
          <w:rFonts w:cs="Arial"/>
          <w:b/>
          <w:color w:val="0070C0"/>
          <w:sz w:val="24"/>
        </w:rPr>
      </w:pPr>
    </w:p>
    <w:p w14:paraId="20C7557B" w14:textId="2EC85C4F" w:rsidR="001D2E87" w:rsidRPr="0043588B" w:rsidRDefault="001D2E87" w:rsidP="002E2D4C">
      <w:pPr>
        <w:rPr>
          <w:rFonts w:cs="Arial"/>
          <w:b/>
          <w:color w:val="0070C0"/>
          <w:sz w:val="24"/>
        </w:rPr>
      </w:pPr>
      <w:r w:rsidRPr="0043588B">
        <w:rPr>
          <w:rFonts w:cs="Arial"/>
          <w:b/>
          <w:color w:val="0070C0"/>
          <w:sz w:val="24"/>
        </w:rPr>
        <w:t>PLACE Inspections (2019 last assessment)</w:t>
      </w:r>
    </w:p>
    <w:p w14:paraId="3528417B" w14:textId="77777777" w:rsidR="00C81228" w:rsidRPr="001D2E87" w:rsidRDefault="00C81228" w:rsidP="002E2D4C">
      <w:pPr>
        <w:rPr>
          <w:rFonts w:cs="Arial"/>
          <w:b/>
          <w:color w:val="1F497D" w:themeColor="text2"/>
          <w:sz w:val="24"/>
        </w:rPr>
      </w:pPr>
    </w:p>
    <w:p w14:paraId="1A272328" w14:textId="77777777" w:rsidR="001D2E87" w:rsidRPr="001D2E87" w:rsidRDefault="001D2E87" w:rsidP="002E2D4C">
      <w:pPr>
        <w:spacing w:line="276" w:lineRule="auto"/>
        <w:rPr>
          <w:rFonts w:cs="Arial"/>
          <w:sz w:val="24"/>
        </w:rPr>
      </w:pPr>
      <w:r w:rsidRPr="001D2E87">
        <w:rPr>
          <w:rFonts w:cs="Arial"/>
          <w:sz w:val="24"/>
        </w:rPr>
        <w:t>PLACE is an assessment programme run by NHS Digital on behalf of NHS England and NHS Improvement (NHSE/I) which is completed on an annual basis.</w:t>
      </w:r>
    </w:p>
    <w:p w14:paraId="6A7C7658" w14:textId="77777777" w:rsidR="001D2E87" w:rsidRPr="001D2E87" w:rsidRDefault="001D2E87" w:rsidP="002E2D4C">
      <w:pPr>
        <w:rPr>
          <w:rFonts w:cs="Arial"/>
          <w:sz w:val="24"/>
        </w:rPr>
      </w:pPr>
      <w:r w:rsidRPr="001D2E87">
        <w:rPr>
          <w:rFonts w:cs="Arial"/>
          <w:sz w:val="24"/>
        </w:rPr>
        <w:t xml:space="preserve">The PLACE assessments indicate that within patient areas the </w:t>
      </w:r>
      <w:proofErr w:type="gramStart"/>
      <w:r w:rsidRPr="001D2E87">
        <w:rPr>
          <w:rFonts w:cs="Arial"/>
          <w:sz w:val="24"/>
        </w:rPr>
        <w:t>main focus</w:t>
      </w:r>
      <w:proofErr w:type="gramEnd"/>
      <w:r w:rsidRPr="001D2E87">
        <w:rPr>
          <w:rFonts w:cs="Arial"/>
          <w:sz w:val="24"/>
        </w:rPr>
        <w:t xml:space="preserve"> for potential improvements were in areas of privacy &amp; dignity, dementia and disability. </w:t>
      </w:r>
    </w:p>
    <w:p w14:paraId="1F3D8F21" w14:textId="77777777" w:rsidR="001D2E87" w:rsidRPr="0043588B" w:rsidRDefault="001D2E87" w:rsidP="00411C59">
      <w:pPr>
        <w:rPr>
          <w:rFonts w:cs="Arial"/>
          <w:b/>
          <w:color w:val="0070C0"/>
          <w:sz w:val="24"/>
        </w:rPr>
      </w:pPr>
    </w:p>
    <w:p w14:paraId="43D4EC61" w14:textId="666A8357" w:rsidR="001D2E87" w:rsidRPr="0043588B" w:rsidRDefault="001D2E87" w:rsidP="00411C59">
      <w:pPr>
        <w:rPr>
          <w:rFonts w:cs="Arial"/>
          <w:b/>
          <w:color w:val="0070C0"/>
          <w:sz w:val="24"/>
        </w:rPr>
      </w:pPr>
      <w:r w:rsidRPr="0043588B">
        <w:rPr>
          <w:rFonts w:cs="Arial"/>
          <w:b/>
          <w:color w:val="0070C0"/>
          <w:sz w:val="24"/>
        </w:rPr>
        <w:t>Past Estate Developments</w:t>
      </w:r>
    </w:p>
    <w:p w14:paraId="0A567EEE" w14:textId="77777777" w:rsidR="00C81228" w:rsidRPr="001D2E87" w:rsidRDefault="00C81228" w:rsidP="00411C59">
      <w:pPr>
        <w:rPr>
          <w:rFonts w:cs="Arial"/>
          <w:b/>
          <w:color w:val="1F497D" w:themeColor="text2"/>
          <w:sz w:val="24"/>
        </w:rPr>
      </w:pPr>
    </w:p>
    <w:p w14:paraId="5A7D19FB" w14:textId="77777777" w:rsidR="001D2E87" w:rsidRPr="001D2E87" w:rsidRDefault="001D2E87" w:rsidP="00411C59">
      <w:pPr>
        <w:rPr>
          <w:rFonts w:cs="Arial"/>
          <w:sz w:val="24"/>
        </w:rPr>
      </w:pPr>
      <w:r w:rsidRPr="001D2E87">
        <w:rPr>
          <w:rFonts w:cs="Arial"/>
          <w:sz w:val="24"/>
        </w:rPr>
        <w:t>Previous estate strategies have focused on a range of key priorities which are summarised as:</w:t>
      </w:r>
    </w:p>
    <w:p w14:paraId="0C5A9CBC" w14:textId="77777777" w:rsidR="001D2E87" w:rsidRPr="001D2E87" w:rsidRDefault="001D2E87" w:rsidP="002867BC">
      <w:pPr>
        <w:pStyle w:val="ListParagraph"/>
        <w:widowControl w:val="0"/>
        <w:numPr>
          <w:ilvl w:val="0"/>
          <w:numId w:val="12"/>
        </w:numPr>
        <w:spacing w:before="120"/>
        <w:ind w:right="340"/>
        <w:contextualSpacing w:val="0"/>
        <w:jc w:val="both"/>
        <w:rPr>
          <w:rFonts w:cs="Arial"/>
          <w:sz w:val="24"/>
        </w:rPr>
      </w:pPr>
      <w:r w:rsidRPr="001D2E87">
        <w:rPr>
          <w:rFonts w:cs="Arial"/>
          <w:sz w:val="24"/>
        </w:rPr>
        <w:t>Reprovision of facilities to replace poor quality accommodation</w:t>
      </w:r>
    </w:p>
    <w:p w14:paraId="0B3B9704" w14:textId="77777777" w:rsidR="001D2E87" w:rsidRPr="001D2E87" w:rsidRDefault="001D2E87" w:rsidP="002867BC">
      <w:pPr>
        <w:pStyle w:val="ListParagraph"/>
        <w:widowControl w:val="0"/>
        <w:numPr>
          <w:ilvl w:val="0"/>
          <w:numId w:val="12"/>
        </w:numPr>
        <w:spacing w:before="120"/>
        <w:ind w:right="340"/>
        <w:contextualSpacing w:val="0"/>
        <w:jc w:val="both"/>
        <w:rPr>
          <w:rFonts w:cs="Arial"/>
          <w:sz w:val="24"/>
        </w:rPr>
      </w:pPr>
      <w:r w:rsidRPr="001D2E87">
        <w:rPr>
          <w:rFonts w:cs="Arial"/>
          <w:sz w:val="24"/>
        </w:rPr>
        <w:t>Reduction in the backlog maintenance position</w:t>
      </w:r>
    </w:p>
    <w:p w14:paraId="081D2935" w14:textId="77777777" w:rsidR="001D2E87" w:rsidRPr="001D2E87" w:rsidRDefault="001D2E87" w:rsidP="002867BC">
      <w:pPr>
        <w:pStyle w:val="ListParagraph"/>
        <w:widowControl w:val="0"/>
        <w:numPr>
          <w:ilvl w:val="0"/>
          <w:numId w:val="12"/>
        </w:numPr>
        <w:spacing w:before="120"/>
        <w:ind w:right="340"/>
        <w:contextualSpacing w:val="0"/>
        <w:jc w:val="both"/>
        <w:rPr>
          <w:rFonts w:cs="Arial"/>
          <w:sz w:val="24"/>
        </w:rPr>
      </w:pPr>
      <w:r w:rsidRPr="001D2E87">
        <w:rPr>
          <w:rFonts w:cs="Arial"/>
          <w:sz w:val="24"/>
        </w:rPr>
        <w:t>Optimisation of the estate; right size, place, cost effective and meeting user needs</w:t>
      </w:r>
    </w:p>
    <w:p w14:paraId="61C284EF" w14:textId="77777777" w:rsidR="001D2E87" w:rsidRPr="001D2E87" w:rsidRDefault="001D2E87" w:rsidP="002867BC">
      <w:pPr>
        <w:pStyle w:val="ListParagraph"/>
        <w:widowControl w:val="0"/>
        <w:numPr>
          <w:ilvl w:val="0"/>
          <w:numId w:val="12"/>
        </w:numPr>
        <w:spacing w:before="120"/>
        <w:ind w:right="340"/>
        <w:contextualSpacing w:val="0"/>
        <w:jc w:val="both"/>
        <w:rPr>
          <w:rFonts w:cs="Arial"/>
          <w:sz w:val="24"/>
        </w:rPr>
      </w:pPr>
      <w:r w:rsidRPr="001D2E87">
        <w:rPr>
          <w:rFonts w:cs="Arial"/>
          <w:sz w:val="24"/>
        </w:rPr>
        <w:t>Ensuring the patient environment is at an acceptable level.</w:t>
      </w:r>
    </w:p>
    <w:p w14:paraId="39780435" w14:textId="77777777" w:rsidR="001D2E87" w:rsidRDefault="001D2E87" w:rsidP="00020551">
      <w:pPr>
        <w:rPr>
          <w:rFonts w:cs="Arial"/>
          <w:sz w:val="24"/>
        </w:rPr>
      </w:pPr>
    </w:p>
    <w:p w14:paraId="7E72A4E1" w14:textId="17A89565" w:rsidR="001D2E87" w:rsidRPr="001D2E87" w:rsidRDefault="001D2E87" w:rsidP="00020551">
      <w:pPr>
        <w:rPr>
          <w:rFonts w:cs="Arial"/>
          <w:sz w:val="24"/>
        </w:rPr>
      </w:pPr>
      <w:r w:rsidRPr="001D2E87">
        <w:rPr>
          <w:rFonts w:cs="Arial"/>
          <w:sz w:val="24"/>
        </w:rPr>
        <w:t xml:space="preserve">Since the last Estates Strategy and the period thereafter, the above priorities were addressed through </w:t>
      </w:r>
      <w:proofErr w:type="gramStart"/>
      <w:r w:rsidRPr="001D2E87">
        <w:rPr>
          <w:rFonts w:cs="Arial"/>
          <w:sz w:val="24"/>
        </w:rPr>
        <w:t>a number of</w:t>
      </w:r>
      <w:proofErr w:type="gramEnd"/>
      <w:r w:rsidRPr="001D2E87">
        <w:rPr>
          <w:rFonts w:cs="Arial"/>
          <w:sz w:val="24"/>
        </w:rPr>
        <w:t xml:space="preserve"> significant projects and initiatives which have been </w:t>
      </w:r>
      <w:r w:rsidRPr="001D2E87">
        <w:rPr>
          <w:rFonts w:cs="Arial"/>
          <w:b/>
          <w:sz w:val="24"/>
        </w:rPr>
        <w:t>delivered</w:t>
      </w:r>
      <w:r w:rsidRPr="001D2E87">
        <w:rPr>
          <w:rFonts w:cs="Arial"/>
          <w:sz w:val="24"/>
        </w:rPr>
        <w:t xml:space="preserve">, including: </w:t>
      </w:r>
    </w:p>
    <w:p w14:paraId="0F2C46B3"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Ferndene children’s inpatient accommodation</w:t>
      </w:r>
    </w:p>
    <w:p w14:paraId="30A0F75A"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 xml:space="preserve">Hopewood Park </w:t>
      </w:r>
    </w:p>
    <w:p w14:paraId="2A3E059F"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Roker, Mowbray and Cleadon on the Monkwearmouth site</w:t>
      </w:r>
    </w:p>
    <w:p w14:paraId="286A7B02"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Tyne - Long Term Low Secure re-provision (Villa 19 Replacement, Northgate Site)</w:t>
      </w:r>
    </w:p>
    <w:p w14:paraId="17FDB1D4"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Alnwood improvements at St Nicholas Hospital</w:t>
      </w:r>
    </w:p>
    <w:p w14:paraId="7A9BCB08"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Mitford - autism unit replacing Villa’s 11 and 16 at Northgate</w:t>
      </w:r>
    </w:p>
    <w:p w14:paraId="45C8FAE0"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lastRenderedPageBreak/>
        <w:t>Community transformation project</w:t>
      </w:r>
    </w:p>
    <w:p w14:paraId="4A4D3EB6"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Edenwood modular building at Carleton Clinic</w:t>
      </w:r>
    </w:p>
    <w:p w14:paraId="106BB612"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Development of a Medical Education Facility on the St Nicholas Hospital site</w:t>
      </w:r>
    </w:p>
    <w:p w14:paraId="0F347DE0" w14:textId="77777777" w:rsidR="001D2E87" w:rsidRPr="001D2E87" w:rsidRDefault="001D2E87" w:rsidP="002867BC">
      <w:pPr>
        <w:pStyle w:val="ListParagraph"/>
        <w:widowControl w:val="0"/>
        <w:numPr>
          <w:ilvl w:val="0"/>
          <w:numId w:val="11"/>
        </w:numPr>
        <w:spacing w:before="120"/>
        <w:ind w:right="340"/>
        <w:contextualSpacing w:val="0"/>
        <w:jc w:val="both"/>
        <w:rPr>
          <w:rFonts w:cs="Arial"/>
          <w:sz w:val="24"/>
        </w:rPr>
      </w:pPr>
      <w:r w:rsidRPr="001D2E87">
        <w:rPr>
          <w:rFonts w:cs="Arial"/>
          <w:sz w:val="24"/>
        </w:rPr>
        <w:t xml:space="preserve">Disposal of surplus land and assets </w:t>
      </w:r>
    </w:p>
    <w:p w14:paraId="3A71559D" w14:textId="77777777" w:rsidR="001D2E87" w:rsidRPr="0009344F" w:rsidRDefault="001D2E87" w:rsidP="00411C59">
      <w:pPr>
        <w:rPr>
          <w:rFonts w:cs="Arial"/>
          <w:b/>
          <w:color w:val="1F497D" w:themeColor="text2"/>
          <w:sz w:val="10"/>
          <w:szCs w:val="10"/>
        </w:rPr>
      </w:pPr>
    </w:p>
    <w:p w14:paraId="6BCDA9BA" w14:textId="4C4627CA" w:rsidR="001D2E87" w:rsidRPr="0043588B" w:rsidRDefault="001D2E87" w:rsidP="00411C59">
      <w:pPr>
        <w:rPr>
          <w:rFonts w:cs="Arial"/>
          <w:b/>
          <w:color w:val="0070C0"/>
          <w:sz w:val="24"/>
        </w:rPr>
      </w:pPr>
      <w:r w:rsidRPr="0043588B">
        <w:rPr>
          <w:rFonts w:cs="Arial"/>
          <w:b/>
          <w:color w:val="0070C0"/>
          <w:sz w:val="24"/>
        </w:rPr>
        <w:t>Current Estate Developments (Under Construction / Planning)</w:t>
      </w:r>
    </w:p>
    <w:p w14:paraId="23B0892C" w14:textId="77777777" w:rsidR="00C81228" w:rsidRPr="001D2E87" w:rsidRDefault="00C81228" w:rsidP="00411C59">
      <w:pPr>
        <w:rPr>
          <w:rFonts w:cs="Arial"/>
          <w:b/>
          <w:color w:val="1F497D" w:themeColor="text2"/>
          <w:sz w:val="24"/>
        </w:rPr>
      </w:pPr>
    </w:p>
    <w:p w14:paraId="4BF53CFB" w14:textId="0404BED0" w:rsidR="001D2E87" w:rsidRPr="001D2E87" w:rsidRDefault="001D2E87" w:rsidP="001D2E87">
      <w:pPr>
        <w:spacing w:after="100" w:afterAutospacing="1"/>
        <w:rPr>
          <w:rFonts w:cs="Arial"/>
          <w:sz w:val="24"/>
        </w:rPr>
      </w:pPr>
      <w:r w:rsidRPr="001D2E87">
        <w:rPr>
          <w:rFonts w:cs="Arial"/>
          <w:sz w:val="24"/>
        </w:rPr>
        <w:t xml:space="preserve">In addition to the above there are </w:t>
      </w:r>
      <w:proofErr w:type="gramStart"/>
      <w:r w:rsidRPr="001D2E87">
        <w:rPr>
          <w:rFonts w:cs="Arial"/>
          <w:sz w:val="24"/>
        </w:rPr>
        <w:t>a number of</w:t>
      </w:r>
      <w:proofErr w:type="gramEnd"/>
      <w:r w:rsidRPr="001D2E87">
        <w:rPr>
          <w:rFonts w:cs="Arial"/>
          <w:sz w:val="24"/>
        </w:rPr>
        <w:t xml:space="preserve"> significant capital schemes which are currently underway, </w:t>
      </w:r>
      <w:r w:rsidR="002D27B6" w:rsidRPr="001D2E87">
        <w:rPr>
          <w:rFonts w:cs="Arial"/>
          <w:sz w:val="24"/>
        </w:rPr>
        <w:t>including.</w:t>
      </w:r>
    </w:p>
    <w:p w14:paraId="1A313F21" w14:textId="77777777" w:rsidR="001D2E87" w:rsidRPr="001D2E87" w:rsidRDefault="001D2E87" w:rsidP="002867BC">
      <w:pPr>
        <w:pStyle w:val="ListParagraph"/>
        <w:widowControl w:val="0"/>
        <w:numPr>
          <w:ilvl w:val="0"/>
          <w:numId w:val="9"/>
        </w:numPr>
        <w:spacing w:before="120"/>
        <w:ind w:right="340"/>
        <w:contextualSpacing w:val="0"/>
        <w:jc w:val="both"/>
        <w:rPr>
          <w:rFonts w:cs="Arial"/>
          <w:sz w:val="24"/>
        </w:rPr>
      </w:pPr>
      <w:r w:rsidRPr="001D2E87">
        <w:rPr>
          <w:rFonts w:cs="Arial"/>
          <w:sz w:val="24"/>
        </w:rPr>
        <w:t>The CEDAR programme; established to undertake the service planning and implementation of three major capital developments:</w:t>
      </w:r>
    </w:p>
    <w:p w14:paraId="6E4F9593" w14:textId="77777777" w:rsidR="001D2E87" w:rsidRPr="001D2E87" w:rsidRDefault="001D2E87" w:rsidP="002867BC">
      <w:pPr>
        <w:pStyle w:val="ListParagraph"/>
        <w:widowControl w:val="0"/>
        <w:numPr>
          <w:ilvl w:val="1"/>
          <w:numId w:val="9"/>
        </w:numPr>
        <w:spacing w:before="120"/>
        <w:ind w:right="340"/>
        <w:contextualSpacing w:val="0"/>
        <w:jc w:val="both"/>
        <w:rPr>
          <w:rFonts w:cs="Arial"/>
          <w:sz w:val="24"/>
        </w:rPr>
      </w:pPr>
      <w:r w:rsidRPr="001D2E87">
        <w:rPr>
          <w:rFonts w:cs="Arial"/>
          <w:sz w:val="24"/>
        </w:rPr>
        <w:t>The development of an integrated adult mental health and learning disability secure services centre of excellence at Northgate Hospital.</w:t>
      </w:r>
    </w:p>
    <w:p w14:paraId="7E2A1844" w14:textId="77777777" w:rsidR="001D2E87" w:rsidRPr="001D2E87" w:rsidRDefault="001D2E87" w:rsidP="002867BC">
      <w:pPr>
        <w:pStyle w:val="ListParagraph"/>
        <w:widowControl w:val="0"/>
        <w:numPr>
          <w:ilvl w:val="1"/>
          <w:numId w:val="9"/>
        </w:numPr>
        <w:spacing w:before="120"/>
        <w:ind w:right="340"/>
        <w:contextualSpacing w:val="0"/>
        <w:jc w:val="both"/>
        <w:rPr>
          <w:rFonts w:cs="Arial"/>
          <w:sz w:val="24"/>
        </w:rPr>
      </w:pPr>
      <w:r w:rsidRPr="001D2E87">
        <w:rPr>
          <w:rFonts w:cs="Arial"/>
          <w:sz w:val="24"/>
        </w:rPr>
        <w:t>The re-provision of Newcastle and Gateshead adult inpatient services onto the St Nicholas Hospital.</w:t>
      </w:r>
    </w:p>
    <w:p w14:paraId="2FF1F040" w14:textId="77777777" w:rsidR="001D2E87" w:rsidRPr="001D2E87" w:rsidRDefault="001D2E87" w:rsidP="002867BC">
      <w:pPr>
        <w:pStyle w:val="ListParagraph"/>
        <w:widowControl w:val="0"/>
        <w:numPr>
          <w:ilvl w:val="1"/>
          <w:numId w:val="9"/>
        </w:numPr>
        <w:spacing w:before="120"/>
        <w:ind w:right="340"/>
        <w:contextualSpacing w:val="0"/>
        <w:jc w:val="both"/>
        <w:rPr>
          <w:rFonts w:cs="Arial"/>
          <w:sz w:val="24"/>
        </w:rPr>
      </w:pPr>
      <w:r w:rsidRPr="001D2E87">
        <w:rPr>
          <w:rFonts w:cs="Arial"/>
          <w:sz w:val="24"/>
        </w:rPr>
        <w:t>The re-provision of Children and Young People’s (CYPS) medium secure inpatients services into Ferndene.</w:t>
      </w:r>
    </w:p>
    <w:p w14:paraId="6F9A915A" w14:textId="77777777" w:rsidR="001D2E87" w:rsidRPr="001D2E87" w:rsidRDefault="001D2E87" w:rsidP="002867BC">
      <w:pPr>
        <w:pStyle w:val="ListParagraph"/>
        <w:widowControl w:val="0"/>
        <w:numPr>
          <w:ilvl w:val="0"/>
          <w:numId w:val="9"/>
        </w:numPr>
        <w:spacing w:before="120"/>
        <w:ind w:right="340"/>
        <w:contextualSpacing w:val="0"/>
        <w:jc w:val="both"/>
        <w:rPr>
          <w:rFonts w:cs="Arial"/>
          <w:sz w:val="24"/>
        </w:rPr>
      </w:pPr>
      <w:r w:rsidRPr="001D2E87">
        <w:rPr>
          <w:rFonts w:cs="Arial"/>
          <w:sz w:val="24"/>
        </w:rPr>
        <w:t>Backlog maintenance schemes in 22/23 totalling £0.5M</w:t>
      </w:r>
    </w:p>
    <w:p w14:paraId="17C71C30" w14:textId="77777777" w:rsidR="001D2E87" w:rsidRPr="001D2E87" w:rsidRDefault="001D2E87" w:rsidP="002867BC">
      <w:pPr>
        <w:pStyle w:val="ListParagraph"/>
        <w:widowControl w:val="0"/>
        <w:numPr>
          <w:ilvl w:val="0"/>
          <w:numId w:val="9"/>
        </w:numPr>
        <w:spacing w:before="120"/>
        <w:ind w:right="340"/>
        <w:contextualSpacing w:val="0"/>
        <w:jc w:val="both"/>
        <w:rPr>
          <w:rFonts w:cs="Arial"/>
          <w:sz w:val="24"/>
        </w:rPr>
      </w:pPr>
      <w:r w:rsidRPr="001D2E87">
        <w:rPr>
          <w:rFonts w:cs="Arial"/>
          <w:sz w:val="24"/>
        </w:rPr>
        <w:t>Energy Efficiency schemes in 22/23 totalling £0.5M</w:t>
      </w:r>
    </w:p>
    <w:p w14:paraId="4C9125E5"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Hadrian Unit at Carleton Clinic major upgrade (underway)</w:t>
      </w:r>
    </w:p>
    <w:p w14:paraId="77678E77"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Upgrades to Yewdale Ward at Whitehaven Hospital (underway)</w:t>
      </w:r>
    </w:p>
    <w:p w14:paraId="5AD167FC"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Monkwearmouth Hospital major redevelopment (underway)</w:t>
      </w:r>
    </w:p>
    <w:p w14:paraId="2E8F1905"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Relocation of Older Peoples service from the CAV site (Planning)</w:t>
      </w:r>
    </w:p>
    <w:p w14:paraId="42BFB2ED"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Inpatient safety schemes including the roll out of En-suite door replacement and installation of Oxehealth patient monitoring systems.</w:t>
      </w:r>
    </w:p>
    <w:p w14:paraId="4F400D55" w14:textId="77777777" w:rsidR="001D2E87" w:rsidRPr="001D2E87" w:rsidRDefault="001D2E87" w:rsidP="002867BC">
      <w:pPr>
        <w:pStyle w:val="ListParagraph"/>
        <w:widowControl w:val="0"/>
        <w:numPr>
          <w:ilvl w:val="0"/>
          <w:numId w:val="13"/>
        </w:numPr>
        <w:spacing w:before="120" w:line="276" w:lineRule="auto"/>
        <w:ind w:right="340"/>
        <w:contextualSpacing w:val="0"/>
        <w:jc w:val="both"/>
        <w:rPr>
          <w:rFonts w:cs="Arial"/>
          <w:sz w:val="24"/>
        </w:rPr>
      </w:pPr>
      <w:r w:rsidRPr="001D2E87">
        <w:rPr>
          <w:rFonts w:cs="Arial"/>
          <w:sz w:val="24"/>
        </w:rPr>
        <w:t>Urgent and Emergency Care (UEC) developments across the Trust to be delivered in 22/23 &amp; 23/24.</w:t>
      </w:r>
    </w:p>
    <w:p w14:paraId="69F18764" w14:textId="77777777" w:rsidR="001D2E87" w:rsidRPr="0009344F" w:rsidRDefault="001D2E87" w:rsidP="00336E3B">
      <w:pPr>
        <w:rPr>
          <w:rFonts w:cs="Arial"/>
          <w:b/>
          <w:color w:val="1F497D" w:themeColor="text2"/>
          <w:sz w:val="10"/>
          <w:szCs w:val="10"/>
        </w:rPr>
      </w:pPr>
    </w:p>
    <w:p w14:paraId="674C4A8C" w14:textId="7D20AF49" w:rsidR="001D2E87" w:rsidRPr="0043588B" w:rsidRDefault="001D2E87" w:rsidP="00336E3B">
      <w:pPr>
        <w:rPr>
          <w:rFonts w:cs="Arial"/>
          <w:b/>
          <w:color w:val="0070C0"/>
          <w:sz w:val="24"/>
        </w:rPr>
      </w:pPr>
      <w:r w:rsidRPr="0043588B">
        <w:rPr>
          <w:rFonts w:cs="Arial"/>
          <w:b/>
          <w:color w:val="0070C0"/>
          <w:sz w:val="24"/>
        </w:rPr>
        <w:t>Estate Portfolio</w:t>
      </w:r>
    </w:p>
    <w:p w14:paraId="0622F33D" w14:textId="77777777" w:rsidR="00C81228" w:rsidRPr="001D2E87" w:rsidRDefault="00C81228" w:rsidP="00336E3B">
      <w:pPr>
        <w:rPr>
          <w:rFonts w:cs="Arial"/>
          <w:b/>
          <w:color w:val="1F497D" w:themeColor="text2"/>
          <w:sz w:val="24"/>
        </w:rPr>
      </w:pPr>
    </w:p>
    <w:p w14:paraId="20E771E4" w14:textId="0B03880E" w:rsidR="001D2E87" w:rsidRPr="001D2E87" w:rsidRDefault="001D2E87" w:rsidP="001D2E87">
      <w:pPr>
        <w:widowControl w:val="0"/>
        <w:spacing w:line="276" w:lineRule="auto"/>
        <w:rPr>
          <w:rFonts w:cs="Arial"/>
          <w:sz w:val="24"/>
        </w:rPr>
      </w:pPr>
      <w:r w:rsidRPr="001D2E87">
        <w:rPr>
          <w:rFonts w:eastAsia="Calibri" w:cs="Arial"/>
          <w:color w:val="595959"/>
          <w:sz w:val="24"/>
        </w:rPr>
        <w:t xml:space="preserve">The Trust has an extensive estates portfolio comprising some 280 buildings spread across 75 sites with ages ranging from the 1870’s to the present day and with </w:t>
      </w:r>
      <w:proofErr w:type="gramStart"/>
      <w:r w:rsidRPr="001D2E87">
        <w:rPr>
          <w:rFonts w:eastAsia="Calibri" w:cs="Arial"/>
          <w:color w:val="595959"/>
          <w:sz w:val="24"/>
        </w:rPr>
        <w:t>a number of</w:t>
      </w:r>
      <w:proofErr w:type="gramEnd"/>
      <w:r w:rsidRPr="001D2E87">
        <w:rPr>
          <w:rFonts w:eastAsia="Calibri" w:cs="Arial"/>
          <w:color w:val="595959"/>
          <w:sz w:val="24"/>
        </w:rPr>
        <w:t xml:space="preserve"> different types of tenure. These consist of 9 principal sites with the remainder being made up of satellite properties across a large geographical area, the principal sites are:</w:t>
      </w:r>
    </w:p>
    <w:p w14:paraId="6A08EC33" w14:textId="77777777" w:rsidR="001D2E87" w:rsidRPr="001D2E87" w:rsidRDefault="001D2E87" w:rsidP="005F6EE5">
      <w:pPr>
        <w:rPr>
          <w:rFonts w:cs="Arial"/>
          <w:sz w:val="24"/>
        </w:rPr>
        <w:sectPr w:rsidR="001D2E87" w:rsidRPr="001D2E87" w:rsidSect="00642365">
          <w:footerReference w:type="default" r:id="rId11"/>
          <w:pgSz w:w="11906" w:h="16838"/>
          <w:pgMar w:top="426" w:right="1440" w:bottom="1135" w:left="1440" w:header="708" w:footer="708" w:gutter="0"/>
          <w:cols w:space="708"/>
          <w:docGrid w:linePitch="360"/>
        </w:sectPr>
      </w:pPr>
    </w:p>
    <w:p w14:paraId="735A5F74"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Northgate Hospital, Morpeth</w:t>
      </w:r>
    </w:p>
    <w:p w14:paraId="6D0CD9CD"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St George’s Park, Morpeth (PFI)</w:t>
      </w:r>
    </w:p>
    <w:p w14:paraId="210C86A2"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St Nicholas Hospital, Gosforth, Newcastle upon Tyne</w:t>
      </w:r>
    </w:p>
    <w:p w14:paraId="7895C3BF"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Walkergate Park, Newcastle (PFI)</w:t>
      </w:r>
    </w:p>
    <w:p w14:paraId="248380DB" w14:textId="21873863" w:rsid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Ferndene, Prudhoe</w:t>
      </w:r>
    </w:p>
    <w:p w14:paraId="63F31ECF"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Campus for Ageing and Vitality (Leased)</w:t>
      </w:r>
    </w:p>
    <w:p w14:paraId="00F1CF75" w14:textId="77777777" w:rsidR="001D2E87" w:rsidRPr="001D2E87" w:rsidRDefault="001D2E87" w:rsidP="002867BC">
      <w:pPr>
        <w:pStyle w:val="ListParagraph"/>
        <w:widowControl w:val="0"/>
        <w:numPr>
          <w:ilvl w:val="0"/>
          <w:numId w:val="10"/>
        </w:numPr>
        <w:spacing w:before="120"/>
        <w:ind w:right="340"/>
        <w:contextualSpacing w:val="0"/>
        <w:jc w:val="both"/>
        <w:rPr>
          <w:rFonts w:cs="Arial"/>
          <w:sz w:val="24"/>
        </w:rPr>
      </w:pPr>
      <w:r w:rsidRPr="001D2E87">
        <w:rPr>
          <w:rFonts w:cs="Arial"/>
          <w:sz w:val="24"/>
        </w:rPr>
        <w:t>Hopewood Park, Sunderland</w:t>
      </w:r>
    </w:p>
    <w:p w14:paraId="57B07054" w14:textId="77777777" w:rsidR="001D2E87" w:rsidRPr="001D2E87" w:rsidRDefault="001D2E87" w:rsidP="002867BC">
      <w:pPr>
        <w:pStyle w:val="ListParagraph"/>
        <w:widowControl w:val="0"/>
        <w:numPr>
          <w:ilvl w:val="0"/>
          <w:numId w:val="10"/>
        </w:numPr>
        <w:spacing w:before="120"/>
        <w:ind w:right="340"/>
        <w:contextualSpacing w:val="0"/>
        <w:rPr>
          <w:rFonts w:cs="Arial"/>
          <w:sz w:val="24"/>
        </w:rPr>
      </w:pPr>
      <w:r w:rsidRPr="001D2E87">
        <w:rPr>
          <w:rFonts w:cs="Arial"/>
          <w:sz w:val="24"/>
        </w:rPr>
        <w:t xml:space="preserve">Monkwearmouth Hospital, Sunderland </w:t>
      </w:r>
    </w:p>
    <w:p w14:paraId="26D22288" w14:textId="77777777" w:rsidR="001D2E87" w:rsidRPr="001D2E87" w:rsidRDefault="001D2E87" w:rsidP="002867BC">
      <w:pPr>
        <w:pStyle w:val="ListParagraph"/>
        <w:widowControl w:val="0"/>
        <w:numPr>
          <w:ilvl w:val="0"/>
          <w:numId w:val="10"/>
        </w:numPr>
        <w:spacing w:before="120"/>
        <w:ind w:right="340"/>
        <w:contextualSpacing w:val="0"/>
        <w:rPr>
          <w:rFonts w:cs="Arial"/>
          <w:sz w:val="24"/>
        </w:rPr>
      </w:pPr>
      <w:r w:rsidRPr="001D2E87">
        <w:rPr>
          <w:rFonts w:cs="Arial"/>
          <w:sz w:val="24"/>
        </w:rPr>
        <w:lastRenderedPageBreak/>
        <w:t>Carleton Clinic, Carlisle</w:t>
      </w:r>
    </w:p>
    <w:p w14:paraId="66837C71" w14:textId="50997F5F" w:rsidR="001D2E87" w:rsidRPr="001D2E87" w:rsidRDefault="001D2E87" w:rsidP="00117DEC">
      <w:pPr>
        <w:rPr>
          <w:rFonts w:cs="Arial"/>
          <w:sz w:val="24"/>
        </w:rPr>
        <w:sectPr w:rsidR="001D2E87" w:rsidRPr="001D2E87" w:rsidSect="000F677E">
          <w:type w:val="continuous"/>
          <w:pgSz w:w="11906" w:h="16838"/>
          <w:pgMar w:top="1418" w:right="1134" w:bottom="1134" w:left="1134" w:header="708" w:footer="708" w:gutter="0"/>
          <w:cols w:num="2" w:space="708"/>
          <w:docGrid w:linePitch="360"/>
        </w:sectPr>
      </w:pPr>
    </w:p>
    <w:p w14:paraId="5D49EE5D" w14:textId="36BD3D67" w:rsidR="001D2E87" w:rsidRPr="001D2E87" w:rsidRDefault="001D2E87" w:rsidP="00C74C82">
      <w:pPr>
        <w:ind w:left="360"/>
        <w:rPr>
          <w:rFonts w:cs="Arial"/>
          <w:sz w:val="24"/>
        </w:rPr>
      </w:pPr>
      <w:r w:rsidRPr="001D2E87">
        <w:rPr>
          <w:rFonts w:cs="Arial"/>
          <w:sz w:val="24"/>
        </w:rPr>
        <w:t>The accommodation is provided via a mix of tenures including owned, leased, informal tenancies, licence, PFI and service level agreements, the approximate tenure split of the overall gross internal area is as follows:</w:t>
      </w:r>
    </w:p>
    <w:p w14:paraId="784A5487" w14:textId="77777777" w:rsidR="001D2E87" w:rsidRPr="001D2E87" w:rsidRDefault="001D2E87" w:rsidP="002867BC">
      <w:pPr>
        <w:pStyle w:val="ListParagraph"/>
        <w:widowControl w:val="0"/>
        <w:numPr>
          <w:ilvl w:val="0"/>
          <w:numId w:val="7"/>
        </w:numPr>
        <w:spacing w:before="120" w:line="276" w:lineRule="auto"/>
        <w:ind w:right="340"/>
        <w:contextualSpacing w:val="0"/>
        <w:jc w:val="both"/>
        <w:rPr>
          <w:rFonts w:cs="Arial"/>
          <w:sz w:val="24"/>
        </w:rPr>
        <w:sectPr w:rsidR="001D2E87" w:rsidRPr="001D2E87" w:rsidSect="002A2072">
          <w:type w:val="continuous"/>
          <w:pgSz w:w="11906" w:h="16838"/>
          <w:pgMar w:top="1418" w:right="1134" w:bottom="1134" w:left="1134" w:header="708" w:footer="708" w:gutter="0"/>
          <w:cols w:space="708"/>
          <w:docGrid w:linePitch="360"/>
        </w:sectPr>
      </w:pPr>
    </w:p>
    <w:p w14:paraId="5699AAB7" w14:textId="77777777" w:rsidR="001D2E87" w:rsidRPr="001D2E87" w:rsidRDefault="001D2E87" w:rsidP="002867BC">
      <w:pPr>
        <w:pStyle w:val="ListParagraph"/>
        <w:widowControl w:val="0"/>
        <w:numPr>
          <w:ilvl w:val="0"/>
          <w:numId w:val="7"/>
        </w:numPr>
        <w:spacing w:before="120" w:line="276" w:lineRule="auto"/>
        <w:ind w:right="340"/>
        <w:contextualSpacing w:val="0"/>
        <w:jc w:val="both"/>
        <w:rPr>
          <w:rFonts w:cs="Arial"/>
          <w:sz w:val="24"/>
        </w:rPr>
      </w:pPr>
      <w:r w:rsidRPr="001D2E87">
        <w:rPr>
          <w:rFonts w:cs="Arial"/>
          <w:sz w:val="24"/>
        </w:rPr>
        <w:t xml:space="preserve">66% is owned </w:t>
      </w:r>
    </w:p>
    <w:p w14:paraId="60370911" w14:textId="77777777" w:rsidR="001D2E87" w:rsidRPr="001D2E87" w:rsidRDefault="001D2E87" w:rsidP="002867BC">
      <w:pPr>
        <w:pStyle w:val="ListParagraph"/>
        <w:widowControl w:val="0"/>
        <w:numPr>
          <w:ilvl w:val="0"/>
          <w:numId w:val="7"/>
        </w:numPr>
        <w:spacing w:before="120" w:line="276" w:lineRule="auto"/>
        <w:ind w:right="340"/>
        <w:contextualSpacing w:val="0"/>
        <w:jc w:val="both"/>
        <w:rPr>
          <w:rFonts w:cs="Arial"/>
          <w:sz w:val="24"/>
        </w:rPr>
      </w:pPr>
      <w:r w:rsidRPr="001D2E87">
        <w:rPr>
          <w:rFonts w:cs="Arial"/>
          <w:sz w:val="24"/>
        </w:rPr>
        <w:t>17% is operated under a PFI agreement</w:t>
      </w:r>
    </w:p>
    <w:p w14:paraId="3A63C22B" w14:textId="77777777" w:rsidR="001D2E87" w:rsidRPr="001D2E87" w:rsidRDefault="001D2E87" w:rsidP="002867BC">
      <w:pPr>
        <w:pStyle w:val="ListParagraph"/>
        <w:widowControl w:val="0"/>
        <w:numPr>
          <w:ilvl w:val="0"/>
          <w:numId w:val="7"/>
        </w:numPr>
        <w:spacing w:before="120" w:line="276" w:lineRule="auto"/>
        <w:ind w:right="340"/>
        <w:contextualSpacing w:val="0"/>
        <w:jc w:val="both"/>
        <w:rPr>
          <w:rFonts w:cs="Arial"/>
          <w:sz w:val="24"/>
        </w:rPr>
      </w:pPr>
      <w:r w:rsidRPr="001D2E87">
        <w:rPr>
          <w:rFonts w:cs="Arial"/>
          <w:sz w:val="24"/>
        </w:rPr>
        <w:t>12% is formally leased</w:t>
      </w:r>
    </w:p>
    <w:p w14:paraId="201CC22A" w14:textId="77777777" w:rsidR="001D2E87" w:rsidRPr="001D2E87" w:rsidRDefault="001D2E87" w:rsidP="002867BC">
      <w:pPr>
        <w:pStyle w:val="ListParagraph"/>
        <w:widowControl w:val="0"/>
        <w:numPr>
          <w:ilvl w:val="0"/>
          <w:numId w:val="7"/>
        </w:numPr>
        <w:spacing w:before="120" w:line="276" w:lineRule="auto"/>
        <w:ind w:right="340"/>
        <w:contextualSpacing w:val="0"/>
        <w:jc w:val="both"/>
        <w:rPr>
          <w:rFonts w:cs="Arial"/>
          <w:sz w:val="24"/>
        </w:rPr>
      </w:pPr>
      <w:r w:rsidRPr="001D2E87">
        <w:rPr>
          <w:rFonts w:cs="Arial"/>
          <w:sz w:val="24"/>
        </w:rPr>
        <w:t>6% is by way of informal tenancies, licence, SLA</w:t>
      </w:r>
    </w:p>
    <w:p w14:paraId="0A51973C" w14:textId="77777777" w:rsidR="001D2E87" w:rsidRPr="001D2E87" w:rsidRDefault="001D2E87" w:rsidP="00231A36">
      <w:pPr>
        <w:rPr>
          <w:rFonts w:cs="Arial"/>
          <w:sz w:val="24"/>
        </w:rPr>
        <w:sectPr w:rsidR="001D2E87" w:rsidRPr="001D2E87" w:rsidSect="008105AB">
          <w:type w:val="continuous"/>
          <w:pgSz w:w="11906" w:h="16838"/>
          <w:pgMar w:top="1418" w:right="1134" w:bottom="1134" w:left="1134" w:header="708" w:footer="708" w:gutter="0"/>
          <w:cols w:num="2" w:space="708"/>
          <w:docGrid w:linePitch="360"/>
        </w:sectPr>
      </w:pPr>
    </w:p>
    <w:p w14:paraId="629BDD8A" w14:textId="77777777" w:rsidR="0009344F" w:rsidRDefault="0009344F" w:rsidP="00231A36">
      <w:pPr>
        <w:rPr>
          <w:rFonts w:cs="Arial"/>
          <w:sz w:val="24"/>
        </w:rPr>
      </w:pPr>
    </w:p>
    <w:p w14:paraId="77238154" w14:textId="5CEBF17B" w:rsidR="001D2E87" w:rsidRPr="001D2E87" w:rsidRDefault="001D2E87" w:rsidP="00231A36">
      <w:pPr>
        <w:rPr>
          <w:rFonts w:cs="Arial"/>
          <w:sz w:val="24"/>
        </w:rPr>
      </w:pPr>
      <w:r w:rsidRPr="001D2E87">
        <w:rPr>
          <w:rFonts w:cs="Arial"/>
          <w:sz w:val="24"/>
        </w:rPr>
        <w:t>Services are also provided from a wide range of settings, including A&amp;E Departments, wards based on acute hospital sites, community premises, health centres, GP Surgeries and clinics, Police Stations and patient homes. The Trusts full property schedule and location plans are contained in Appendix 1.</w:t>
      </w:r>
    </w:p>
    <w:p w14:paraId="28023940" w14:textId="77777777" w:rsidR="001D2E87" w:rsidRDefault="001D2E87" w:rsidP="005352E3">
      <w:pPr>
        <w:rPr>
          <w:rFonts w:cs="Arial"/>
          <w:b/>
          <w:sz w:val="24"/>
        </w:rPr>
      </w:pPr>
    </w:p>
    <w:p w14:paraId="28257DFC" w14:textId="58B4B7F6" w:rsidR="001D2E87" w:rsidRPr="0043588B" w:rsidRDefault="001D2E87" w:rsidP="005352E3">
      <w:pPr>
        <w:rPr>
          <w:rFonts w:cs="Arial"/>
          <w:b/>
          <w:color w:val="0070C0"/>
          <w:sz w:val="24"/>
        </w:rPr>
      </w:pPr>
      <w:r w:rsidRPr="0043588B">
        <w:rPr>
          <w:rFonts w:cs="Arial"/>
          <w:b/>
          <w:color w:val="0070C0"/>
          <w:sz w:val="24"/>
        </w:rPr>
        <w:t>Current Land Sales</w:t>
      </w:r>
    </w:p>
    <w:p w14:paraId="52224B6B" w14:textId="77777777" w:rsidR="00C81228" w:rsidRPr="001D2E87" w:rsidRDefault="00C81228" w:rsidP="005352E3">
      <w:pPr>
        <w:rPr>
          <w:rFonts w:cs="Arial"/>
          <w:b/>
          <w:sz w:val="24"/>
        </w:rPr>
      </w:pPr>
    </w:p>
    <w:p w14:paraId="415EF9CC" w14:textId="77777777" w:rsidR="001D2E87" w:rsidRPr="001D2E87" w:rsidRDefault="001D2E87" w:rsidP="005352E3">
      <w:pPr>
        <w:rPr>
          <w:rFonts w:cs="Arial"/>
          <w:sz w:val="24"/>
        </w:rPr>
      </w:pPr>
      <w:r w:rsidRPr="001D2E87">
        <w:rPr>
          <w:rFonts w:cs="Arial"/>
          <w:sz w:val="24"/>
        </w:rPr>
        <w:t>Surplus land at Northgate Hospital and St Georges Park is currently in progress with expected completion in 2023. These two land sales represent the major asset disposals at this time, there are other assets that have been identified in this strategy that may be considered in the future for disposal.</w:t>
      </w:r>
    </w:p>
    <w:p w14:paraId="5B04FB35" w14:textId="77777777" w:rsidR="001D2E87" w:rsidRDefault="001D2E87" w:rsidP="00231A36">
      <w:pPr>
        <w:rPr>
          <w:rFonts w:cs="Arial"/>
          <w:b/>
          <w:color w:val="1F497D" w:themeColor="text2"/>
          <w:sz w:val="24"/>
        </w:rPr>
      </w:pPr>
    </w:p>
    <w:p w14:paraId="73A1EB5C" w14:textId="785B20C4" w:rsidR="001D2E87" w:rsidRPr="0043588B" w:rsidRDefault="001D2E87" w:rsidP="00231A36">
      <w:pPr>
        <w:rPr>
          <w:rFonts w:cs="Arial"/>
          <w:b/>
          <w:color w:val="0070C0"/>
          <w:sz w:val="24"/>
        </w:rPr>
      </w:pPr>
      <w:r w:rsidRPr="0043588B">
        <w:rPr>
          <w:rFonts w:cs="Arial"/>
          <w:b/>
          <w:color w:val="0070C0"/>
          <w:sz w:val="24"/>
        </w:rPr>
        <w:t>Estate Metrics</w:t>
      </w:r>
    </w:p>
    <w:p w14:paraId="021679F2" w14:textId="77777777" w:rsidR="00C81228" w:rsidRPr="001D2E87" w:rsidRDefault="00C81228" w:rsidP="00231A36">
      <w:pPr>
        <w:rPr>
          <w:rFonts w:cs="Arial"/>
          <w:b/>
          <w:color w:val="1F497D" w:themeColor="text2"/>
          <w:sz w:val="24"/>
        </w:rPr>
      </w:pPr>
    </w:p>
    <w:p w14:paraId="25CF29FA" w14:textId="77777777" w:rsidR="001D2E87" w:rsidRPr="001D2E87" w:rsidRDefault="001D2E87" w:rsidP="00231A36">
      <w:pPr>
        <w:rPr>
          <w:rFonts w:cs="Arial"/>
          <w:sz w:val="24"/>
        </w:rPr>
      </w:pPr>
      <w:r w:rsidRPr="001D2E87">
        <w:rPr>
          <w:rFonts w:cs="Arial"/>
          <w:sz w:val="24"/>
        </w:rPr>
        <w:t>The following sub-sections provide an overview as to the make-up, condition and other metrics related to the Estate:</w:t>
      </w:r>
    </w:p>
    <w:p w14:paraId="74849385" w14:textId="77777777" w:rsidR="001D2E87" w:rsidRDefault="001D2E87" w:rsidP="001D2E87">
      <w:pPr>
        <w:rPr>
          <w:rFonts w:cs="Arial"/>
          <w:b/>
          <w:color w:val="1F497D" w:themeColor="text2"/>
          <w:sz w:val="24"/>
        </w:rPr>
      </w:pPr>
    </w:p>
    <w:p w14:paraId="178A118C" w14:textId="692611C5" w:rsidR="001D2E87" w:rsidRPr="0043588B" w:rsidRDefault="001D2E87" w:rsidP="001D2E87">
      <w:pPr>
        <w:rPr>
          <w:rFonts w:cs="Arial"/>
          <w:b/>
          <w:color w:val="0070C0"/>
          <w:sz w:val="24"/>
        </w:rPr>
      </w:pPr>
      <w:r w:rsidRPr="0043588B">
        <w:rPr>
          <w:rFonts w:cs="Arial"/>
          <w:b/>
          <w:color w:val="0070C0"/>
          <w:sz w:val="24"/>
        </w:rPr>
        <w:t>Age Profile</w:t>
      </w:r>
    </w:p>
    <w:p w14:paraId="2C31183A" w14:textId="77777777" w:rsidR="00C81228" w:rsidRPr="001D2E87" w:rsidRDefault="00C81228" w:rsidP="001D2E87">
      <w:pPr>
        <w:rPr>
          <w:rFonts w:cs="Arial"/>
          <w:b/>
          <w:color w:val="1F497D" w:themeColor="text2"/>
          <w:sz w:val="24"/>
        </w:rPr>
      </w:pPr>
    </w:p>
    <w:p w14:paraId="26CFE467" w14:textId="1E759D08" w:rsidR="001D2E87" w:rsidRPr="001D2E87" w:rsidRDefault="001D2E87" w:rsidP="001D2E87">
      <w:pPr>
        <w:rPr>
          <w:rFonts w:cs="Arial"/>
          <w:sz w:val="24"/>
        </w:rPr>
      </w:pPr>
      <w:r w:rsidRPr="001D2E87">
        <w:rPr>
          <w:rFonts w:cs="Arial"/>
          <w:sz w:val="24"/>
        </w:rPr>
        <w:t xml:space="preserve">The age profile of the estate has changed following a programme of replacing outdated and unsuitable accommodation with modern </w:t>
      </w:r>
      <w:r w:rsidR="00C81228" w:rsidRPr="001D2E87">
        <w:rPr>
          <w:rFonts w:cs="Arial"/>
          <w:sz w:val="24"/>
        </w:rPr>
        <w:t>purpose-built</w:t>
      </w:r>
      <w:r w:rsidRPr="001D2E87">
        <w:rPr>
          <w:rFonts w:cs="Arial"/>
          <w:sz w:val="24"/>
        </w:rPr>
        <w:t xml:space="preserve"> facilities. The Trust now has </w:t>
      </w:r>
      <w:r w:rsidRPr="001D2E87">
        <w:rPr>
          <w:rFonts w:cs="Arial"/>
          <w:b/>
          <w:sz w:val="24"/>
        </w:rPr>
        <w:t>38%</w:t>
      </w:r>
      <w:r w:rsidRPr="001D2E87">
        <w:rPr>
          <w:rFonts w:cs="Arial"/>
          <w:sz w:val="24"/>
        </w:rPr>
        <w:t xml:space="preserve"> of its Estate constructed after </w:t>
      </w:r>
      <w:r w:rsidRPr="001D2E87">
        <w:rPr>
          <w:rFonts w:cs="Arial"/>
          <w:b/>
          <w:sz w:val="24"/>
        </w:rPr>
        <w:t xml:space="preserve">2005, </w:t>
      </w:r>
      <w:r w:rsidRPr="001D2E87">
        <w:rPr>
          <w:rFonts w:cs="Arial"/>
          <w:sz w:val="24"/>
        </w:rPr>
        <w:t xml:space="preserve">this is an increase from </w:t>
      </w:r>
      <w:r w:rsidRPr="001D2E87">
        <w:rPr>
          <w:rFonts w:cs="Arial"/>
          <w:b/>
          <w:sz w:val="24"/>
        </w:rPr>
        <w:t>28%</w:t>
      </w:r>
      <w:r w:rsidRPr="001D2E87">
        <w:rPr>
          <w:rFonts w:cs="Arial"/>
          <w:sz w:val="24"/>
        </w:rPr>
        <w:t xml:space="preserve"> in 2012 and this position will improve further when current projects are delivered. </w:t>
      </w:r>
    </w:p>
    <w:p w14:paraId="6348DE37" w14:textId="77777777" w:rsidR="001D2E87" w:rsidRDefault="001D2E87" w:rsidP="009F28B0">
      <w:pPr>
        <w:ind w:left="720"/>
        <w:rPr>
          <w:rFonts w:cs="Arial"/>
          <w:b/>
          <w:color w:val="1F497D" w:themeColor="text2"/>
          <w:sz w:val="24"/>
        </w:rPr>
      </w:pPr>
    </w:p>
    <w:p w14:paraId="107A1445" w14:textId="1D1C572B" w:rsidR="001D2E87" w:rsidRDefault="001D2E87" w:rsidP="001D2E87">
      <w:pPr>
        <w:rPr>
          <w:rFonts w:cs="Arial"/>
          <w:b/>
          <w:color w:val="1F497D" w:themeColor="text2"/>
          <w:sz w:val="24"/>
        </w:rPr>
      </w:pPr>
      <w:r w:rsidRPr="0043588B">
        <w:rPr>
          <w:rFonts w:cs="Arial"/>
          <w:b/>
          <w:color w:val="0070C0"/>
          <w:sz w:val="24"/>
        </w:rPr>
        <w:t>Bed Numbers and Occupancy</w:t>
      </w:r>
    </w:p>
    <w:p w14:paraId="7D7AD98C" w14:textId="77777777" w:rsidR="00C81228" w:rsidRPr="001D2E87" w:rsidRDefault="00C81228" w:rsidP="001D2E87">
      <w:pPr>
        <w:rPr>
          <w:rFonts w:cs="Arial"/>
          <w:b/>
          <w:color w:val="1F497D" w:themeColor="text2"/>
          <w:sz w:val="24"/>
        </w:rPr>
      </w:pPr>
    </w:p>
    <w:p w14:paraId="36684E2B" w14:textId="77777777" w:rsidR="001D2E87" w:rsidRPr="001D2E87" w:rsidRDefault="001D2E87" w:rsidP="001D2E87">
      <w:pPr>
        <w:rPr>
          <w:rFonts w:cs="Arial"/>
          <w:sz w:val="24"/>
        </w:rPr>
      </w:pPr>
      <w:r w:rsidRPr="001D2E87">
        <w:rPr>
          <w:rFonts w:cs="Arial"/>
          <w:sz w:val="24"/>
        </w:rPr>
        <w:t>The bed numbers in the Trust and the associated occupied bed days had seen a steady year on year drop which was reflective of changes to the services provided by the Trust and operational efficiencies that have been made. The inclusion of the North Cumbria and Acklam Road beds in 2019 and 2021 respectively have had the impact of reversing the bed reduction trend and bed numbers in the enlarged Trust are now comparable with NTW in 2018. The planned bed number prediction for the end of the 22/23 FY is as follows:</w:t>
      </w:r>
    </w:p>
    <w:p w14:paraId="5A8B9CD0" w14:textId="77777777" w:rsidR="001D2E87" w:rsidRPr="001D2E87" w:rsidRDefault="001D2E87" w:rsidP="002867BC">
      <w:pPr>
        <w:pStyle w:val="ListParagraph"/>
        <w:widowControl w:val="0"/>
        <w:numPr>
          <w:ilvl w:val="0"/>
          <w:numId w:val="8"/>
        </w:numPr>
        <w:spacing w:before="120" w:line="276" w:lineRule="auto"/>
        <w:ind w:right="340"/>
        <w:contextualSpacing w:val="0"/>
        <w:jc w:val="both"/>
        <w:rPr>
          <w:rFonts w:cs="Arial"/>
          <w:sz w:val="24"/>
        </w:rPr>
      </w:pPr>
      <w:r w:rsidRPr="001D2E87">
        <w:rPr>
          <w:rFonts w:cs="Arial"/>
          <w:sz w:val="24"/>
        </w:rPr>
        <w:t xml:space="preserve">791 commissioned beds. </w:t>
      </w:r>
    </w:p>
    <w:p w14:paraId="79FF1D8C" w14:textId="77777777" w:rsidR="001D2E87" w:rsidRDefault="001D2E87" w:rsidP="00F8259B">
      <w:pPr>
        <w:ind w:left="720"/>
        <w:rPr>
          <w:rFonts w:cs="Arial"/>
          <w:b/>
          <w:color w:val="1F497D" w:themeColor="text2"/>
          <w:sz w:val="24"/>
        </w:rPr>
      </w:pPr>
    </w:p>
    <w:p w14:paraId="61931403" w14:textId="77777777" w:rsidR="00C81228" w:rsidRDefault="00C81228" w:rsidP="00F8259B">
      <w:pPr>
        <w:ind w:left="720"/>
        <w:rPr>
          <w:rFonts w:cs="Arial"/>
          <w:b/>
          <w:color w:val="1F497D" w:themeColor="text2"/>
          <w:sz w:val="24"/>
        </w:rPr>
      </w:pPr>
    </w:p>
    <w:p w14:paraId="0AFE18EC" w14:textId="77777777" w:rsidR="00C81228" w:rsidRDefault="00C81228" w:rsidP="00F8259B">
      <w:pPr>
        <w:ind w:left="720"/>
        <w:rPr>
          <w:rFonts w:cs="Arial"/>
          <w:b/>
          <w:color w:val="1F497D" w:themeColor="text2"/>
          <w:sz w:val="24"/>
        </w:rPr>
      </w:pPr>
    </w:p>
    <w:p w14:paraId="390BC58F" w14:textId="7D81DCC3" w:rsidR="001D2E87" w:rsidRPr="0043588B" w:rsidRDefault="001D2E87" w:rsidP="001D2E87">
      <w:pPr>
        <w:rPr>
          <w:rFonts w:cs="Arial"/>
          <w:b/>
          <w:color w:val="0070C0"/>
          <w:sz w:val="24"/>
        </w:rPr>
      </w:pPr>
      <w:r w:rsidRPr="0043588B">
        <w:rPr>
          <w:rFonts w:cs="Arial"/>
          <w:b/>
          <w:color w:val="0070C0"/>
          <w:sz w:val="24"/>
        </w:rPr>
        <w:t>Net Book Value</w:t>
      </w:r>
    </w:p>
    <w:p w14:paraId="41DF108B" w14:textId="77777777" w:rsidR="00C81228" w:rsidRPr="001D2E87" w:rsidRDefault="00C81228" w:rsidP="001D2E87">
      <w:pPr>
        <w:rPr>
          <w:rFonts w:cs="Arial"/>
          <w:b/>
          <w:color w:val="1F497D" w:themeColor="text2"/>
          <w:sz w:val="24"/>
        </w:rPr>
      </w:pPr>
    </w:p>
    <w:p w14:paraId="13A6CB4E" w14:textId="2264DC61" w:rsidR="001D2E87" w:rsidRPr="00C81228" w:rsidRDefault="001D2E87" w:rsidP="001D2E87">
      <w:pPr>
        <w:rPr>
          <w:rFonts w:cs="Arial"/>
          <w:color w:val="000000" w:themeColor="text1"/>
          <w:sz w:val="24"/>
        </w:rPr>
      </w:pPr>
      <w:r w:rsidRPr="00C81228">
        <w:rPr>
          <w:rFonts w:cs="Arial"/>
          <w:color w:val="000000" w:themeColor="text1"/>
          <w:sz w:val="24"/>
        </w:rPr>
        <w:t>The net book value of the estate is £</w:t>
      </w:r>
      <w:r w:rsidR="00C81228">
        <w:rPr>
          <w:rFonts w:cs="Arial"/>
          <w:color w:val="000000" w:themeColor="text1"/>
          <w:sz w:val="24"/>
        </w:rPr>
        <w:t>221 M</w:t>
      </w:r>
      <w:r w:rsidRPr="00C81228">
        <w:rPr>
          <w:rFonts w:cs="Arial"/>
          <w:color w:val="000000" w:themeColor="text1"/>
          <w:sz w:val="24"/>
        </w:rPr>
        <w:t xml:space="preserve"> and this attracts capital charges of £</w:t>
      </w:r>
      <w:r w:rsidR="00C81228">
        <w:rPr>
          <w:rFonts w:cs="Arial"/>
          <w:color w:val="000000" w:themeColor="text1"/>
          <w:sz w:val="24"/>
        </w:rPr>
        <w:t>11</w:t>
      </w:r>
      <w:r w:rsidRPr="00C81228">
        <w:rPr>
          <w:rFonts w:cs="Arial"/>
          <w:color w:val="000000" w:themeColor="text1"/>
          <w:sz w:val="24"/>
        </w:rPr>
        <w:t xml:space="preserve"> M / annum.</w:t>
      </w:r>
    </w:p>
    <w:p w14:paraId="44384464" w14:textId="77777777" w:rsidR="001D2E87" w:rsidRPr="00C81228" w:rsidRDefault="001D2E87" w:rsidP="00F8259B">
      <w:pPr>
        <w:ind w:left="720"/>
        <w:rPr>
          <w:rFonts w:cs="Arial"/>
          <w:b/>
          <w:color w:val="000000" w:themeColor="text1"/>
          <w:sz w:val="24"/>
        </w:rPr>
      </w:pPr>
    </w:p>
    <w:p w14:paraId="00D22656" w14:textId="4B1D75AD" w:rsidR="001D2E87" w:rsidRPr="0043588B" w:rsidRDefault="001D2E87" w:rsidP="001D2E87">
      <w:pPr>
        <w:rPr>
          <w:rFonts w:cs="Arial"/>
          <w:b/>
          <w:color w:val="0070C0"/>
          <w:sz w:val="24"/>
        </w:rPr>
      </w:pPr>
      <w:r w:rsidRPr="0043588B">
        <w:rPr>
          <w:rFonts w:cs="Arial"/>
          <w:b/>
          <w:color w:val="0070C0"/>
          <w:sz w:val="24"/>
        </w:rPr>
        <w:lastRenderedPageBreak/>
        <w:t>Six Facet Survey</w:t>
      </w:r>
    </w:p>
    <w:p w14:paraId="369C55BE" w14:textId="77777777" w:rsidR="00C81228" w:rsidRPr="001D2E87" w:rsidRDefault="00C81228" w:rsidP="001D2E87">
      <w:pPr>
        <w:rPr>
          <w:rFonts w:cs="Arial"/>
          <w:b/>
          <w:color w:val="1F497D" w:themeColor="text2"/>
          <w:sz w:val="24"/>
        </w:rPr>
      </w:pPr>
    </w:p>
    <w:p w14:paraId="19157129" w14:textId="2D36F3C6" w:rsidR="001D2E87" w:rsidRPr="001D2E87" w:rsidRDefault="001D2E87" w:rsidP="001D2E87">
      <w:pPr>
        <w:rPr>
          <w:rFonts w:cs="Arial"/>
          <w:sz w:val="24"/>
        </w:rPr>
      </w:pPr>
      <w:r w:rsidRPr="001D2E87">
        <w:rPr>
          <w:rFonts w:cs="Arial"/>
          <w:sz w:val="24"/>
        </w:rPr>
        <w:t xml:space="preserve">The </w:t>
      </w:r>
      <w:r w:rsidR="00084AD8" w:rsidRPr="001D2E87">
        <w:rPr>
          <w:rFonts w:cs="Arial"/>
          <w:sz w:val="24"/>
        </w:rPr>
        <w:t>six-facet</w:t>
      </w:r>
      <w:r w:rsidRPr="001D2E87">
        <w:rPr>
          <w:rFonts w:cs="Arial"/>
          <w:sz w:val="24"/>
        </w:rPr>
        <w:t xml:space="preserve"> survey is a </w:t>
      </w:r>
      <w:r w:rsidR="002D27B6" w:rsidRPr="001D2E87">
        <w:rPr>
          <w:rFonts w:cs="Arial"/>
          <w:sz w:val="24"/>
        </w:rPr>
        <w:t>long-established</w:t>
      </w:r>
      <w:r w:rsidRPr="001D2E87">
        <w:rPr>
          <w:rFonts w:cs="Arial"/>
          <w:sz w:val="24"/>
        </w:rPr>
        <w:t xml:space="preserve"> set of metrics used in the NHS. The six facets </w:t>
      </w:r>
      <w:proofErr w:type="gramStart"/>
      <w:r w:rsidRPr="001D2E87">
        <w:rPr>
          <w:rFonts w:cs="Arial"/>
          <w:sz w:val="24"/>
        </w:rPr>
        <w:t>take into account</w:t>
      </w:r>
      <w:proofErr w:type="gramEnd"/>
      <w:r w:rsidRPr="001D2E87">
        <w:rPr>
          <w:rFonts w:cs="Arial"/>
          <w:sz w:val="24"/>
        </w:rPr>
        <w:t xml:space="preserve"> physical condition, safety, functional suitability, quality, space utilisation and the environment. </w:t>
      </w:r>
      <w:r w:rsidR="002D27B6" w:rsidRPr="001D2E87">
        <w:rPr>
          <w:rFonts w:cs="Arial"/>
          <w:sz w:val="24"/>
        </w:rPr>
        <w:t>So,</w:t>
      </w:r>
      <w:r w:rsidRPr="001D2E87">
        <w:rPr>
          <w:rFonts w:cs="Arial"/>
          <w:sz w:val="24"/>
        </w:rPr>
        <w:t xml:space="preserve"> between them we can build up a picture of the estate which can be scored at a point in time and then compared against previous scores to determine the </w:t>
      </w:r>
      <w:r w:rsidR="00084AD8" w:rsidRPr="001D2E87">
        <w:rPr>
          <w:rFonts w:cs="Arial"/>
          <w:sz w:val="24"/>
        </w:rPr>
        <w:t>trend but</w:t>
      </w:r>
      <w:r w:rsidRPr="001D2E87">
        <w:rPr>
          <w:rFonts w:cs="Arial"/>
          <w:sz w:val="24"/>
        </w:rPr>
        <w:t xml:space="preserve"> can also be used to create a target for improvement. The facets are generally rated on a simple scale of A-D (Excellent – Poor) with space utilisation being graded according to occupancy. </w:t>
      </w:r>
    </w:p>
    <w:p w14:paraId="66A2E30C" w14:textId="142335FA" w:rsidR="001D2E87" w:rsidRDefault="001D2E87" w:rsidP="001D2E87">
      <w:pPr>
        <w:rPr>
          <w:rFonts w:cs="Arial"/>
          <w:sz w:val="24"/>
        </w:rPr>
      </w:pPr>
      <w:r w:rsidRPr="001D2E87">
        <w:rPr>
          <w:rFonts w:cs="Arial"/>
          <w:sz w:val="24"/>
        </w:rPr>
        <w:t>The current performance of the overall Trust Estate against each of these facets is detailed in t</w:t>
      </w:r>
      <w:r w:rsidR="00C620DA">
        <w:rPr>
          <w:rFonts w:cs="Arial"/>
          <w:sz w:val="24"/>
        </w:rPr>
        <w:t xml:space="preserve">able 1 </w:t>
      </w:r>
      <w:r w:rsidRPr="001D2E87">
        <w:rPr>
          <w:rFonts w:cs="Arial"/>
          <w:sz w:val="24"/>
        </w:rPr>
        <w:t xml:space="preserve">below, note that this </w:t>
      </w:r>
      <w:proofErr w:type="gramStart"/>
      <w:r w:rsidRPr="001D2E87">
        <w:rPr>
          <w:rFonts w:cs="Arial"/>
          <w:sz w:val="24"/>
        </w:rPr>
        <w:t>takes into account</w:t>
      </w:r>
      <w:proofErr w:type="gramEnd"/>
      <w:r w:rsidRPr="001D2E87">
        <w:rPr>
          <w:rFonts w:cs="Arial"/>
          <w:sz w:val="24"/>
        </w:rPr>
        <w:t xml:space="preserve"> the completion of the Northgate adult MSU.: </w:t>
      </w:r>
    </w:p>
    <w:p w14:paraId="6B2792DF" w14:textId="77777777" w:rsidR="001D2E87" w:rsidRPr="001D2E87" w:rsidRDefault="001D2E87" w:rsidP="001D2E87">
      <w:pPr>
        <w:rPr>
          <w:rFonts w:cs="Arial"/>
          <w:sz w:val="24"/>
        </w:rPr>
      </w:pPr>
    </w:p>
    <w:tbl>
      <w:tblPr>
        <w:tblW w:w="8730" w:type="dxa"/>
        <w:tblInd w:w="704" w:type="dxa"/>
        <w:tblLook w:val="04A0" w:firstRow="1" w:lastRow="0" w:firstColumn="1" w:lastColumn="0" w:noHBand="0" w:noVBand="1"/>
      </w:tblPr>
      <w:tblGrid>
        <w:gridCol w:w="2365"/>
        <w:gridCol w:w="1559"/>
        <w:gridCol w:w="1591"/>
        <w:gridCol w:w="1623"/>
        <w:gridCol w:w="1592"/>
      </w:tblGrid>
      <w:tr w:rsidR="001D2E87" w:rsidRPr="00D06CB1" w14:paraId="5325310A" w14:textId="77777777" w:rsidTr="00981836">
        <w:trPr>
          <w:trHeight w:val="302"/>
        </w:trPr>
        <w:tc>
          <w:tcPr>
            <w:tcW w:w="8722" w:type="dxa"/>
            <w:gridSpan w:val="5"/>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1ED2EB3" w14:textId="77777777" w:rsidR="001D2E87" w:rsidRPr="00D06CB1" w:rsidRDefault="001D2E87" w:rsidP="00981836">
            <w:pPr>
              <w:jc w:val="center"/>
              <w:rPr>
                <w:rFonts w:cs="Calibri"/>
                <w:b/>
                <w:bCs/>
                <w:color w:val="000000"/>
              </w:rPr>
            </w:pPr>
            <w:r w:rsidRPr="00D06CB1">
              <w:rPr>
                <w:rFonts w:cs="Calibri"/>
                <w:b/>
                <w:bCs/>
                <w:color w:val="000000"/>
              </w:rPr>
              <w:t>ALL SITES</w:t>
            </w:r>
          </w:p>
        </w:tc>
      </w:tr>
      <w:tr w:rsidR="001D2E87" w:rsidRPr="00D06CB1" w14:paraId="7EE34318" w14:textId="77777777" w:rsidTr="00981836">
        <w:trPr>
          <w:trHeight w:val="309"/>
        </w:trPr>
        <w:tc>
          <w:tcPr>
            <w:tcW w:w="23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72652" w14:textId="77777777" w:rsidR="001D2E87" w:rsidRPr="00D06CB1" w:rsidRDefault="001D2E87" w:rsidP="00981836">
            <w:pPr>
              <w:jc w:val="center"/>
              <w:rPr>
                <w:rFonts w:cs="Calibri"/>
                <w:b/>
                <w:bCs/>
                <w:color w:val="000000"/>
              </w:rPr>
            </w:pPr>
            <w:r w:rsidRPr="00D06CB1">
              <w:rPr>
                <w:rFonts w:cs="Calibri"/>
                <w:b/>
                <w:bCs/>
                <w:color w:val="000000"/>
              </w:rPr>
              <w:t>Facet</w:t>
            </w:r>
          </w:p>
        </w:tc>
        <w:tc>
          <w:tcPr>
            <w:tcW w:w="635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CE601E3" w14:textId="77777777" w:rsidR="001D2E87" w:rsidRPr="00D06CB1" w:rsidRDefault="001D2E87" w:rsidP="00981836">
            <w:pPr>
              <w:jc w:val="center"/>
              <w:rPr>
                <w:rFonts w:cs="Calibri"/>
                <w:b/>
                <w:bCs/>
                <w:color w:val="000000"/>
              </w:rPr>
            </w:pPr>
            <w:r w:rsidRPr="00D06CB1">
              <w:rPr>
                <w:rFonts w:cs="Calibri"/>
                <w:b/>
                <w:bCs/>
                <w:color w:val="000000"/>
              </w:rPr>
              <w:t>% Ranking</w:t>
            </w:r>
          </w:p>
        </w:tc>
      </w:tr>
      <w:tr w:rsidR="001D2E87" w:rsidRPr="00D06CB1" w14:paraId="38B541DE" w14:textId="77777777" w:rsidTr="00981836">
        <w:trPr>
          <w:trHeight w:val="309"/>
        </w:trPr>
        <w:tc>
          <w:tcPr>
            <w:tcW w:w="2365" w:type="dxa"/>
            <w:vMerge/>
            <w:tcBorders>
              <w:top w:val="single" w:sz="4" w:space="0" w:color="auto"/>
              <w:left w:val="single" w:sz="4" w:space="0" w:color="auto"/>
              <w:bottom w:val="single" w:sz="4" w:space="0" w:color="auto"/>
              <w:right w:val="single" w:sz="4" w:space="0" w:color="auto"/>
            </w:tcBorders>
            <w:vAlign w:val="center"/>
            <w:hideMark/>
          </w:tcPr>
          <w:p w14:paraId="6F91E38E" w14:textId="77777777" w:rsidR="001D2E87" w:rsidRPr="00D06CB1" w:rsidRDefault="001D2E87" w:rsidP="00981836">
            <w:pPr>
              <w:rPr>
                <w:rFonts w:cs="Calibri"/>
                <w:b/>
                <w:bCs/>
                <w:color w:val="000000"/>
              </w:rPr>
            </w:pP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4AD3B7E5" w14:textId="77777777" w:rsidR="001D2E87" w:rsidRPr="00D06CB1" w:rsidRDefault="001D2E87" w:rsidP="00981836">
            <w:pPr>
              <w:jc w:val="center"/>
              <w:rPr>
                <w:rFonts w:cs="Calibri"/>
                <w:b/>
                <w:bCs/>
                <w:color w:val="000000"/>
              </w:rPr>
            </w:pPr>
            <w:r w:rsidRPr="00D06CB1">
              <w:rPr>
                <w:rFonts w:cs="Calibri"/>
                <w:b/>
                <w:bCs/>
                <w:color w:val="000000"/>
              </w:rPr>
              <w:t>A</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742A907" w14:textId="77777777" w:rsidR="001D2E87" w:rsidRPr="00D06CB1" w:rsidRDefault="001D2E87" w:rsidP="00981836">
            <w:pPr>
              <w:jc w:val="center"/>
              <w:rPr>
                <w:rFonts w:cs="Calibri"/>
                <w:b/>
                <w:bCs/>
                <w:color w:val="000000"/>
              </w:rPr>
            </w:pPr>
            <w:r w:rsidRPr="00D06CB1">
              <w:rPr>
                <w:rFonts w:cs="Calibri"/>
                <w:b/>
                <w:bCs/>
                <w:color w:val="000000"/>
              </w:rPr>
              <w:t>B</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35B4D68" w14:textId="77777777" w:rsidR="001D2E87" w:rsidRPr="00D06CB1" w:rsidRDefault="001D2E87" w:rsidP="00981836">
            <w:pPr>
              <w:jc w:val="center"/>
              <w:rPr>
                <w:rFonts w:cs="Calibri"/>
                <w:b/>
                <w:bCs/>
                <w:color w:val="000000"/>
              </w:rPr>
            </w:pPr>
            <w:r w:rsidRPr="00D06CB1">
              <w:rPr>
                <w:rFonts w:cs="Calibri"/>
                <w:b/>
                <w:bCs/>
                <w:color w:val="000000"/>
              </w:rPr>
              <w:t>C</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30B55CC8" w14:textId="77777777" w:rsidR="001D2E87" w:rsidRPr="00D06CB1" w:rsidRDefault="001D2E87" w:rsidP="00981836">
            <w:pPr>
              <w:jc w:val="center"/>
              <w:rPr>
                <w:rFonts w:cs="Calibri"/>
                <w:b/>
                <w:bCs/>
                <w:color w:val="000000"/>
              </w:rPr>
            </w:pPr>
            <w:r w:rsidRPr="00D06CB1">
              <w:rPr>
                <w:rFonts w:cs="Calibri"/>
                <w:b/>
                <w:bCs/>
                <w:color w:val="000000"/>
              </w:rPr>
              <w:t>D</w:t>
            </w:r>
          </w:p>
        </w:tc>
      </w:tr>
      <w:tr w:rsidR="001D2E87" w:rsidRPr="00D06CB1" w14:paraId="46EE19AC"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CB9FE" w14:textId="77777777" w:rsidR="001D2E87" w:rsidRPr="00D06CB1" w:rsidRDefault="001D2E87" w:rsidP="00981836">
            <w:pPr>
              <w:rPr>
                <w:rFonts w:cs="Calibri"/>
                <w:b/>
                <w:bCs/>
                <w:color w:val="000000"/>
              </w:rPr>
            </w:pPr>
            <w:r w:rsidRPr="00D06CB1">
              <w:rPr>
                <w:rFonts w:cs="Calibri"/>
                <w:b/>
                <w:bCs/>
                <w:color w:val="000000"/>
              </w:rPr>
              <w:t>Physical condition</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2967FEAC" w14:textId="77777777" w:rsidR="001D2E87" w:rsidRPr="00D06CB1" w:rsidRDefault="001D2E87" w:rsidP="00981836">
            <w:pPr>
              <w:jc w:val="center"/>
              <w:rPr>
                <w:rFonts w:cs="Calibri"/>
                <w:b/>
                <w:bCs/>
                <w:color w:val="000000"/>
              </w:rPr>
            </w:pPr>
            <w:r w:rsidRPr="00D06CB1">
              <w:rPr>
                <w:rFonts w:cs="Calibri"/>
                <w:b/>
                <w:bCs/>
                <w:color w:val="000000"/>
              </w:rPr>
              <w:t>7.5</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5A1C535" w14:textId="77777777" w:rsidR="001D2E87" w:rsidRPr="00D06CB1" w:rsidRDefault="001D2E87" w:rsidP="00981836">
            <w:pPr>
              <w:jc w:val="center"/>
              <w:rPr>
                <w:rFonts w:cs="Calibri"/>
                <w:b/>
                <w:bCs/>
                <w:color w:val="000000"/>
              </w:rPr>
            </w:pPr>
            <w:r w:rsidRPr="00D06CB1">
              <w:rPr>
                <w:rFonts w:cs="Calibri"/>
                <w:b/>
                <w:bCs/>
                <w:color w:val="000000"/>
              </w:rPr>
              <w:t>81.5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A1748FC" w14:textId="77777777" w:rsidR="001D2E87" w:rsidRPr="00D06CB1" w:rsidRDefault="001D2E87" w:rsidP="00981836">
            <w:pPr>
              <w:jc w:val="center"/>
              <w:rPr>
                <w:rFonts w:cs="Calibri"/>
                <w:b/>
                <w:bCs/>
                <w:color w:val="000000"/>
              </w:rPr>
            </w:pPr>
            <w:r w:rsidRPr="00D06CB1">
              <w:rPr>
                <w:rFonts w:cs="Calibri"/>
                <w:b/>
                <w:bCs/>
                <w:color w:val="000000"/>
              </w:rPr>
              <w:t>10.7</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6A57D75E" w14:textId="77777777" w:rsidR="001D2E87" w:rsidRPr="00D06CB1" w:rsidRDefault="001D2E87" w:rsidP="00981836">
            <w:pPr>
              <w:jc w:val="center"/>
              <w:rPr>
                <w:rFonts w:cs="Calibri"/>
                <w:b/>
                <w:bCs/>
                <w:color w:val="000000"/>
              </w:rPr>
            </w:pPr>
            <w:r w:rsidRPr="00D06CB1">
              <w:rPr>
                <w:rFonts w:cs="Calibri"/>
                <w:b/>
                <w:bCs/>
                <w:color w:val="000000"/>
              </w:rPr>
              <w:t>0.3</w:t>
            </w:r>
          </w:p>
        </w:tc>
      </w:tr>
      <w:tr w:rsidR="001D2E87" w:rsidRPr="00D06CB1" w14:paraId="0F53C961"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BC43C" w14:textId="77777777" w:rsidR="001D2E87" w:rsidRPr="00D06CB1" w:rsidRDefault="001D2E87" w:rsidP="00981836">
            <w:pPr>
              <w:rPr>
                <w:rFonts w:cs="Calibri"/>
                <w:b/>
                <w:bCs/>
                <w:color w:val="000000"/>
              </w:rPr>
            </w:pPr>
            <w:r w:rsidRPr="00D06CB1">
              <w:rPr>
                <w:rFonts w:cs="Calibri"/>
                <w:b/>
                <w:bCs/>
                <w:color w:val="000000"/>
              </w:rPr>
              <w:t>Quality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56840916" w14:textId="77777777" w:rsidR="001D2E87" w:rsidRPr="00D06CB1" w:rsidRDefault="001D2E87" w:rsidP="00981836">
            <w:pPr>
              <w:jc w:val="center"/>
              <w:rPr>
                <w:rFonts w:cs="Calibri"/>
                <w:b/>
                <w:bCs/>
                <w:color w:val="000000"/>
              </w:rPr>
            </w:pPr>
            <w:r w:rsidRPr="00D06CB1">
              <w:rPr>
                <w:rFonts w:cs="Calibri"/>
                <w:b/>
                <w:bCs/>
                <w:color w:val="000000"/>
              </w:rPr>
              <w:t>5.6</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25D8249" w14:textId="77777777" w:rsidR="001D2E87" w:rsidRPr="00D06CB1" w:rsidRDefault="001D2E87" w:rsidP="00981836">
            <w:pPr>
              <w:jc w:val="center"/>
              <w:rPr>
                <w:rFonts w:cs="Calibri"/>
                <w:b/>
                <w:bCs/>
                <w:color w:val="000000"/>
              </w:rPr>
            </w:pPr>
            <w:r w:rsidRPr="00D06CB1">
              <w:rPr>
                <w:rFonts w:cs="Calibri"/>
                <w:b/>
                <w:bCs/>
                <w:color w:val="000000"/>
              </w:rPr>
              <w:t>82.3</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85BF692" w14:textId="77777777" w:rsidR="001D2E87" w:rsidRPr="00D06CB1" w:rsidRDefault="001D2E87" w:rsidP="00981836">
            <w:pPr>
              <w:jc w:val="center"/>
              <w:rPr>
                <w:rFonts w:cs="Calibri"/>
                <w:b/>
                <w:bCs/>
                <w:color w:val="000000"/>
              </w:rPr>
            </w:pPr>
            <w:r w:rsidRPr="00D06CB1">
              <w:rPr>
                <w:rFonts w:cs="Calibri"/>
                <w:b/>
                <w:bCs/>
                <w:color w:val="000000"/>
              </w:rPr>
              <w:t>12.1</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7B0F26E3" w14:textId="77777777" w:rsidR="001D2E87" w:rsidRPr="00D06CB1" w:rsidRDefault="001D2E87" w:rsidP="00981836">
            <w:pPr>
              <w:jc w:val="center"/>
              <w:rPr>
                <w:rFonts w:cs="Calibri"/>
                <w:b/>
                <w:bCs/>
                <w:color w:val="000000"/>
              </w:rPr>
            </w:pPr>
            <w:r w:rsidRPr="00D06CB1">
              <w:rPr>
                <w:rFonts w:cs="Calibri"/>
                <w:b/>
                <w:bCs/>
                <w:color w:val="000000"/>
              </w:rPr>
              <w:t>0</w:t>
            </w:r>
          </w:p>
        </w:tc>
      </w:tr>
      <w:tr w:rsidR="001D2E87" w:rsidRPr="00D06CB1" w14:paraId="275DBAB3"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14BE8" w14:textId="77777777" w:rsidR="001D2E87" w:rsidRPr="00D06CB1" w:rsidRDefault="001D2E87" w:rsidP="00981836">
            <w:pPr>
              <w:rPr>
                <w:rFonts w:cs="Calibri"/>
                <w:b/>
                <w:bCs/>
                <w:color w:val="000000"/>
              </w:rPr>
            </w:pPr>
            <w:r w:rsidRPr="00D06CB1">
              <w:rPr>
                <w:rFonts w:cs="Calibri"/>
                <w:b/>
                <w:bCs/>
                <w:color w:val="000000"/>
              </w:rPr>
              <w:t>Functional suitability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5BA9C990" w14:textId="77777777" w:rsidR="001D2E87" w:rsidRPr="00D06CB1" w:rsidRDefault="001D2E87" w:rsidP="00981836">
            <w:pPr>
              <w:jc w:val="center"/>
              <w:rPr>
                <w:rFonts w:cs="Calibri"/>
                <w:b/>
                <w:bCs/>
                <w:color w:val="000000"/>
              </w:rPr>
            </w:pPr>
            <w:r w:rsidRPr="00D06CB1">
              <w:rPr>
                <w:rFonts w:cs="Calibri"/>
                <w:b/>
                <w:bCs/>
                <w:color w:val="000000"/>
              </w:rPr>
              <w:t>24.5</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BA681B1" w14:textId="77777777" w:rsidR="001D2E87" w:rsidRPr="00D06CB1" w:rsidRDefault="001D2E87" w:rsidP="00981836">
            <w:pPr>
              <w:jc w:val="center"/>
              <w:rPr>
                <w:rFonts w:cs="Calibri"/>
                <w:b/>
                <w:bCs/>
                <w:color w:val="000000"/>
              </w:rPr>
            </w:pPr>
            <w:r w:rsidRPr="00D06CB1">
              <w:rPr>
                <w:rFonts w:cs="Calibri"/>
                <w:b/>
                <w:bCs/>
                <w:color w:val="000000"/>
              </w:rPr>
              <w:t>70.5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CA17C0" w14:textId="77777777" w:rsidR="001D2E87" w:rsidRPr="00D06CB1" w:rsidRDefault="001D2E87" w:rsidP="00981836">
            <w:pPr>
              <w:jc w:val="center"/>
              <w:rPr>
                <w:rFonts w:cs="Calibri"/>
                <w:b/>
                <w:bCs/>
                <w:color w:val="000000"/>
              </w:rPr>
            </w:pPr>
            <w:r w:rsidRPr="00D06CB1">
              <w:rPr>
                <w:rFonts w:cs="Calibri"/>
                <w:b/>
                <w:bCs/>
                <w:color w:val="000000"/>
              </w:rPr>
              <w:t>5</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2CFE0049" w14:textId="77777777" w:rsidR="001D2E87" w:rsidRPr="00D06CB1" w:rsidRDefault="001D2E87" w:rsidP="00981836">
            <w:pPr>
              <w:jc w:val="center"/>
              <w:rPr>
                <w:rFonts w:cs="Calibri"/>
                <w:b/>
                <w:bCs/>
                <w:color w:val="000000"/>
              </w:rPr>
            </w:pPr>
            <w:r w:rsidRPr="00D06CB1">
              <w:rPr>
                <w:rFonts w:cs="Calibri"/>
                <w:b/>
                <w:bCs/>
                <w:color w:val="000000"/>
              </w:rPr>
              <w:t>0</w:t>
            </w:r>
          </w:p>
        </w:tc>
      </w:tr>
      <w:tr w:rsidR="001D2E87" w:rsidRPr="00D06CB1" w14:paraId="2E41AAF3"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0381F" w14:textId="77777777" w:rsidR="001D2E87" w:rsidRPr="00D06CB1" w:rsidRDefault="001D2E87" w:rsidP="00981836">
            <w:pPr>
              <w:rPr>
                <w:rFonts w:cs="Calibri"/>
                <w:b/>
                <w:bCs/>
                <w:color w:val="000000"/>
              </w:rPr>
            </w:pPr>
            <w:r w:rsidRPr="00D06CB1">
              <w:rPr>
                <w:rFonts w:cs="Calibri"/>
                <w:b/>
                <w:bCs/>
                <w:color w:val="000000"/>
              </w:rPr>
              <w:t>Fire, health and safety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C05E7F6" w14:textId="77777777" w:rsidR="001D2E87" w:rsidRPr="00D06CB1" w:rsidRDefault="001D2E87" w:rsidP="00981836">
            <w:pPr>
              <w:jc w:val="center"/>
              <w:rPr>
                <w:rFonts w:cs="Calibri"/>
                <w:b/>
                <w:bCs/>
                <w:color w:val="000000"/>
              </w:rPr>
            </w:pPr>
            <w:r w:rsidRPr="00D06CB1">
              <w:rPr>
                <w:rFonts w:cs="Calibri"/>
                <w:b/>
                <w:bCs/>
                <w:color w:val="000000"/>
              </w:rPr>
              <w:t>21.9</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9A09505" w14:textId="77777777" w:rsidR="001D2E87" w:rsidRPr="00D06CB1" w:rsidRDefault="001D2E87" w:rsidP="00981836">
            <w:pPr>
              <w:jc w:val="center"/>
              <w:rPr>
                <w:rFonts w:cs="Calibri"/>
                <w:b/>
                <w:bCs/>
                <w:color w:val="000000"/>
              </w:rPr>
            </w:pPr>
            <w:r w:rsidRPr="00D06CB1">
              <w:rPr>
                <w:rFonts w:cs="Calibri"/>
                <w:b/>
                <w:bCs/>
                <w:color w:val="000000"/>
              </w:rPr>
              <w:t>73.2</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081B3B0" w14:textId="77777777" w:rsidR="001D2E87" w:rsidRPr="00D06CB1" w:rsidRDefault="001D2E87" w:rsidP="00981836">
            <w:pPr>
              <w:jc w:val="center"/>
              <w:rPr>
                <w:rFonts w:cs="Calibri"/>
                <w:b/>
                <w:bCs/>
                <w:color w:val="000000"/>
              </w:rPr>
            </w:pPr>
            <w:r w:rsidRPr="00D06CB1">
              <w:rPr>
                <w:rFonts w:cs="Calibri"/>
                <w:b/>
                <w:bCs/>
                <w:color w:val="000000"/>
              </w:rPr>
              <w:t>4.9</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7AD73CBA" w14:textId="77777777" w:rsidR="001D2E87" w:rsidRPr="00D06CB1" w:rsidRDefault="001D2E87" w:rsidP="00981836">
            <w:pPr>
              <w:jc w:val="center"/>
              <w:rPr>
                <w:rFonts w:cs="Calibri"/>
                <w:b/>
                <w:bCs/>
                <w:color w:val="000000"/>
              </w:rPr>
            </w:pPr>
            <w:r w:rsidRPr="00D06CB1">
              <w:rPr>
                <w:rFonts w:cs="Calibri"/>
                <w:b/>
                <w:bCs/>
                <w:color w:val="000000"/>
              </w:rPr>
              <w:t>0</w:t>
            </w:r>
          </w:p>
        </w:tc>
      </w:tr>
      <w:tr w:rsidR="001D2E87" w:rsidRPr="00D06CB1" w14:paraId="360DD6C6"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7FE07" w14:textId="77777777" w:rsidR="001D2E87" w:rsidRPr="00D06CB1" w:rsidRDefault="001D2E87" w:rsidP="005F6EE5">
            <w:pPr>
              <w:rPr>
                <w:rFonts w:cs="Calibri"/>
                <w:b/>
                <w:bCs/>
                <w:color w:val="000000"/>
              </w:rPr>
            </w:pPr>
            <w:r w:rsidRPr="00D06CB1">
              <w:rPr>
                <w:rFonts w:cs="Calibri"/>
                <w:b/>
                <w:bCs/>
                <w:color w:val="000000"/>
              </w:rPr>
              <w:t>Environmental management</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6CE90C89" w14:textId="77777777" w:rsidR="001D2E87" w:rsidRPr="00D06CB1" w:rsidRDefault="001D2E87" w:rsidP="005F6EE5">
            <w:pPr>
              <w:jc w:val="center"/>
              <w:rPr>
                <w:rFonts w:cs="Calibri"/>
                <w:b/>
                <w:bCs/>
                <w:color w:val="000000"/>
              </w:rPr>
            </w:pPr>
            <w:r w:rsidRPr="00D06CB1">
              <w:rPr>
                <w:rFonts w:cs="Calibri"/>
                <w:b/>
                <w:bCs/>
                <w:color w:val="000000"/>
              </w:rPr>
              <w:t>0</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392D43D" w14:textId="77777777" w:rsidR="001D2E87" w:rsidRPr="00D06CB1" w:rsidRDefault="001D2E87" w:rsidP="005F6EE5">
            <w:pPr>
              <w:jc w:val="center"/>
              <w:rPr>
                <w:rFonts w:cs="Calibri"/>
                <w:b/>
                <w:bCs/>
                <w:color w:val="000000"/>
              </w:rPr>
            </w:pPr>
            <w:r>
              <w:rPr>
                <w:rFonts w:cs="Calibri"/>
                <w:b/>
                <w:bCs/>
                <w:color w:val="000000"/>
              </w:rPr>
              <w:t>60.5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E4F45C" w14:textId="77777777" w:rsidR="001D2E87" w:rsidRPr="00D06CB1" w:rsidRDefault="001D2E87" w:rsidP="005F6EE5">
            <w:pPr>
              <w:jc w:val="center"/>
              <w:rPr>
                <w:rFonts w:cs="Calibri"/>
                <w:b/>
                <w:bCs/>
                <w:color w:val="000000"/>
              </w:rPr>
            </w:pPr>
            <w:r>
              <w:rPr>
                <w:rFonts w:cs="Calibri"/>
                <w:b/>
                <w:bCs/>
                <w:color w:val="000000"/>
              </w:rPr>
              <w:t>36.6</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547F6335" w14:textId="77777777" w:rsidR="001D2E87" w:rsidRPr="00D06CB1" w:rsidRDefault="001D2E87" w:rsidP="005F6EE5">
            <w:pPr>
              <w:jc w:val="center"/>
              <w:rPr>
                <w:rFonts w:cs="Calibri"/>
                <w:b/>
                <w:bCs/>
                <w:color w:val="000000"/>
              </w:rPr>
            </w:pPr>
            <w:r>
              <w:rPr>
                <w:rFonts w:cs="Calibri"/>
                <w:b/>
                <w:bCs/>
                <w:color w:val="000000"/>
              </w:rPr>
              <w:t>2.7</w:t>
            </w:r>
          </w:p>
        </w:tc>
      </w:tr>
      <w:tr w:rsidR="001D2E87" w:rsidRPr="00D06CB1" w14:paraId="49B5A75E"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540B2" w14:textId="77777777" w:rsidR="001D2E87" w:rsidRPr="00D06CB1" w:rsidRDefault="001D2E87" w:rsidP="00981836">
            <w:pPr>
              <w:rPr>
                <w:rFonts w:cs="Calibri"/>
                <w:b/>
                <w:bCs/>
                <w:color w:val="000000"/>
              </w:rPr>
            </w:pPr>
            <w:r w:rsidRPr="00D06CB1">
              <w:rPr>
                <w:rFonts w:cs="Calibri"/>
                <w:b/>
                <w:bCs/>
                <w:color w:val="000000"/>
              </w:rPr>
              <w:t> </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1ABFD38B" w14:textId="77777777" w:rsidR="001D2E87" w:rsidRPr="00D06CB1" w:rsidRDefault="001D2E87" w:rsidP="00981836">
            <w:pPr>
              <w:jc w:val="center"/>
              <w:rPr>
                <w:rFonts w:cs="Calibri"/>
                <w:b/>
                <w:bCs/>
                <w:color w:val="000000"/>
              </w:rPr>
            </w:pPr>
            <w:r w:rsidRPr="00D06CB1">
              <w:rPr>
                <w:rFonts w:cs="Calibri"/>
                <w:b/>
                <w:bCs/>
                <w:color w:val="000000"/>
              </w:rPr>
              <w:t>Full</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C233E08" w14:textId="77777777" w:rsidR="001D2E87" w:rsidRPr="00D06CB1" w:rsidRDefault="001D2E87" w:rsidP="00981836">
            <w:pPr>
              <w:jc w:val="center"/>
              <w:rPr>
                <w:rFonts w:cs="Calibri"/>
                <w:b/>
                <w:bCs/>
                <w:color w:val="000000"/>
              </w:rPr>
            </w:pPr>
            <w:r w:rsidRPr="00D06CB1">
              <w:rPr>
                <w:rFonts w:cs="Calibri"/>
                <w:b/>
                <w:bCs/>
                <w:color w:val="000000"/>
              </w:rPr>
              <w:t>Underused</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F0F9E21" w14:textId="77777777" w:rsidR="001D2E87" w:rsidRPr="00D06CB1" w:rsidRDefault="001D2E87" w:rsidP="00981836">
            <w:pPr>
              <w:jc w:val="center"/>
              <w:rPr>
                <w:rFonts w:cs="Calibri"/>
                <w:b/>
                <w:bCs/>
                <w:color w:val="000000"/>
              </w:rPr>
            </w:pPr>
            <w:r w:rsidRPr="00D06CB1">
              <w:rPr>
                <w:rFonts w:cs="Calibri"/>
                <w:b/>
                <w:bCs/>
                <w:color w:val="000000"/>
              </w:rPr>
              <w:t>Overcrowded</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15326767" w14:textId="77777777" w:rsidR="001D2E87" w:rsidRPr="00D06CB1" w:rsidRDefault="001D2E87" w:rsidP="00981836">
            <w:pPr>
              <w:jc w:val="center"/>
              <w:rPr>
                <w:rFonts w:cs="Calibri"/>
                <w:b/>
                <w:bCs/>
                <w:color w:val="000000"/>
              </w:rPr>
            </w:pPr>
            <w:r w:rsidRPr="00D06CB1">
              <w:rPr>
                <w:rFonts w:cs="Calibri"/>
                <w:b/>
                <w:bCs/>
                <w:color w:val="000000"/>
              </w:rPr>
              <w:t xml:space="preserve">Empty </w:t>
            </w:r>
          </w:p>
        </w:tc>
      </w:tr>
      <w:tr w:rsidR="001D2E87" w:rsidRPr="00D06CB1" w14:paraId="0D602821" w14:textId="77777777" w:rsidTr="00981836">
        <w:trPr>
          <w:trHeight w:val="309"/>
        </w:trPr>
        <w:tc>
          <w:tcPr>
            <w:tcW w:w="2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2AFE4" w14:textId="77777777" w:rsidR="001D2E87" w:rsidRPr="00D06CB1" w:rsidRDefault="001D2E87" w:rsidP="00981836">
            <w:pPr>
              <w:rPr>
                <w:rFonts w:cs="Calibri"/>
                <w:b/>
                <w:bCs/>
                <w:color w:val="000000"/>
              </w:rPr>
            </w:pPr>
            <w:r w:rsidRPr="00D06CB1">
              <w:rPr>
                <w:rFonts w:cs="Calibri"/>
                <w:b/>
                <w:bCs/>
                <w:color w:val="000000"/>
              </w:rPr>
              <w:t>Space Utilisation</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0B82A981" w14:textId="77777777" w:rsidR="001D2E87" w:rsidRPr="00D06CB1" w:rsidRDefault="001D2E87" w:rsidP="00981836">
            <w:pPr>
              <w:jc w:val="center"/>
              <w:rPr>
                <w:rFonts w:cs="Calibri"/>
                <w:b/>
                <w:bCs/>
                <w:color w:val="000000"/>
              </w:rPr>
            </w:pPr>
            <w:r>
              <w:rPr>
                <w:rFonts w:cs="Calibri"/>
                <w:b/>
                <w:bCs/>
                <w:color w:val="000000"/>
              </w:rPr>
              <w:t>85.8</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EAD6E04" w14:textId="77777777" w:rsidR="001D2E87" w:rsidRPr="00D06CB1" w:rsidRDefault="001D2E87" w:rsidP="00981836">
            <w:pPr>
              <w:jc w:val="center"/>
              <w:rPr>
                <w:rFonts w:cs="Calibri"/>
                <w:b/>
                <w:bCs/>
                <w:color w:val="000000"/>
              </w:rPr>
            </w:pPr>
            <w:r>
              <w:rPr>
                <w:rFonts w:cs="Calibri"/>
                <w:b/>
                <w:bCs/>
                <w:color w:val="000000"/>
              </w:rPr>
              <w:t>9.4</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E62531D" w14:textId="77777777" w:rsidR="001D2E87" w:rsidRPr="00D06CB1" w:rsidRDefault="001D2E87" w:rsidP="00981836">
            <w:pPr>
              <w:jc w:val="center"/>
              <w:rPr>
                <w:rFonts w:cs="Calibri"/>
                <w:b/>
                <w:bCs/>
                <w:color w:val="000000"/>
              </w:rPr>
            </w:pPr>
            <w:r>
              <w:rPr>
                <w:rFonts w:cs="Calibri"/>
                <w:b/>
                <w:bCs/>
                <w:color w:val="000000"/>
              </w:rPr>
              <w:t>0.8</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2D1B5A33" w14:textId="77777777" w:rsidR="001D2E87" w:rsidRPr="00D06CB1" w:rsidRDefault="001D2E87" w:rsidP="00981836">
            <w:pPr>
              <w:jc w:val="center"/>
              <w:rPr>
                <w:rFonts w:cs="Calibri"/>
                <w:b/>
                <w:bCs/>
                <w:color w:val="000000"/>
              </w:rPr>
            </w:pPr>
            <w:r w:rsidRPr="00D06CB1">
              <w:rPr>
                <w:rFonts w:cs="Calibri"/>
                <w:b/>
                <w:bCs/>
                <w:color w:val="000000"/>
              </w:rPr>
              <w:t>4</w:t>
            </w:r>
            <w:r>
              <w:rPr>
                <w:rFonts w:cs="Calibri"/>
                <w:b/>
                <w:bCs/>
                <w:color w:val="000000"/>
              </w:rPr>
              <w:t>.1</w:t>
            </w:r>
          </w:p>
        </w:tc>
      </w:tr>
    </w:tbl>
    <w:p w14:paraId="3CF0260C" w14:textId="77777777" w:rsidR="001D2E87" w:rsidRPr="0021348B" w:rsidRDefault="001D2E87" w:rsidP="0021348B">
      <w:pPr>
        <w:ind w:left="1100"/>
        <w:jc w:val="center"/>
      </w:pPr>
      <w:r>
        <w:t>Table 1 Overall Six Facet Survey Summary</w:t>
      </w:r>
    </w:p>
    <w:p w14:paraId="2179A127" w14:textId="77777777" w:rsidR="001D2E87" w:rsidRDefault="001D2E87" w:rsidP="00766FE1">
      <w:pPr>
        <w:ind w:left="720"/>
        <w:rPr>
          <w:b/>
          <w:color w:val="1F497D" w:themeColor="text2"/>
        </w:rPr>
      </w:pPr>
    </w:p>
    <w:p w14:paraId="63F06CB4" w14:textId="683A591D" w:rsidR="001D2E87" w:rsidRPr="0043588B" w:rsidRDefault="001D2E87" w:rsidP="001D2E87">
      <w:pPr>
        <w:rPr>
          <w:b/>
          <w:color w:val="0070C0"/>
        </w:rPr>
      </w:pPr>
      <w:r w:rsidRPr="0043588B">
        <w:rPr>
          <w:b/>
          <w:color w:val="0070C0"/>
        </w:rPr>
        <w:t>Backlog Maintenance</w:t>
      </w:r>
    </w:p>
    <w:p w14:paraId="040022D5" w14:textId="77777777" w:rsidR="00C81228" w:rsidRPr="00766FE1" w:rsidRDefault="00C81228" w:rsidP="001D2E87">
      <w:pPr>
        <w:rPr>
          <w:b/>
          <w:color w:val="1F497D" w:themeColor="text2"/>
        </w:rPr>
      </w:pPr>
    </w:p>
    <w:p w14:paraId="19872722" w14:textId="77777777" w:rsidR="001D2E87" w:rsidRPr="0009344F" w:rsidRDefault="001D2E87" w:rsidP="001D2E87">
      <w:pPr>
        <w:rPr>
          <w:sz w:val="24"/>
        </w:rPr>
      </w:pPr>
      <w:r w:rsidRPr="0009344F">
        <w:rPr>
          <w:sz w:val="24"/>
        </w:rPr>
        <w:t xml:space="preserve">The Trust’s </w:t>
      </w:r>
      <w:r w:rsidRPr="0009344F">
        <w:rPr>
          <w:b/>
          <w:sz w:val="24"/>
        </w:rPr>
        <w:t>backlog maintenance</w:t>
      </w:r>
      <w:r w:rsidRPr="0009344F">
        <w:rPr>
          <w:sz w:val="24"/>
        </w:rPr>
        <w:t xml:space="preserve"> is intrinsically linked to overall condition of the Estate. As of Q4 22/23 the backlog maintenance figure is approximately </w:t>
      </w:r>
      <w:r w:rsidRPr="0009344F">
        <w:rPr>
          <w:b/>
          <w:sz w:val="24"/>
        </w:rPr>
        <w:t>£5M</w:t>
      </w:r>
      <w:r w:rsidRPr="0009344F">
        <w:rPr>
          <w:sz w:val="24"/>
        </w:rPr>
        <w:t xml:space="preserve">. This figure represents the expenditure needed to bring the existing Estate up to a minimum of condition B standard, however, this sum would not address the problems of poor functional suitability, safety issues and quality.  </w:t>
      </w:r>
    </w:p>
    <w:p w14:paraId="533B6363" w14:textId="77777777" w:rsidR="0009344F" w:rsidRPr="0009344F" w:rsidRDefault="0009344F" w:rsidP="001D2E87">
      <w:pPr>
        <w:rPr>
          <w:sz w:val="24"/>
        </w:rPr>
      </w:pPr>
    </w:p>
    <w:p w14:paraId="70F512D9" w14:textId="108ED984" w:rsidR="001D2E87" w:rsidRPr="0009344F" w:rsidRDefault="001D2E87" w:rsidP="001D2E87">
      <w:pPr>
        <w:rPr>
          <w:sz w:val="24"/>
        </w:rPr>
      </w:pPr>
      <w:r w:rsidRPr="0009344F">
        <w:rPr>
          <w:sz w:val="24"/>
        </w:rPr>
        <w:t xml:space="preserve">The trend over the last 4 years has been increasing and this was due to a deteriorating position at Northgate Hospital, Monkwearmouth Hospital and the addition of the Carleton Clinic and other North Cumbria Estate. Whilst the current capital program is addressing Northgate and Monkwearmouth Hospitals there remains pockets of backlog maintenance issues across the estate.  </w:t>
      </w:r>
    </w:p>
    <w:p w14:paraId="04E10453" w14:textId="77777777" w:rsidR="001D2E87" w:rsidRDefault="001D2E87" w:rsidP="005E6C46">
      <w:pPr>
        <w:widowControl w:val="0"/>
        <w:spacing w:line="276" w:lineRule="auto"/>
        <w:rPr>
          <w:rFonts w:eastAsia="Calibri"/>
          <w:b/>
          <w:color w:val="1F497D" w:themeColor="text2"/>
          <w:sz w:val="28"/>
          <w:szCs w:val="28"/>
        </w:rPr>
      </w:pPr>
    </w:p>
    <w:p w14:paraId="1F856D1F" w14:textId="77777777" w:rsidR="00C81228" w:rsidRDefault="00C81228" w:rsidP="005E6C46">
      <w:pPr>
        <w:widowControl w:val="0"/>
        <w:spacing w:line="276" w:lineRule="auto"/>
        <w:rPr>
          <w:rFonts w:eastAsia="Calibri"/>
          <w:b/>
          <w:color w:val="1F497D" w:themeColor="text2"/>
          <w:sz w:val="28"/>
          <w:szCs w:val="28"/>
        </w:rPr>
      </w:pPr>
    </w:p>
    <w:p w14:paraId="3B1BC1C8" w14:textId="77777777" w:rsidR="001D2E87" w:rsidRPr="0043588B" w:rsidRDefault="001D2E87" w:rsidP="001D2E87">
      <w:pPr>
        <w:pStyle w:val="Heading2"/>
        <w:ind w:left="0"/>
        <w:rPr>
          <w:color w:val="0070C0"/>
        </w:rPr>
      </w:pPr>
      <w:r w:rsidRPr="0043588B">
        <w:rPr>
          <w:color w:val="0070C0"/>
        </w:rPr>
        <w:t xml:space="preserve">1.3 </w:t>
      </w:r>
      <w:r w:rsidRPr="0043588B">
        <w:rPr>
          <w:color w:val="0070C0"/>
        </w:rPr>
        <w:tab/>
        <w:t>Where do we want to be?</w:t>
      </w:r>
    </w:p>
    <w:p w14:paraId="2AC32EC3" w14:textId="77777777" w:rsidR="001D2E87" w:rsidRDefault="001D2E87" w:rsidP="0021348B">
      <w:pPr>
        <w:widowControl w:val="0"/>
        <w:spacing w:line="276" w:lineRule="auto"/>
        <w:rPr>
          <w:rFonts w:eastAsia="Calibri"/>
          <w:color w:val="595959"/>
        </w:rPr>
      </w:pPr>
    </w:p>
    <w:p w14:paraId="32E5E648" w14:textId="5ED4F4E0" w:rsidR="001D2E87" w:rsidRDefault="001D2E87" w:rsidP="0021348B">
      <w:pPr>
        <w:widowControl w:val="0"/>
        <w:spacing w:line="276" w:lineRule="auto"/>
        <w:rPr>
          <w:rFonts w:eastAsia="Calibri"/>
          <w:color w:val="595959"/>
        </w:rPr>
      </w:pPr>
      <w:r>
        <w:rPr>
          <w:rFonts w:eastAsia="Calibri"/>
          <w:color w:val="595959"/>
        </w:rPr>
        <w:t xml:space="preserve">This section considers the potential estates implications associated with key drivers for change and service development strategies of the organisation. </w:t>
      </w:r>
    </w:p>
    <w:p w14:paraId="320C3E07" w14:textId="77777777" w:rsidR="001D2E87" w:rsidRPr="0009344F" w:rsidRDefault="001D2E87" w:rsidP="00461F6B">
      <w:pPr>
        <w:widowControl w:val="0"/>
        <w:spacing w:line="276" w:lineRule="auto"/>
        <w:rPr>
          <w:rFonts w:eastAsia="Calibri"/>
          <w:b/>
          <w:color w:val="595959"/>
          <w:sz w:val="24"/>
        </w:rPr>
      </w:pPr>
    </w:p>
    <w:p w14:paraId="38C01CB7" w14:textId="1CE5AC35" w:rsidR="001D2E87" w:rsidRPr="00C81228" w:rsidRDefault="001D2E87" w:rsidP="00461F6B">
      <w:pPr>
        <w:widowControl w:val="0"/>
        <w:spacing w:line="276" w:lineRule="auto"/>
        <w:rPr>
          <w:rFonts w:eastAsia="Calibri"/>
          <w:b/>
          <w:color w:val="0070C0"/>
          <w:sz w:val="24"/>
        </w:rPr>
      </w:pPr>
      <w:r w:rsidRPr="00C81228">
        <w:rPr>
          <w:rFonts w:eastAsia="Calibri"/>
          <w:b/>
          <w:color w:val="0070C0"/>
          <w:sz w:val="24"/>
        </w:rPr>
        <w:t>Internal Drivers</w:t>
      </w:r>
    </w:p>
    <w:p w14:paraId="159509F3" w14:textId="77777777" w:rsidR="001D2E87" w:rsidRPr="00C81228" w:rsidRDefault="001D2E87" w:rsidP="00461F6B">
      <w:pPr>
        <w:widowControl w:val="0"/>
        <w:spacing w:line="276" w:lineRule="auto"/>
        <w:rPr>
          <w:rFonts w:eastAsia="Calibri"/>
          <w:b/>
          <w:color w:val="0070C0"/>
          <w:sz w:val="24"/>
        </w:rPr>
      </w:pPr>
    </w:p>
    <w:p w14:paraId="3D1A7A0A" w14:textId="1AB4650B" w:rsidR="001D2E87" w:rsidRPr="00C81228" w:rsidRDefault="001D2E87" w:rsidP="00461F6B">
      <w:pPr>
        <w:widowControl w:val="0"/>
        <w:spacing w:line="276" w:lineRule="auto"/>
        <w:rPr>
          <w:rFonts w:eastAsia="Calibri"/>
          <w:b/>
          <w:color w:val="0070C0"/>
          <w:sz w:val="24"/>
        </w:rPr>
      </w:pPr>
      <w:r w:rsidRPr="00C81228">
        <w:rPr>
          <w:rFonts w:eastAsia="Calibri"/>
          <w:b/>
          <w:color w:val="0070C0"/>
          <w:sz w:val="24"/>
        </w:rPr>
        <w:t>Trust Strategy</w:t>
      </w:r>
    </w:p>
    <w:p w14:paraId="79EF35A4" w14:textId="77777777" w:rsidR="001D2E87" w:rsidRPr="0009344F" w:rsidRDefault="001D2E87" w:rsidP="00461F6B">
      <w:pPr>
        <w:widowControl w:val="0"/>
        <w:spacing w:line="276" w:lineRule="auto"/>
        <w:rPr>
          <w:rFonts w:eastAsia="Calibri"/>
          <w:color w:val="595959"/>
          <w:sz w:val="24"/>
        </w:rPr>
      </w:pPr>
    </w:p>
    <w:p w14:paraId="3BC89824" w14:textId="6AFE40FC" w:rsidR="001D2E87" w:rsidRPr="0009344F" w:rsidRDefault="001D2E87" w:rsidP="00461F6B">
      <w:pPr>
        <w:widowControl w:val="0"/>
        <w:spacing w:line="276" w:lineRule="auto"/>
        <w:rPr>
          <w:rFonts w:eastAsia="Calibri"/>
          <w:color w:val="595959"/>
          <w:sz w:val="24"/>
        </w:rPr>
      </w:pPr>
      <w:r w:rsidRPr="0009344F">
        <w:rPr>
          <w:rFonts w:eastAsia="Calibri"/>
          <w:color w:val="595959"/>
          <w:sz w:val="24"/>
        </w:rPr>
        <w:t>The Trust is in the process of updating its strategy. The current strategy has set out a framework for its Vision, Values, Quality Goals, Strategic Ambitions and Plans and this is illustrated below</w:t>
      </w:r>
      <w:r w:rsidR="0009344F">
        <w:rPr>
          <w:rFonts w:eastAsia="Calibri"/>
          <w:color w:val="595959"/>
          <w:sz w:val="24"/>
        </w:rPr>
        <w:t xml:space="preserve"> in figure 1</w:t>
      </w:r>
      <w:r w:rsidRPr="0009344F">
        <w:rPr>
          <w:rFonts w:eastAsia="Calibri"/>
          <w:color w:val="595959"/>
          <w:sz w:val="24"/>
        </w:rPr>
        <w:t xml:space="preserve">. </w:t>
      </w:r>
    </w:p>
    <w:p w14:paraId="198173FF" w14:textId="77777777" w:rsidR="001D2E87" w:rsidRDefault="001D2E87" w:rsidP="007B7C5B">
      <w:pPr>
        <w:widowControl w:val="0"/>
        <w:spacing w:line="276" w:lineRule="auto"/>
        <w:jc w:val="center"/>
        <w:rPr>
          <w:rFonts w:eastAsia="Calibri"/>
          <w:color w:val="595959"/>
        </w:rPr>
      </w:pPr>
      <w:r>
        <w:rPr>
          <w:noProof/>
          <w:lang w:eastAsia="en-GB"/>
        </w:rPr>
        <w:drawing>
          <wp:inline distT="0" distB="0" distL="0" distR="0" wp14:anchorId="212BFE99" wp14:editId="2FD30A80">
            <wp:extent cx="3463200" cy="3697838"/>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86714" cy="3722945"/>
                    </a:xfrm>
                    <a:prstGeom prst="rect">
                      <a:avLst/>
                    </a:prstGeom>
                  </pic:spPr>
                </pic:pic>
              </a:graphicData>
            </a:graphic>
          </wp:inline>
        </w:drawing>
      </w:r>
    </w:p>
    <w:p w14:paraId="164BCC17" w14:textId="77777777" w:rsidR="001D2E87" w:rsidRPr="007B5E43" w:rsidRDefault="001D2E87" w:rsidP="00764758">
      <w:pPr>
        <w:jc w:val="center"/>
        <w:rPr>
          <w:rFonts w:eastAsia="Calibri"/>
          <w:color w:val="595959"/>
        </w:rPr>
      </w:pPr>
      <w:r>
        <w:t>Figure 1 Trust Vision, Values, Quality Goals and Strategic Ambitions</w:t>
      </w:r>
    </w:p>
    <w:p w14:paraId="74E148A6" w14:textId="77777777" w:rsidR="001D2E87" w:rsidRDefault="001D2E87" w:rsidP="00D31B96">
      <w:pPr>
        <w:widowControl w:val="0"/>
        <w:spacing w:line="276" w:lineRule="auto"/>
        <w:rPr>
          <w:rFonts w:eastAsia="Calibri"/>
          <w:color w:val="595959"/>
        </w:rPr>
      </w:pPr>
    </w:p>
    <w:p w14:paraId="01ACEE49" w14:textId="77777777" w:rsidR="001D2E87" w:rsidRDefault="001D2E87" w:rsidP="00D31B96">
      <w:pPr>
        <w:widowControl w:val="0"/>
        <w:spacing w:line="276" w:lineRule="auto"/>
        <w:rPr>
          <w:rFonts w:eastAsia="Calibri"/>
        </w:rPr>
      </w:pPr>
      <w:r>
        <w:rPr>
          <w:rFonts w:eastAsia="Calibri"/>
          <w:color w:val="595959"/>
        </w:rPr>
        <w:t xml:space="preserve">The estate plays a significant role in the delivery and support of the </w:t>
      </w:r>
      <w:r w:rsidRPr="007B7C5B">
        <w:rPr>
          <w:rFonts w:eastAsia="Calibri"/>
          <w:color w:val="595959"/>
        </w:rPr>
        <w:t>Vision, Values, Quality Goals, Strategic Ambitions and Plans</w:t>
      </w:r>
      <w:r>
        <w:rPr>
          <w:rFonts w:eastAsia="Calibri"/>
          <w:color w:val="595959"/>
        </w:rPr>
        <w:t xml:space="preserve"> and underpins</w:t>
      </w:r>
      <w:r w:rsidRPr="007B7C5B">
        <w:rPr>
          <w:rFonts w:eastAsia="Calibri"/>
          <w:color w:val="595959"/>
        </w:rPr>
        <w:t xml:space="preserve"> </w:t>
      </w:r>
      <w:r>
        <w:rPr>
          <w:rFonts w:eastAsia="Calibri"/>
          <w:color w:val="595959"/>
        </w:rPr>
        <w:t xml:space="preserve">day to day work activities and the care of the patients and needs to deliver in </w:t>
      </w:r>
      <w:proofErr w:type="gramStart"/>
      <w:r>
        <w:rPr>
          <w:rFonts w:eastAsia="Calibri"/>
          <w:color w:val="595959"/>
        </w:rPr>
        <w:t>a number of</w:t>
      </w:r>
      <w:proofErr w:type="gramEnd"/>
      <w:r>
        <w:rPr>
          <w:rFonts w:eastAsia="Calibri"/>
          <w:color w:val="595959"/>
        </w:rPr>
        <w:t xml:space="preserve"> areas including:</w:t>
      </w:r>
    </w:p>
    <w:p w14:paraId="623E223C" w14:textId="77777777" w:rsidR="001D2E87" w:rsidRPr="00C71E78" w:rsidRDefault="001D2E87" w:rsidP="00C71E78">
      <w:pPr>
        <w:rPr>
          <w:rFonts w:eastAsia="Calibri"/>
        </w:rPr>
        <w:sectPr w:rsidR="001D2E87" w:rsidRPr="00C71E78" w:rsidSect="002A2072">
          <w:type w:val="continuous"/>
          <w:pgSz w:w="11906" w:h="16838"/>
          <w:pgMar w:top="1418" w:right="1134" w:bottom="1134" w:left="1134" w:header="708" w:footer="708" w:gutter="0"/>
          <w:cols w:space="708"/>
          <w:docGrid w:linePitch="360"/>
        </w:sectPr>
      </w:pPr>
    </w:p>
    <w:p w14:paraId="04B44F17"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lastRenderedPageBreak/>
        <w:t>Therapeutic, homely, peaceful</w:t>
      </w:r>
    </w:p>
    <w:p w14:paraId="144AD011"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Safe, but not overly restrictive</w:t>
      </w:r>
    </w:p>
    <w:p w14:paraId="151CE42F"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proofErr w:type="gramStart"/>
      <w:r>
        <w:rPr>
          <w:rFonts w:eastAsia="Calibri"/>
        </w:rPr>
        <w:t>Be located in</w:t>
      </w:r>
      <w:proofErr w:type="gramEnd"/>
      <w:r>
        <w:rPr>
          <w:rFonts w:eastAsia="Calibri"/>
        </w:rPr>
        <w:t xml:space="preserve"> the right place</w:t>
      </w:r>
    </w:p>
    <w:p w14:paraId="106AA7E8"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Access to outdoor space</w:t>
      </w:r>
    </w:p>
    <w:p w14:paraId="66B83809"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Be functionally suitable</w:t>
      </w:r>
    </w:p>
    <w:p w14:paraId="444A996B"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Deliver value for money</w:t>
      </w:r>
    </w:p>
    <w:p w14:paraId="7CEC8A24"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Be environmentally friendly and sustainable</w:t>
      </w:r>
    </w:p>
    <w:p w14:paraId="197C72FA" w14:textId="77777777" w:rsidR="001D2E87" w:rsidRPr="00FC282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Be in good condition</w:t>
      </w:r>
    </w:p>
    <w:p w14:paraId="5653A9E0" w14:textId="77777777" w:rsidR="001D2E87" w:rsidRDefault="001D2E87" w:rsidP="002867BC">
      <w:pPr>
        <w:pStyle w:val="ListParagraph"/>
        <w:widowControl w:val="0"/>
        <w:numPr>
          <w:ilvl w:val="0"/>
          <w:numId w:val="4"/>
        </w:numPr>
        <w:spacing w:before="120" w:line="276" w:lineRule="auto"/>
        <w:ind w:left="1664" w:right="340"/>
        <w:contextualSpacing w:val="0"/>
        <w:rPr>
          <w:rFonts w:eastAsia="Calibri"/>
        </w:rPr>
      </w:pPr>
      <w:r>
        <w:rPr>
          <w:rFonts w:eastAsia="Calibri"/>
        </w:rPr>
        <w:t>Provide for suitable personal space</w:t>
      </w:r>
    </w:p>
    <w:p w14:paraId="68160059" w14:textId="77777777" w:rsidR="001D2E87" w:rsidRDefault="001D2E87" w:rsidP="007D258A">
      <w:pPr>
        <w:widowControl w:val="0"/>
        <w:spacing w:line="276" w:lineRule="auto"/>
        <w:rPr>
          <w:rFonts w:eastAsia="Calibri"/>
          <w:color w:val="595959"/>
        </w:rPr>
      </w:pPr>
    </w:p>
    <w:p w14:paraId="01DB3910" w14:textId="77777777" w:rsidR="001D2E87" w:rsidRDefault="001D2E87" w:rsidP="00764758">
      <w:pPr>
        <w:widowControl w:val="0"/>
        <w:spacing w:line="276" w:lineRule="auto"/>
        <w:rPr>
          <w:rFonts w:eastAsia="Calibri"/>
          <w:color w:val="595959"/>
        </w:rPr>
      </w:pPr>
      <w:r>
        <w:rPr>
          <w:rFonts w:eastAsia="Calibri"/>
          <w:color w:val="595959"/>
        </w:rPr>
        <w:t xml:space="preserve">Each of points above encompasses a wide range of often interconnected factors that need to work together to deliver an effective estate. </w:t>
      </w:r>
    </w:p>
    <w:p w14:paraId="0315F5C4" w14:textId="77777777" w:rsidR="001D2E87" w:rsidRDefault="001D2E87" w:rsidP="00764758">
      <w:pPr>
        <w:widowControl w:val="0"/>
        <w:spacing w:line="276" w:lineRule="auto"/>
        <w:rPr>
          <w:rFonts w:eastAsia="Calibri"/>
          <w:b/>
          <w:color w:val="595959"/>
        </w:rPr>
      </w:pPr>
    </w:p>
    <w:p w14:paraId="5228BB7B" w14:textId="188A0CB3" w:rsidR="001D2E87" w:rsidRPr="00C81228" w:rsidRDefault="001D2E87" w:rsidP="00764758">
      <w:pPr>
        <w:widowControl w:val="0"/>
        <w:spacing w:line="276" w:lineRule="auto"/>
        <w:rPr>
          <w:rFonts w:eastAsia="Calibri"/>
          <w:b/>
          <w:color w:val="0070C0"/>
        </w:rPr>
      </w:pPr>
      <w:r w:rsidRPr="00C81228">
        <w:rPr>
          <w:rFonts w:eastAsia="Calibri"/>
          <w:b/>
          <w:color w:val="0070C0"/>
        </w:rPr>
        <w:t>CNTW Climate Health Green Plan</w:t>
      </w:r>
    </w:p>
    <w:p w14:paraId="222BEF10" w14:textId="77777777" w:rsidR="001D2E87" w:rsidRDefault="001D2E87" w:rsidP="00764758">
      <w:pPr>
        <w:widowControl w:val="0"/>
        <w:spacing w:line="276" w:lineRule="auto"/>
      </w:pPr>
    </w:p>
    <w:p w14:paraId="7FAD3F04" w14:textId="6E546335" w:rsidR="001D2E87" w:rsidRPr="00764758" w:rsidRDefault="001D2E87" w:rsidP="00764758">
      <w:pPr>
        <w:widowControl w:val="0"/>
        <w:spacing w:line="276" w:lineRule="auto"/>
        <w:rPr>
          <w:rFonts w:eastAsia="Calibri"/>
          <w:color w:val="595959"/>
        </w:rPr>
      </w:pPr>
      <w:r>
        <w:rPr>
          <w:noProof/>
          <w:lang w:eastAsia="en-GB"/>
        </w:rPr>
        <w:drawing>
          <wp:anchor distT="0" distB="0" distL="114300" distR="114300" simplePos="0" relativeHeight="251659264" behindDoc="0" locked="0" layoutInCell="1" allowOverlap="1" wp14:anchorId="4E469EF3" wp14:editId="064CB0F0">
            <wp:simplePos x="0" y="0"/>
            <wp:positionH relativeFrom="column">
              <wp:posOffset>3297135</wp:posOffset>
            </wp:positionH>
            <wp:positionV relativeFrom="paragraph">
              <wp:posOffset>147915</wp:posOffset>
            </wp:positionV>
            <wp:extent cx="2726055" cy="19062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6055" cy="1906270"/>
                    </a:xfrm>
                    <a:prstGeom prst="rect">
                      <a:avLst/>
                    </a:prstGeom>
                  </pic:spPr>
                </pic:pic>
              </a:graphicData>
            </a:graphic>
            <wp14:sizeRelH relativeFrom="margin">
              <wp14:pctWidth>0</wp14:pctWidth>
            </wp14:sizeRelH>
            <wp14:sizeRelV relativeFrom="margin">
              <wp14:pctHeight>0</wp14:pctHeight>
            </wp14:sizeRelV>
          </wp:anchor>
        </w:drawing>
      </w:r>
      <w:r>
        <w:t xml:space="preserve">Sitting alongside the above will be other Trust wide plans, local plans and service delivery strategies. Of </w:t>
      </w:r>
      <w:proofErr w:type="gramStart"/>
      <w:r>
        <w:t>particular note</w:t>
      </w:r>
      <w:proofErr w:type="gramEnd"/>
      <w:r>
        <w:t xml:space="preserve"> for the Estate is the launch of the Trusts </w:t>
      </w:r>
      <w:r w:rsidRPr="001F165A">
        <w:rPr>
          <w:b/>
        </w:rPr>
        <w:t>Green Plan</w:t>
      </w:r>
      <w:r>
        <w:t xml:space="preserve"> which sets out </w:t>
      </w:r>
      <w:r w:rsidRPr="009217E9">
        <w:t xml:space="preserve">how </w:t>
      </w:r>
      <w:r>
        <w:t xml:space="preserve">the Trust </w:t>
      </w:r>
      <w:r w:rsidRPr="009217E9">
        <w:t>aim</w:t>
      </w:r>
      <w:r>
        <w:t>s</w:t>
      </w:r>
      <w:r w:rsidRPr="009217E9">
        <w:t xml:space="preserve"> to reduce carbon emissions to ‘net z</w:t>
      </w:r>
      <w:r>
        <w:t xml:space="preserve">ero’ by </w:t>
      </w:r>
      <w:r w:rsidR="002D27B6">
        <w:t>2040 and</w:t>
      </w:r>
      <w:r>
        <w:t xml:space="preserve"> includes a wider set of actions required</w:t>
      </w:r>
      <w:r w:rsidRPr="009217E9">
        <w:t xml:space="preserve"> to meet several other sustainability goals by 2026.</w:t>
      </w:r>
      <w:r>
        <w:t xml:space="preserve"> </w:t>
      </w:r>
      <w:r w:rsidRPr="00A61EFC">
        <w:t>These plans support the overall ambition for the NHS to achieve ‘net zero’ by 2040, as set out in the recently published report ‘Delivering a ‘Net Zero’ National Health Service’.</w:t>
      </w:r>
      <w:r w:rsidRPr="00C21C26">
        <w:rPr>
          <w:noProof/>
          <w:lang w:eastAsia="en-GB"/>
        </w:rPr>
        <w:t xml:space="preserve"> </w:t>
      </w:r>
    </w:p>
    <w:p w14:paraId="34576B6C" w14:textId="77777777" w:rsidR="001D2E87" w:rsidRPr="00A61EFC" w:rsidRDefault="001D2E87" w:rsidP="00A61EFC">
      <w:pPr>
        <w:widowControl w:val="0"/>
        <w:spacing w:line="276" w:lineRule="auto"/>
      </w:pPr>
      <w:r>
        <w:t xml:space="preserve">The Green Plan is built on the premise that as </w:t>
      </w:r>
      <w:r w:rsidRPr="00A61EFC">
        <w:t>a large ‘anchor’ institution, we have a responsibility to improve the health of our local population, and to use both our influence and £380 million purchasing power w</w:t>
      </w:r>
      <w:r>
        <w:t xml:space="preserve">isely to support the social and </w:t>
      </w:r>
      <w:r w:rsidRPr="00A61EFC">
        <w:t>economic success of our local communities.</w:t>
      </w:r>
    </w:p>
    <w:p w14:paraId="18C0E887" w14:textId="77777777" w:rsidR="001D2E87" w:rsidRPr="00EC3E0D" w:rsidRDefault="001D2E87" w:rsidP="007D258A">
      <w:pPr>
        <w:widowControl w:val="0"/>
        <w:spacing w:line="276" w:lineRule="auto"/>
      </w:pPr>
      <w:r w:rsidRPr="00EC3E0D">
        <w:t xml:space="preserve">A survey of </w:t>
      </w:r>
      <w:r>
        <w:t xml:space="preserve">the estate has identified that significant capital investment will be required </w:t>
      </w:r>
      <w:proofErr w:type="gramStart"/>
      <w:r>
        <w:t>in order to</w:t>
      </w:r>
      <w:proofErr w:type="gramEnd"/>
      <w:r>
        <w:t xml:space="preserve"> achieve net zero and this equates to an investment requirement of </w:t>
      </w:r>
      <w:r w:rsidRPr="00EC3E0D">
        <w:rPr>
          <w:b/>
        </w:rPr>
        <w:t>£30M</w:t>
      </w:r>
      <w:r>
        <w:t xml:space="preserve">, which over the remaining 18 years prior to 2040 amounts to £1.7M / annum. </w:t>
      </w:r>
    </w:p>
    <w:p w14:paraId="46E1AF03" w14:textId="77777777" w:rsidR="001D2E87" w:rsidRDefault="001D2E87" w:rsidP="00C336D9">
      <w:pPr>
        <w:rPr>
          <w:b/>
          <w:color w:val="1F497D" w:themeColor="text2"/>
        </w:rPr>
      </w:pPr>
    </w:p>
    <w:p w14:paraId="3BA531CC" w14:textId="0A7F0B50" w:rsidR="001D2E87" w:rsidRDefault="001D2E87" w:rsidP="00C336D9">
      <w:pPr>
        <w:rPr>
          <w:b/>
          <w:color w:val="1F497D" w:themeColor="text2"/>
        </w:rPr>
      </w:pPr>
      <w:r w:rsidRPr="0043588B">
        <w:rPr>
          <w:b/>
          <w:color w:val="0070C0"/>
        </w:rPr>
        <w:t>Key External Drivers</w:t>
      </w:r>
    </w:p>
    <w:p w14:paraId="41A95CFE" w14:textId="77777777" w:rsidR="001D2E87" w:rsidRDefault="001D2E87" w:rsidP="00C336D9">
      <w:pPr>
        <w:rPr>
          <w:color w:val="1F497D" w:themeColor="text2"/>
        </w:rPr>
      </w:pPr>
    </w:p>
    <w:p w14:paraId="4B744623" w14:textId="1547F234" w:rsidR="001D2E87" w:rsidRPr="00C81228" w:rsidRDefault="001D2E87" w:rsidP="00C336D9">
      <w:pPr>
        <w:rPr>
          <w:color w:val="000000" w:themeColor="text1"/>
        </w:rPr>
      </w:pPr>
      <w:r w:rsidRPr="00C81228">
        <w:rPr>
          <w:color w:val="000000" w:themeColor="text1"/>
        </w:rPr>
        <w:t xml:space="preserve">There are </w:t>
      </w:r>
      <w:proofErr w:type="gramStart"/>
      <w:r w:rsidRPr="00C81228">
        <w:rPr>
          <w:color w:val="000000" w:themeColor="text1"/>
        </w:rPr>
        <w:t>a number of</w:t>
      </w:r>
      <w:proofErr w:type="gramEnd"/>
      <w:r w:rsidRPr="00C81228">
        <w:rPr>
          <w:color w:val="000000" w:themeColor="text1"/>
        </w:rPr>
        <w:t xml:space="preserve"> external reviews, Acts, strategies, Inspections etc. which contain estates related items which in turn can set out requirements which either need to be followed or represent good practice. These drivers may need to be incorporated into clinical models and the new Trust </w:t>
      </w:r>
      <w:r w:rsidR="002D27B6" w:rsidRPr="00C81228">
        <w:rPr>
          <w:color w:val="000000" w:themeColor="text1"/>
        </w:rPr>
        <w:t>strategy,</w:t>
      </w:r>
      <w:r w:rsidRPr="00C81228">
        <w:rPr>
          <w:color w:val="000000" w:themeColor="text1"/>
        </w:rPr>
        <w:t xml:space="preserve"> and any estates requirements can be duly considered. The following are some of the current key drivers:</w:t>
      </w:r>
    </w:p>
    <w:p w14:paraId="440F40C7" w14:textId="77777777" w:rsidR="001D2E87" w:rsidRDefault="001D2E87" w:rsidP="00E245C6">
      <w:pPr>
        <w:ind w:left="720"/>
        <w:rPr>
          <w:b/>
          <w:color w:val="1F497D" w:themeColor="text2"/>
        </w:rPr>
      </w:pPr>
    </w:p>
    <w:p w14:paraId="46B37D30" w14:textId="196147E1" w:rsidR="001D2E87" w:rsidRPr="0043588B" w:rsidRDefault="001D2E87" w:rsidP="001D2E87">
      <w:pPr>
        <w:rPr>
          <w:b/>
          <w:color w:val="0070C0"/>
        </w:rPr>
      </w:pPr>
      <w:r w:rsidRPr="0043588B">
        <w:rPr>
          <w:b/>
          <w:color w:val="0070C0"/>
        </w:rPr>
        <w:t>Independent Review of the Mental Health Act 2018</w:t>
      </w:r>
    </w:p>
    <w:p w14:paraId="439E0BA4" w14:textId="77777777" w:rsidR="001D2E87" w:rsidRDefault="001D2E87" w:rsidP="001D2E87">
      <w:pPr>
        <w:rPr>
          <w:color w:val="1F497D" w:themeColor="text2"/>
        </w:rPr>
      </w:pPr>
    </w:p>
    <w:p w14:paraId="6ED6776C" w14:textId="1834FB6C" w:rsidR="001D2E87" w:rsidRPr="00C81228" w:rsidRDefault="001D2E87" w:rsidP="001D2E87">
      <w:pPr>
        <w:rPr>
          <w:color w:val="000000" w:themeColor="text1"/>
        </w:rPr>
      </w:pPr>
      <w:r w:rsidRPr="00C81228">
        <w:rPr>
          <w:color w:val="000000" w:themeColor="text1"/>
        </w:rPr>
        <w:t xml:space="preserve">The Independent Review of the Mental Health Act made a clear statement about the need for significant improvements to the inpatient environments across the NHS Estate around </w:t>
      </w:r>
      <w:proofErr w:type="gramStart"/>
      <w:r w:rsidRPr="00C81228">
        <w:rPr>
          <w:color w:val="000000" w:themeColor="text1"/>
        </w:rPr>
        <w:t>a number of</w:t>
      </w:r>
      <w:proofErr w:type="gramEnd"/>
      <w:r w:rsidRPr="00C81228">
        <w:rPr>
          <w:color w:val="000000" w:themeColor="text1"/>
        </w:rPr>
        <w:t xml:space="preserve"> key areas, specifically:</w:t>
      </w:r>
    </w:p>
    <w:p w14:paraId="34B05409" w14:textId="77777777" w:rsidR="001D2E87" w:rsidRPr="00C81228" w:rsidRDefault="001D2E87" w:rsidP="002867BC">
      <w:pPr>
        <w:pStyle w:val="ListParagraph"/>
        <w:widowControl w:val="0"/>
        <w:numPr>
          <w:ilvl w:val="0"/>
          <w:numId w:val="14"/>
        </w:numPr>
        <w:spacing w:before="120" w:line="276" w:lineRule="auto"/>
        <w:ind w:right="340"/>
        <w:contextualSpacing w:val="0"/>
        <w:jc w:val="both"/>
        <w:rPr>
          <w:color w:val="000000" w:themeColor="text1"/>
        </w:rPr>
      </w:pPr>
      <w:r w:rsidRPr="00C81228">
        <w:rPr>
          <w:color w:val="000000" w:themeColor="text1"/>
        </w:rPr>
        <w:t>Access to outdoor space</w:t>
      </w:r>
    </w:p>
    <w:p w14:paraId="6B94A307" w14:textId="77777777" w:rsidR="001D2E87" w:rsidRPr="00C81228" w:rsidRDefault="001D2E87" w:rsidP="002867BC">
      <w:pPr>
        <w:pStyle w:val="ListParagraph"/>
        <w:widowControl w:val="0"/>
        <w:numPr>
          <w:ilvl w:val="0"/>
          <w:numId w:val="14"/>
        </w:numPr>
        <w:spacing w:before="120" w:line="276" w:lineRule="auto"/>
        <w:ind w:right="340"/>
        <w:contextualSpacing w:val="0"/>
        <w:jc w:val="both"/>
        <w:rPr>
          <w:color w:val="000000" w:themeColor="text1"/>
        </w:rPr>
      </w:pPr>
      <w:r w:rsidRPr="00C81228">
        <w:rPr>
          <w:color w:val="000000" w:themeColor="text1"/>
        </w:rPr>
        <w:t xml:space="preserve">Ward design that promotes care, safety and has reasonable adjustments </w:t>
      </w:r>
      <w:r w:rsidRPr="00C81228">
        <w:rPr>
          <w:color w:val="000000" w:themeColor="text1"/>
        </w:rPr>
        <w:lastRenderedPageBreak/>
        <w:t>for disabled people</w:t>
      </w:r>
    </w:p>
    <w:p w14:paraId="403F2181" w14:textId="77777777" w:rsidR="001D2E87" w:rsidRPr="00C81228" w:rsidRDefault="001D2E87" w:rsidP="002867BC">
      <w:pPr>
        <w:pStyle w:val="ListParagraph"/>
        <w:widowControl w:val="0"/>
        <w:numPr>
          <w:ilvl w:val="0"/>
          <w:numId w:val="14"/>
        </w:numPr>
        <w:spacing w:before="120" w:line="276" w:lineRule="auto"/>
        <w:ind w:right="340"/>
        <w:contextualSpacing w:val="0"/>
        <w:jc w:val="both"/>
        <w:rPr>
          <w:color w:val="000000" w:themeColor="text1"/>
        </w:rPr>
      </w:pPr>
      <w:r w:rsidRPr="00C81228">
        <w:rPr>
          <w:color w:val="000000" w:themeColor="text1"/>
        </w:rPr>
        <w:t>The balance between infection and risk averse design and not creating an institutional atmosphere</w:t>
      </w:r>
    </w:p>
    <w:p w14:paraId="50F5234F" w14:textId="77777777" w:rsidR="001D2E87" w:rsidRPr="00C81228" w:rsidRDefault="001D2E87" w:rsidP="002867BC">
      <w:pPr>
        <w:pStyle w:val="ListParagraph"/>
        <w:widowControl w:val="0"/>
        <w:numPr>
          <w:ilvl w:val="0"/>
          <w:numId w:val="14"/>
        </w:numPr>
        <w:spacing w:before="120" w:line="276" w:lineRule="auto"/>
        <w:ind w:right="340"/>
        <w:contextualSpacing w:val="0"/>
        <w:jc w:val="both"/>
        <w:rPr>
          <w:color w:val="000000" w:themeColor="text1"/>
        </w:rPr>
      </w:pPr>
      <w:r w:rsidRPr="00C81228">
        <w:rPr>
          <w:color w:val="000000" w:themeColor="text1"/>
        </w:rPr>
        <w:t>Facilities should be acoustically calm, clean and functional with adjustable light and temperature</w:t>
      </w:r>
    </w:p>
    <w:p w14:paraId="6758788B" w14:textId="77777777" w:rsidR="001D2E87" w:rsidRPr="00C81228" w:rsidRDefault="001D2E87" w:rsidP="002867BC">
      <w:pPr>
        <w:pStyle w:val="ListParagraph"/>
        <w:widowControl w:val="0"/>
        <w:numPr>
          <w:ilvl w:val="0"/>
          <w:numId w:val="14"/>
        </w:numPr>
        <w:spacing w:before="120" w:line="276" w:lineRule="auto"/>
        <w:ind w:right="340"/>
        <w:contextualSpacing w:val="0"/>
        <w:jc w:val="both"/>
        <w:rPr>
          <w:color w:val="000000" w:themeColor="text1"/>
        </w:rPr>
      </w:pPr>
      <w:r w:rsidRPr="00C81228">
        <w:rPr>
          <w:color w:val="000000" w:themeColor="text1"/>
        </w:rPr>
        <w:t>Single sex accommodation where the definition of single sex accommodation should be tightened up to ensure a genuinely single sex environment with separate access to any shared daytime space</w:t>
      </w:r>
    </w:p>
    <w:p w14:paraId="008651A2" w14:textId="77777777" w:rsidR="001D2E87" w:rsidRPr="0043588B" w:rsidRDefault="001D2E87" w:rsidP="001D2E87">
      <w:pPr>
        <w:rPr>
          <w:b/>
          <w:color w:val="0070C0"/>
        </w:rPr>
      </w:pPr>
    </w:p>
    <w:p w14:paraId="48156D73" w14:textId="21316F44" w:rsidR="001D2E87" w:rsidRPr="0043588B" w:rsidRDefault="001D2E87" w:rsidP="001D2E87">
      <w:pPr>
        <w:rPr>
          <w:b/>
          <w:color w:val="0070C0"/>
        </w:rPr>
      </w:pPr>
      <w:r w:rsidRPr="0043588B">
        <w:rPr>
          <w:b/>
          <w:color w:val="0070C0"/>
        </w:rPr>
        <w:t>Operational productivity and performance in English NHS acute hospitals:  Unwarranted variations, 2016</w:t>
      </w:r>
    </w:p>
    <w:p w14:paraId="765CD965" w14:textId="77777777" w:rsidR="001D2E87" w:rsidRDefault="001D2E87" w:rsidP="001D2E87"/>
    <w:p w14:paraId="79149F67" w14:textId="3BF663BB" w:rsidR="001D2E87" w:rsidRDefault="001D2E87" w:rsidP="001D2E87">
      <w:r w:rsidRPr="007F67EF">
        <w:t xml:space="preserve">In the </w:t>
      </w:r>
      <w:r>
        <w:t xml:space="preserve">report produced by Lord Carter </w:t>
      </w:r>
      <w:proofErr w:type="gramStart"/>
      <w:r>
        <w:t>a number of</w:t>
      </w:r>
      <w:proofErr w:type="gramEnd"/>
      <w:r>
        <w:t xml:space="preserve"> recommendations were made:</w:t>
      </w:r>
    </w:p>
    <w:p w14:paraId="27342F53" w14:textId="77777777" w:rsidR="001D2E87" w:rsidRDefault="001D2E87" w:rsidP="002867BC">
      <w:pPr>
        <w:pStyle w:val="ListParagraph"/>
        <w:widowControl w:val="0"/>
        <w:numPr>
          <w:ilvl w:val="0"/>
          <w:numId w:val="15"/>
        </w:numPr>
        <w:spacing w:before="120" w:line="276" w:lineRule="auto"/>
        <w:ind w:right="340"/>
        <w:contextualSpacing w:val="0"/>
        <w:jc w:val="both"/>
      </w:pPr>
      <w:r w:rsidRPr="007F67EF">
        <w:t>unused floor space should not exceed 2.5%,</w:t>
      </w:r>
    </w:p>
    <w:p w14:paraId="18085534" w14:textId="77777777" w:rsidR="001D2E87" w:rsidRDefault="001D2E87" w:rsidP="002867BC">
      <w:pPr>
        <w:pStyle w:val="ListParagraph"/>
        <w:widowControl w:val="0"/>
        <w:numPr>
          <w:ilvl w:val="0"/>
          <w:numId w:val="15"/>
        </w:numPr>
        <w:spacing w:before="120" w:line="276" w:lineRule="auto"/>
        <w:ind w:right="340"/>
        <w:contextualSpacing w:val="0"/>
        <w:jc w:val="both"/>
      </w:pPr>
      <w:r w:rsidRPr="007F67EF">
        <w:t xml:space="preserve">floor space used for non-clinical purposes should not exceed 35%. </w:t>
      </w:r>
    </w:p>
    <w:p w14:paraId="005BA2E0" w14:textId="77777777" w:rsidR="001D2E87" w:rsidRDefault="001D2E87" w:rsidP="001D2E87"/>
    <w:p w14:paraId="12B95B66" w14:textId="5E7023EC" w:rsidR="001D2E87" w:rsidRPr="007F67EF" w:rsidRDefault="001D2E87" w:rsidP="001D2E87">
      <w:r w:rsidRPr="007F67EF">
        <w:t xml:space="preserve">Since the Carter report was published </w:t>
      </w:r>
      <w:r>
        <w:t xml:space="preserve">before </w:t>
      </w:r>
      <w:r w:rsidRPr="007F67EF">
        <w:t xml:space="preserve">the COVID 19 Pandemic has had a significant impact on the working patterns of staff </w:t>
      </w:r>
      <w:proofErr w:type="gramStart"/>
      <w:r w:rsidRPr="007F67EF">
        <w:t>in particular</w:t>
      </w:r>
      <w:proofErr w:type="gramEnd"/>
      <w:r w:rsidRPr="007F67EF">
        <w:t xml:space="preserve"> those who provide administrative support and </w:t>
      </w:r>
      <w:r w:rsidR="002D27B6" w:rsidRPr="007F67EF">
        <w:t>back-office</w:t>
      </w:r>
      <w:r w:rsidRPr="007F67EF">
        <w:t xml:space="preserve"> functions. </w:t>
      </w:r>
      <w:r>
        <w:t xml:space="preserve">The opportunity is likely to come from reducing the demand for additional space as teams expand as opposed to taking estate out of use.  </w:t>
      </w:r>
    </w:p>
    <w:p w14:paraId="256F8512" w14:textId="77777777" w:rsidR="001D2E87" w:rsidRDefault="001D2E87" w:rsidP="00E245C6">
      <w:pPr>
        <w:widowControl w:val="0"/>
        <w:spacing w:line="276" w:lineRule="auto"/>
        <w:ind w:left="720"/>
        <w:rPr>
          <w:b/>
          <w:color w:val="1F497D" w:themeColor="text2"/>
        </w:rPr>
      </w:pPr>
    </w:p>
    <w:p w14:paraId="6BF411AC" w14:textId="56841D93" w:rsidR="001D2E87" w:rsidRPr="0043588B" w:rsidRDefault="001D2E87" w:rsidP="001D2E87">
      <w:pPr>
        <w:widowControl w:val="0"/>
        <w:spacing w:line="276" w:lineRule="auto"/>
        <w:rPr>
          <w:b/>
          <w:color w:val="0070C0"/>
        </w:rPr>
      </w:pPr>
      <w:r w:rsidRPr="0043588B">
        <w:rPr>
          <w:b/>
          <w:color w:val="0070C0"/>
        </w:rPr>
        <w:t>NHS England 2023/24 Priorities and operational planning guidance</w:t>
      </w:r>
    </w:p>
    <w:p w14:paraId="2EA0B995" w14:textId="77777777" w:rsidR="001D2E87" w:rsidRDefault="001D2E87" w:rsidP="001D2E87">
      <w:pPr>
        <w:widowControl w:val="0"/>
        <w:spacing w:line="276" w:lineRule="auto"/>
      </w:pPr>
    </w:p>
    <w:p w14:paraId="0D56E77A" w14:textId="2CC7BB64" w:rsidR="001D2E87" w:rsidRPr="00E245C6" w:rsidRDefault="001D2E87" w:rsidP="001D2E87">
      <w:pPr>
        <w:widowControl w:val="0"/>
        <w:spacing w:line="276" w:lineRule="auto"/>
      </w:pPr>
      <w:r>
        <w:t>This guidance identifies there needs to be a r</w:t>
      </w:r>
      <w:r w:rsidRPr="00E245C6">
        <w:t>educe</w:t>
      </w:r>
      <w:r>
        <w:t>d</w:t>
      </w:r>
      <w:r w:rsidRPr="00E245C6">
        <w:t xml:space="preserve"> reliance on inpatient care, while improving the quality of inpatient care, so that by March 2024 no more than 30 adults with a learning disability and/or who are autistic per million adults and no more than 12–15 under 18s with a learning disability and/or who are autistic per million under 18s are cared for in an inpatient unit</w:t>
      </w:r>
      <w:r>
        <w:t xml:space="preserve">. The clinical strategy will need to determine how </w:t>
      </w:r>
      <w:r w:rsidR="002D27B6">
        <w:t>these impacts</w:t>
      </w:r>
      <w:r>
        <w:t xml:space="preserve"> on the Trust estate requirements.</w:t>
      </w:r>
    </w:p>
    <w:p w14:paraId="78F25258" w14:textId="77777777" w:rsidR="001D2E87" w:rsidRDefault="001D2E87" w:rsidP="00E245C6">
      <w:pPr>
        <w:widowControl w:val="0"/>
        <w:spacing w:line="276" w:lineRule="auto"/>
        <w:ind w:left="720"/>
        <w:rPr>
          <w:b/>
          <w:color w:val="1F497D" w:themeColor="text2"/>
        </w:rPr>
      </w:pPr>
    </w:p>
    <w:p w14:paraId="59FAEDB0" w14:textId="66FC5268" w:rsidR="001D2E87" w:rsidRPr="00C81228" w:rsidRDefault="001D2E87" w:rsidP="001D2E87">
      <w:pPr>
        <w:widowControl w:val="0"/>
        <w:spacing w:line="276" w:lineRule="auto"/>
        <w:rPr>
          <w:b/>
          <w:color w:val="0070C0"/>
        </w:rPr>
      </w:pPr>
      <w:r w:rsidRPr="00C81228">
        <w:rPr>
          <w:b/>
          <w:color w:val="0070C0"/>
        </w:rPr>
        <w:t>Care Quality Commission Inspections</w:t>
      </w:r>
    </w:p>
    <w:p w14:paraId="5FF3ADA2" w14:textId="77777777" w:rsidR="001D2E87" w:rsidRDefault="001D2E87" w:rsidP="001D2E87">
      <w:pPr>
        <w:widowControl w:val="0"/>
        <w:spacing w:line="276" w:lineRule="auto"/>
        <w:rPr>
          <w:color w:val="1F497D" w:themeColor="text2"/>
        </w:rPr>
      </w:pPr>
    </w:p>
    <w:p w14:paraId="0A7D65E3" w14:textId="54AEE40B" w:rsidR="001D2E87" w:rsidRPr="00C81228" w:rsidRDefault="001D2E87" w:rsidP="001D2E87">
      <w:pPr>
        <w:widowControl w:val="0"/>
        <w:spacing w:line="276" w:lineRule="auto"/>
      </w:pPr>
      <w:r w:rsidRPr="00C81228">
        <w:t xml:space="preserve">Various CQC inspections have identified a range of environmental that are categorised as “must do’s” for the organisation to undertake. These include a range of requirements for example to install nurse call systems, upgrade of environments, removal of dormitory accommodation etc. </w:t>
      </w:r>
      <w:r w:rsidR="002D27B6" w:rsidRPr="00C81228">
        <w:t>Generally,</w:t>
      </w:r>
      <w:r w:rsidRPr="00C81228">
        <w:t xml:space="preserve"> these requirements are a mixture of improving the patient environment and safety improvements.</w:t>
      </w:r>
    </w:p>
    <w:p w14:paraId="07BA6CFE" w14:textId="77777777" w:rsidR="001D2E87" w:rsidRDefault="001D2E87" w:rsidP="00095277"/>
    <w:p w14:paraId="69E0A01F" w14:textId="77777777" w:rsidR="001D2E87" w:rsidRPr="00C81228" w:rsidRDefault="001D2E87" w:rsidP="00095277">
      <w:pPr>
        <w:rPr>
          <w:b/>
          <w:color w:val="0070C0"/>
        </w:rPr>
      </w:pPr>
      <w:r w:rsidRPr="00C81228">
        <w:rPr>
          <w:b/>
          <w:color w:val="0070C0"/>
        </w:rPr>
        <w:t>Summary of Where do we Want to be</w:t>
      </w:r>
    </w:p>
    <w:p w14:paraId="49FA0947" w14:textId="77777777" w:rsidR="001D2E87" w:rsidRDefault="001D2E87" w:rsidP="00095277"/>
    <w:p w14:paraId="696BA205" w14:textId="7631C3EF" w:rsidR="001D2E87" w:rsidRDefault="001D2E87" w:rsidP="00095277">
      <w:r>
        <w:t xml:space="preserve">The various internal and external drivers are creating </w:t>
      </w:r>
      <w:proofErr w:type="gramStart"/>
      <w:r>
        <w:t>a number of</w:t>
      </w:r>
      <w:proofErr w:type="gramEnd"/>
      <w:r>
        <w:t xml:space="preserve"> strategic themes against which future estates requirements can be identified and these themes are illustrated in </w:t>
      </w:r>
      <w:r w:rsidR="0009344F">
        <w:t>figure 2 b</w:t>
      </w:r>
      <w:r>
        <w:t>elow.  The schemes that are identified in the capital program link back to one or more of these themes.</w:t>
      </w:r>
    </w:p>
    <w:p w14:paraId="61339512" w14:textId="77777777" w:rsidR="001D2E87" w:rsidRPr="005F6EE5" w:rsidRDefault="001D2E87" w:rsidP="00095277"/>
    <w:p w14:paraId="12EACC07" w14:textId="77777777" w:rsidR="001D2E87" w:rsidRDefault="001D2E87" w:rsidP="002714F0">
      <w:pPr>
        <w:jc w:val="center"/>
      </w:pPr>
      <w:r>
        <w:rPr>
          <w:noProof/>
          <w:lang w:eastAsia="en-GB"/>
        </w:rPr>
        <w:lastRenderedPageBreak/>
        <w:drawing>
          <wp:inline distT="0" distB="0" distL="0" distR="0" wp14:anchorId="472CA6CD" wp14:editId="1707E87B">
            <wp:extent cx="5103346" cy="2469600"/>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1505" cy="2478387"/>
                    </a:xfrm>
                    <a:prstGeom prst="rect">
                      <a:avLst/>
                    </a:prstGeom>
                  </pic:spPr>
                </pic:pic>
              </a:graphicData>
            </a:graphic>
          </wp:inline>
        </w:drawing>
      </w:r>
    </w:p>
    <w:p w14:paraId="54A1DF04" w14:textId="77777777" w:rsidR="001D2E87" w:rsidRDefault="001D2E87" w:rsidP="00B145C7">
      <w:pPr>
        <w:jc w:val="center"/>
      </w:pPr>
      <w:r>
        <w:t>Figure 2 Estates Strategy - Strategic Themes</w:t>
      </w:r>
    </w:p>
    <w:p w14:paraId="60F57850" w14:textId="77777777" w:rsidR="001D2E87" w:rsidRDefault="001D2E87" w:rsidP="00095277"/>
    <w:p w14:paraId="5517882D" w14:textId="2851FEE1" w:rsidR="001D2E87" w:rsidRDefault="001D2E87" w:rsidP="001F165A">
      <w:pPr>
        <w:widowControl w:val="0"/>
        <w:spacing w:line="276" w:lineRule="auto"/>
        <w:rPr>
          <w:rFonts w:eastAsia="Calibri"/>
          <w:b/>
          <w:color w:val="1F497D" w:themeColor="text2"/>
        </w:rPr>
      </w:pPr>
    </w:p>
    <w:p w14:paraId="6CABBCD3" w14:textId="1377E89C" w:rsidR="001D2E87" w:rsidRDefault="001D2E87" w:rsidP="001F165A">
      <w:pPr>
        <w:widowControl w:val="0"/>
        <w:spacing w:line="276" w:lineRule="auto"/>
        <w:rPr>
          <w:rFonts w:eastAsia="Calibri"/>
          <w:b/>
          <w:color w:val="1F497D" w:themeColor="text2"/>
        </w:rPr>
      </w:pPr>
    </w:p>
    <w:p w14:paraId="4415896D" w14:textId="780C7C12" w:rsidR="001D2E87" w:rsidRPr="00C81228" w:rsidRDefault="001D2E87" w:rsidP="001D2E87">
      <w:pPr>
        <w:pStyle w:val="Heading2"/>
        <w:ind w:left="0"/>
        <w:rPr>
          <w:color w:val="0070C0"/>
        </w:rPr>
      </w:pPr>
      <w:r w:rsidRPr="00C81228">
        <w:rPr>
          <w:color w:val="0070C0"/>
        </w:rPr>
        <w:t>1.4</w:t>
      </w:r>
      <w:r w:rsidRPr="00C81228">
        <w:rPr>
          <w:color w:val="0070C0"/>
        </w:rPr>
        <w:tab/>
        <w:t>How Do We Get There?</w:t>
      </w:r>
    </w:p>
    <w:p w14:paraId="1F4EAD10" w14:textId="77777777" w:rsidR="001D2E87" w:rsidRDefault="001D2E87" w:rsidP="00707FDC"/>
    <w:p w14:paraId="5C40988A" w14:textId="4CE79650" w:rsidR="001D2E87" w:rsidRDefault="001D2E87" w:rsidP="00707FDC">
      <w:r>
        <w:t xml:space="preserve">This section describes the Trusts proposals for the Estate over the coming </w:t>
      </w:r>
      <w:r w:rsidR="002D27B6">
        <w:t>five-year</w:t>
      </w:r>
      <w:r>
        <w:t xml:space="preserve"> period which will deliver on the “where do we want to be”.  The key developments listed in this section are divided into those where current funding exists and those where no funding has been identified. It must be recognised that the available capital funding is limited and the plans that have been drawn up reflect this.</w:t>
      </w:r>
    </w:p>
    <w:p w14:paraId="3A5835ED" w14:textId="77777777" w:rsidR="001D2E87" w:rsidRDefault="001D2E87" w:rsidP="009C73A8">
      <w:pPr>
        <w:rPr>
          <w:b/>
          <w:color w:val="1F497D" w:themeColor="text2"/>
        </w:rPr>
      </w:pPr>
    </w:p>
    <w:p w14:paraId="3528C5E4" w14:textId="520C3B9F" w:rsidR="001D2E87" w:rsidRPr="00C81228" w:rsidRDefault="001D2E87" w:rsidP="009C73A8">
      <w:pPr>
        <w:rPr>
          <w:b/>
          <w:color w:val="0070C0"/>
          <w:sz w:val="24"/>
        </w:rPr>
      </w:pPr>
      <w:r w:rsidRPr="00C81228">
        <w:rPr>
          <w:b/>
          <w:color w:val="0070C0"/>
          <w:sz w:val="24"/>
        </w:rPr>
        <w:t>Funded Developments</w:t>
      </w:r>
    </w:p>
    <w:p w14:paraId="23FE82D6" w14:textId="77777777" w:rsidR="001D2E87" w:rsidRPr="00C81228" w:rsidRDefault="001D2E87" w:rsidP="009C73A8">
      <w:pPr>
        <w:rPr>
          <w:b/>
          <w:color w:val="0070C0"/>
          <w:sz w:val="24"/>
        </w:rPr>
      </w:pPr>
    </w:p>
    <w:p w14:paraId="783C9AE9" w14:textId="6519A5E7" w:rsidR="001D2E87" w:rsidRPr="00C81228" w:rsidRDefault="001D2E87" w:rsidP="009C73A8">
      <w:pPr>
        <w:rPr>
          <w:b/>
          <w:color w:val="0070C0"/>
          <w:sz w:val="24"/>
        </w:rPr>
      </w:pPr>
      <w:r w:rsidRPr="00C81228">
        <w:rPr>
          <w:b/>
          <w:color w:val="0070C0"/>
          <w:sz w:val="24"/>
        </w:rPr>
        <w:t>Completion of Major Developments Currently Underway</w:t>
      </w:r>
    </w:p>
    <w:p w14:paraId="4661F925" w14:textId="77777777" w:rsidR="001D2E87" w:rsidRDefault="001D2E87" w:rsidP="007D258A">
      <w:pPr>
        <w:widowControl w:val="0"/>
        <w:spacing w:line="276" w:lineRule="auto"/>
        <w:rPr>
          <w:rFonts w:eastAsia="Calibri"/>
          <w:color w:val="595959"/>
        </w:rPr>
      </w:pPr>
    </w:p>
    <w:p w14:paraId="480FC9BD" w14:textId="75EDFF24" w:rsidR="001D2E87" w:rsidRPr="00FC1C57" w:rsidRDefault="001D2E87" w:rsidP="007D258A">
      <w:pPr>
        <w:widowControl w:val="0"/>
        <w:spacing w:line="276" w:lineRule="auto"/>
        <w:rPr>
          <w:rFonts w:eastAsia="Calibri"/>
          <w:color w:val="595959"/>
        </w:rPr>
      </w:pPr>
      <w:proofErr w:type="gramStart"/>
      <w:r w:rsidRPr="00FC1C57">
        <w:rPr>
          <w:rFonts w:eastAsia="Calibri"/>
          <w:color w:val="595959"/>
        </w:rPr>
        <w:t>A number of</w:t>
      </w:r>
      <w:proofErr w:type="gramEnd"/>
      <w:r w:rsidRPr="00FC1C57">
        <w:rPr>
          <w:rFonts w:eastAsia="Calibri"/>
          <w:color w:val="595959"/>
        </w:rPr>
        <w:t xml:space="preserve"> work programs and estates initiatives which form part of the ke</w:t>
      </w:r>
      <w:r>
        <w:rPr>
          <w:rFonts w:eastAsia="Calibri"/>
          <w:color w:val="595959"/>
        </w:rPr>
        <w:t>y Estates changes for the next 2</w:t>
      </w:r>
      <w:r w:rsidRPr="00FC1C57">
        <w:rPr>
          <w:rFonts w:eastAsia="Calibri"/>
          <w:color w:val="595959"/>
        </w:rPr>
        <w:t xml:space="preserve"> years, have in part been developed prior to the writing of this strategy document, this includes:</w:t>
      </w:r>
    </w:p>
    <w:p w14:paraId="19390B30" w14:textId="77777777" w:rsidR="00C81228" w:rsidRDefault="00C81228" w:rsidP="00C81228">
      <w:pPr>
        <w:rPr>
          <w:b/>
          <w:color w:val="1F497D" w:themeColor="text2"/>
        </w:rPr>
      </w:pPr>
    </w:p>
    <w:p w14:paraId="20BB437C" w14:textId="7CF68AD5" w:rsidR="001D2E87" w:rsidRPr="00C81228" w:rsidRDefault="001D2E87" w:rsidP="00C81228">
      <w:pPr>
        <w:rPr>
          <w:b/>
          <w:color w:val="0070C0"/>
          <w:sz w:val="24"/>
        </w:rPr>
      </w:pPr>
      <w:r w:rsidRPr="00C81228">
        <w:rPr>
          <w:b/>
          <w:color w:val="0070C0"/>
          <w:sz w:val="24"/>
        </w:rPr>
        <w:t>Care Environment Development and Re-provision (CEDAR)</w:t>
      </w:r>
    </w:p>
    <w:p w14:paraId="0507DB3C" w14:textId="77777777" w:rsidR="00C81228" w:rsidRDefault="00C81228" w:rsidP="00C81228">
      <w:pPr>
        <w:contextualSpacing/>
        <w:rPr>
          <w:b/>
          <w:color w:val="1F497D" w:themeColor="text2"/>
          <w:sz w:val="24"/>
        </w:rPr>
      </w:pPr>
    </w:p>
    <w:p w14:paraId="4B18AE22" w14:textId="3C6EE304" w:rsidR="001D2E87" w:rsidRPr="001D2E87" w:rsidRDefault="001D2E87" w:rsidP="00C81228">
      <w:pPr>
        <w:contextualSpacing/>
        <w:rPr>
          <w:rFonts w:cs="Arial"/>
          <w:sz w:val="24"/>
        </w:rPr>
      </w:pPr>
      <w:r w:rsidRPr="001D2E87">
        <w:rPr>
          <w:rFonts w:cs="Arial"/>
          <w:sz w:val="24"/>
        </w:rPr>
        <w:t xml:space="preserve">The work associated within the following areas has been brought together under one program known as CEDAR which commenced the major elements of the construction program in 2020: </w:t>
      </w:r>
    </w:p>
    <w:p w14:paraId="0CDD3023" w14:textId="77777777" w:rsidR="001D2E87" w:rsidRPr="00C81228" w:rsidRDefault="001D2E87" w:rsidP="00C81228">
      <w:pPr>
        <w:pStyle w:val="NormalWeb1"/>
        <w:spacing w:before="120" w:beforeAutospacing="0" w:after="120" w:afterAutospacing="0" w:line="240" w:lineRule="auto"/>
        <w:ind w:left="0"/>
        <w:contextualSpacing/>
        <w:rPr>
          <w:rFonts w:ascii="Arial" w:eastAsiaTheme="minorHAnsi" w:hAnsi="Arial" w:cs="Arial"/>
          <w:color w:val="auto"/>
          <w:lang w:eastAsia="en-US"/>
        </w:rPr>
      </w:pPr>
      <w:r w:rsidRPr="00C81228">
        <w:rPr>
          <w:rFonts w:ascii="Arial" w:eastAsiaTheme="minorHAnsi" w:hAnsi="Arial" w:cs="Arial"/>
          <w:color w:val="auto"/>
          <w:lang w:eastAsia="en-US"/>
        </w:rPr>
        <w:t>This scheme will result in adult secure services located on a single site at Northgate Hospital and young people’s secure services relocated onto Ferndene.  These moves will enable site rationalisation, improved service productivity, a greater critical mass of clinical expertise and expansion to enable repatriation in line with national strategy and the Mental Health 5 Year Forward View.</w:t>
      </w:r>
    </w:p>
    <w:p w14:paraId="1C8C63C4" w14:textId="77777777" w:rsidR="001D2E87" w:rsidRPr="001D2E87" w:rsidRDefault="001D2E87" w:rsidP="00C81228">
      <w:pPr>
        <w:contextualSpacing/>
        <w:rPr>
          <w:rFonts w:cs="Arial"/>
          <w:sz w:val="24"/>
        </w:rPr>
      </w:pPr>
      <w:r w:rsidRPr="001D2E87">
        <w:rPr>
          <w:rFonts w:cs="Arial"/>
          <w:sz w:val="24"/>
        </w:rPr>
        <w:t>Following the transfer of secure beds from Bamburgh Clinic, the building will be extended and upgraded to allow for the adult acute admission facilities from the CAV site to move into the vacated space.</w:t>
      </w:r>
    </w:p>
    <w:p w14:paraId="50DC20C2" w14:textId="77777777" w:rsidR="001D2E87" w:rsidRPr="00C81228" w:rsidRDefault="001D2E87" w:rsidP="00C81228">
      <w:pPr>
        <w:pStyle w:val="NormalWeb"/>
        <w:spacing w:line="240" w:lineRule="auto"/>
        <w:ind w:left="0"/>
        <w:contextualSpacing/>
        <w:rPr>
          <w:rFonts w:ascii="Arial" w:hAnsi="Arial" w:cs="Arial"/>
          <w:color w:val="auto"/>
        </w:rPr>
      </w:pPr>
      <w:r w:rsidRPr="00C81228">
        <w:rPr>
          <w:rFonts w:ascii="Arial" w:hAnsi="Arial" w:cs="Arial"/>
          <w:color w:val="auto"/>
        </w:rPr>
        <w:t>The development will also free up space on the St Nicholas Hospital site, specifically Alnwood and Lennox wards, which could be utilised as an option for the relocation of the Older Peoples in-patient services from the CAV site.</w:t>
      </w:r>
    </w:p>
    <w:p w14:paraId="27E1820D" w14:textId="77777777" w:rsidR="001D2E87" w:rsidRPr="00C81228" w:rsidRDefault="001D2E87" w:rsidP="00C81228">
      <w:pPr>
        <w:pStyle w:val="NormalWeb1"/>
        <w:spacing w:before="120" w:beforeAutospacing="0" w:after="120" w:afterAutospacing="0" w:line="240" w:lineRule="auto"/>
        <w:ind w:left="0"/>
        <w:contextualSpacing/>
        <w:rPr>
          <w:rFonts w:ascii="Arial" w:eastAsiaTheme="minorHAnsi" w:hAnsi="Arial" w:cs="Arial"/>
          <w:color w:val="auto"/>
          <w:lang w:eastAsia="en-US"/>
        </w:rPr>
      </w:pPr>
      <w:r w:rsidRPr="00C81228">
        <w:rPr>
          <w:rFonts w:ascii="Arial" w:eastAsiaTheme="minorHAnsi" w:hAnsi="Arial" w:cs="Arial"/>
          <w:color w:val="auto"/>
          <w:lang w:eastAsia="en-US"/>
        </w:rPr>
        <w:t xml:space="preserve">The CEDAR development will </w:t>
      </w:r>
      <w:r w:rsidRPr="00C81228">
        <w:rPr>
          <w:rFonts w:ascii="Arial" w:eastAsiaTheme="minorHAnsi" w:hAnsi="Arial" w:cs="Arial"/>
          <w:b/>
          <w:color w:val="auto"/>
          <w:lang w:eastAsia="en-US"/>
        </w:rPr>
        <w:t>deliver</w:t>
      </w:r>
      <w:r w:rsidRPr="00C81228">
        <w:rPr>
          <w:rFonts w:ascii="Arial" w:eastAsiaTheme="minorHAnsi" w:hAnsi="Arial" w:cs="Arial"/>
          <w:color w:val="auto"/>
          <w:lang w:eastAsia="en-US"/>
        </w:rPr>
        <w:t xml:space="preserve"> against each of the </w:t>
      </w:r>
      <w:r w:rsidRPr="00C81228">
        <w:rPr>
          <w:rFonts w:ascii="Arial" w:eastAsiaTheme="minorHAnsi" w:hAnsi="Arial" w:cs="Arial"/>
          <w:b/>
          <w:color w:val="auto"/>
          <w:lang w:eastAsia="en-US"/>
        </w:rPr>
        <w:t>five strategic themes</w:t>
      </w:r>
      <w:r w:rsidRPr="00C81228">
        <w:rPr>
          <w:rFonts w:ascii="Arial" w:eastAsiaTheme="minorHAnsi" w:hAnsi="Arial" w:cs="Arial"/>
          <w:color w:val="auto"/>
          <w:lang w:eastAsia="en-US"/>
        </w:rPr>
        <w:t xml:space="preserve"> and at the Northgate site will remove a range of buildings that have high levels of backlog maintenance are of a poor quality and poor functional suitability.</w:t>
      </w:r>
    </w:p>
    <w:p w14:paraId="1B799DF6" w14:textId="77777777" w:rsidR="001D2E87" w:rsidRDefault="001D2E87" w:rsidP="006E760B">
      <w:pPr>
        <w:ind w:left="720"/>
        <w:rPr>
          <w:b/>
          <w:color w:val="1F497D" w:themeColor="text2"/>
        </w:rPr>
      </w:pPr>
    </w:p>
    <w:p w14:paraId="114702D2" w14:textId="16D8EFF1" w:rsidR="001D2E87" w:rsidRPr="00C81228" w:rsidRDefault="001D2E87" w:rsidP="00C81228">
      <w:pPr>
        <w:rPr>
          <w:b/>
          <w:color w:val="0070C0"/>
          <w:sz w:val="24"/>
        </w:rPr>
      </w:pPr>
      <w:r w:rsidRPr="00C81228">
        <w:rPr>
          <w:b/>
          <w:color w:val="0070C0"/>
          <w:sz w:val="24"/>
        </w:rPr>
        <w:t>Monkwearmouth Hospital and South of Tyne Developments</w:t>
      </w:r>
    </w:p>
    <w:p w14:paraId="39B7B9B1" w14:textId="77777777" w:rsidR="00C81228" w:rsidRDefault="00C81228" w:rsidP="00C81228">
      <w:pPr>
        <w:rPr>
          <w:b/>
          <w:color w:val="1F497D" w:themeColor="text2"/>
          <w:sz w:val="24"/>
        </w:rPr>
      </w:pPr>
    </w:p>
    <w:p w14:paraId="6C43DA73" w14:textId="53533226" w:rsidR="001D2E87" w:rsidRPr="001D2E87" w:rsidRDefault="001D2E87" w:rsidP="00C81228">
      <w:pPr>
        <w:rPr>
          <w:sz w:val="24"/>
        </w:rPr>
      </w:pPr>
      <w:r w:rsidRPr="001D2E87">
        <w:rPr>
          <w:sz w:val="24"/>
        </w:rPr>
        <w:t xml:space="preserve">Demolition of some of the older parts of Monkwearmouth Hospital has occurred (Dec 2022) and redevelopment of the site is underway and will be complete early 2024. The development will also see Boldon Lane Clinic, which is currently vacant, demolished and rebuilt and this will provide a new base for the CYPS service which is currently utilising high cost rented accommodation at Cleadon Park.  </w:t>
      </w:r>
    </w:p>
    <w:p w14:paraId="4A225285" w14:textId="77777777" w:rsidR="00C81228" w:rsidRDefault="00C81228" w:rsidP="00C81228">
      <w:pPr>
        <w:rPr>
          <w:sz w:val="24"/>
        </w:rPr>
      </w:pPr>
    </w:p>
    <w:p w14:paraId="02205568" w14:textId="585B85A1" w:rsidR="001D2E87" w:rsidRPr="001D2E87" w:rsidRDefault="001D2E87" w:rsidP="00C81228">
      <w:pPr>
        <w:rPr>
          <w:sz w:val="24"/>
        </w:rPr>
      </w:pPr>
      <w:r w:rsidRPr="001D2E87">
        <w:rPr>
          <w:sz w:val="24"/>
        </w:rPr>
        <w:t>An artist’s impression of the redeveloped Monkwearmouth Hospital is shown below.</w:t>
      </w:r>
    </w:p>
    <w:p w14:paraId="63735DB3" w14:textId="77777777" w:rsidR="00C81228" w:rsidRDefault="00C81228" w:rsidP="00C81228">
      <w:pPr>
        <w:rPr>
          <w:color w:val="1F497D" w:themeColor="text2"/>
          <w:sz w:val="24"/>
        </w:rPr>
      </w:pPr>
    </w:p>
    <w:p w14:paraId="2D79325A" w14:textId="568C67B5" w:rsidR="001D2E87" w:rsidRPr="00C81228" w:rsidRDefault="001D2E87" w:rsidP="00C81228">
      <w:pPr>
        <w:rPr>
          <w:sz w:val="24"/>
        </w:rPr>
      </w:pPr>
      <w:r w:rsidRPr="00C81228">
        <w:rPr>
          <w:sz w:val="24"/>
        </w:rPr>
        <w:t>The Monkwearmouth and South of Tyne Developments will deliver against each of the five strategic themes and will remove a range of buildings that have high levels of backlog maintenance are of a poor quality, poor functional suitability and had associated safety issues related to structural deficiencies and asbestos contamination.</w:t>
      </w:r>
    </w:p>
    <w:p w14:paraId="02410A79" w14:textId="77777777" w:rsidR="001D2E87" w:rsidRDefault="001D2E87" w:rsidP="00054DAA">
      <w:pPr>
        <w:ind w:left="720"/>
        <w:rPr>
          <w:b/>
          <w:color w:val="1F497D" w:themeColor="text2"/>
        </w:rPr>
      </w:pPr>
    </w:p>
    <w:p w14:paraId="1D8D69B0" w14:textId="1B0BBB98" w:rsidR="001D2E87" w:rsidRPr="00C81228" w:rsidRDefault="001D2E87" w:rsidP="00C81228">
      <w:pPr>
        <w:rPr>
          <w:b/>
          <w:color w:val="0070C0"/>
          <w:sz w:val="24"/>
        </w:rPr>
      </w:pPr>
      <w:r w:rsidRPr="00C81228">
        <w:rPr>
          <w:b/>
          <w:color w:val="0070C0"/>
          <w:sz w:val="24"/>
        </w:rPr>
        <w:t>Benton House</w:t>
      </w:r>
    </w:p>
    <w:p w14:paraId="7C3530D7" w14:textId="77777777" w:rsidR="00C81228" w:rsidRDefault="00C81228" w:rsidP="00C81228">
      <w:pPr>
        <w:rPr>
          <w:sz w:val="24"/>
        </w:rPr>
      </w:pPr>
    </w:p>
    <w:p w14:paraId="551C37E3" w14:textId="6DE57475" w:rsidR="001D2E87" w:rsidRPr="001D2E87" w:rsidRDefault="001D2E87" w:rsidP="00C81228">
      <w:pPr>
        <w:rPr>
          <w:sz w:val="24"/>
        </w:rPr>
      </w:pPr>
      <w:r w:rsidRPr="001D2E87">
        <w:rPr>
          <w:sz w:val="24"/>
        </w:rPr>
        <w:t xml:space="preserve">Benton House in Newcastle is a leased community property which has been utilised by the Trust for almost 20 years. In 2022 the Trust agreed with the new Landlord to extend the lease and occupy the whole of the building. The building has been refurbished </w:t>
      </w:r>
      <w:proofErr w:type="gramStart"/>
      <w:r w:rsidRPr="001D2E87">
        <w:rPr>
          <w:sz w:val="24"/>
        </w:rPr>
        <w:t>in order to</w:t>
      </w:r>
      <w:proofErr w:type="gramEnd"/>
      <w:r w:rsidRPr="001D2E87">
        <w:rPr>
          <w:sz w:val="24"/>
        </w:rPr>
        <w:t xml:space="preserve"> accommodate other </w:t>
      </w:r>
      <w:r w:rsidR="002D27B6" w:rsidRPr="001D2E87">
        <w:rPr>
          <w:sz w:val="24"/>
        </w:rPr>
        <w:t>teams,</w:t>
      </w:r>
      <w:r w:rsidRPr="001D2E87">
        <w:rPr>
          <w:sz w:val="24"/>
        </w:rPr>
        <w:t xml:space="preserve"> and this work will be complete in early 2023. </w:t>
      </w:r>
    </w:p>
    <w:p w14:paraId="3698ED16" w14:textId="5954B2C6" w:rsidR="001D2E87" w:rsidRPr="001D2E87" w:rsidRDefault="001D2E87" w:rsidP="00C81228">
      <w:pPr>
        <w:rPr>
          <w:sz w:val="24"/>
        </w:rPr>
      </w:pPr>
      <w:r w:rsidRPr="001D2E87">
        <w:rPr>
          <w:sz w:val="24"/>
        </w:rPr>
        <w:t xml:space="preserve">The additional space will provide an opportunity for services to relocate to Benton House. Work is currently underway with the CBU’s to identify and finalise those teams where relocation will deliver </w:t>
      </w:r>
      <w:r w:rsidR="002D27B6" w:rsidRPr="001D2E87">
        <w:rPr>
          <w:sz w:val="24"/>
        </w:rPr>
        <w:t>benefits,</w:t>
      </w:r>
      <w:r w:rsidRPr="001D2E87">
        <w:rPr>
          <w:sz w:val="24"/>
        </w:rPr>
        <w:t xml:space="preserve"> and it is anticipated this will result in the building being fully occupied by the summer of 2023. The teams currently being considered for relocation include the community service based in the Molineux centre who are in high cost rented accommodation, the CYP CEDS North of Tyne (formerly EDICT) service who are looking to consolidate into a single location and the creation of a CYPS crisis team assessment centre which forms part of the UEC bid. </w:t>
      </w:r>
    </w:p>
    <w:p w14:paraId="23CC34DE" w14:textId="77777777" w:rsidR="001D2E87" w:rsidRPr="001D2E87" w:rsidRDefault="001D2E87" w:rsidP="00C81228">
      <w:pPr>
        <w:rPr>
          <w:sz w:val="24"/>
        </w:rPr>
      </w:pPr>
      <w:r w:rsidRPr="001D2E87">
        <w:rPr>
          <w:sz w:val="24"/>
        </w:rPr>
        <w:t xml:space="preserve">The Benton House scheme will deliver against </w:t>
      </w:r>
      <w:proofErr w:type="gramStart"/>
      <w:r w:rsidRPr="001D2E87">
        <w:rPr>
          <w:sz w:val="24"/>
        </w:rPr>
        <w:t>a number of</w:t>
      </w:r>
      <w:proofErr w:type="gramEnd"/>
      <w:r w:rsidRPr="001D2E87">
        <w:rPr>
          <w:sz w:val="24"/>
        </w:rPr>
        <w:t xml:space="preserve"> the strategic themes, in particular improvements to the quality and suitability of the estate following refurbishment, the delivery of cost savings associated with relocation from the Molineux Centre and is supporting service delivery through the relocation of teams.</w:t>
      </w:r>
    </w:p>
    <w:p w14:paraId="6C14F440" w14:textId="77777777" w:rsidR="001D2E87" w:rsidRDefault="001D2E87" w:rsidP="00DC38D3">
      <w:pPr>
        <w:ind w:left="720"/>
        <w:rPr>
          <w:b/>
        </w:rPr>
      </w:pPr>
    </w:p>
    <w:p w14:paraId="7AEB1FA7" w14:textId="77777777" w:rsidR="001D2E87" w:rsidRDefault="001D2E87" w:rsidP="00DC38D3">
      <w:pPr>
        <w:ind w:left="720"/>
        <w:rPr>
          <w:b/>
        </w:rPr>
      </w:pPr>
    </w:p>
    <w:p w14:paraId="553E061C" w14:textId="77777777" w:rsidR="00C81228" w:rsidRDefault="001D2E87" w:rsidP="00C81228">
      <w:pPr>
        <w:rPr>
          <w:b/>
          <w:color w:val="0070C0"/>
          <w:sz w:val="24"/>
        </w:rPr>
      </w:pPr>
      <w:r w:rsidRPr="00C81228">
        <w:rPr>
          <w:b/>
          <w:color w:val="0070C0"/>
          <w:sz w:val="24"/>
        </w:rPr>
        <w:t>Hadrian Unit – Carleton Clinic</w:t>
      </w:r>
    </w:p>
    <w:p w14:paraId="2C0D20E8" w14:textId="77777777" w:rsidR="00C81228" w:rsidRDefault="00C81228" w:rsidP="00C81228">
      <w:pPr>
        <w:rPr>
          <w:b/>
          <w:color w:val="0070C0"/>
          <w:sz w:val="24"/>
        </w:rPr>
      </w:pPr>
    </w:p>
    <w:p w14:paraId="52EB6997" w14:textId="7ADA7D7C" w:rsidR="001D2E87" w:rsidRPr="00C81228" w:rsidRDefault="001D2E87" w:rsidP="00C81228">
      <w:pPr>
        <w:rPr>
          <w:b/>
          <w:color w:val="0070C0"/>
          <w:sz w:val="24"/>
        </w:rPr>
      </w:pPr>
      <w:r w:rsidRPr="001D2E87">
        <w:rPr>
          <w:sz w:val="24"/>
        </w:rPr>
        <w:t xml:space="preserve">The Hadrian Unit was a </w:t>
      </w:r>
      <w:r w:rsidR="002D27B6" w:rsidRPr="001D2E87">
        <w:rPr>
          <w:sz w:val="24"/>
        </w:rPr>
        <w:t>22-bed</w:t>
      </w:r>
      <w:r w:rsidRPr="001D2E87">
        <w:rPr>
          <w:sz w:val="24"/>
        </w:rPr>
        <w:t xml:space="preserve"> mixed sex adult acute in-patient ward. The unit had a significant number of environmental and safety </w:t>
      </w:r>
      <w:r w:rsidR="002D27B6" w:rsidRPr="001D2E87">
        <w:rPr>
          <w:sz w:val="24"/>
        </w:rPr>
        <w:t>shortfalls,</w:t>
      </w:r>
      <w:r w:rsidRPr="001D2E87">
        <w:rPr>
          <w:sz w:val="24"/>
        </w:rPr>
        <w:t xml:space="preserve"> and these are being addressed as part of a comprehensive upgrade. The original plan was to reduce the beds to 20 and provide bedrooms with en-suite facilities along with other environmental and safety improvements and return the ward back to a mixed sex unit. During the upgrade the service moved the male patients into the former PICU unit and the CBU have decided they will operate this split service moving forward. The upgrade has been modified and now </w:t>
      </w:r>
      <w:proofErr w:type="gramStart"/>
      <w:r w:rsidRPr="001D2E87">
        <w:rPr>
          <w:sz w:val="24"/>
        </w:rPr>
        <w:t>a number of</w:t>
      </w:r>
      <w:proofErr w:type="gramEnd"/>
      <w:r w:rsidRPr="001D2E87">
        <w:rPr>
          <w:sz w:val="24"/>
        </w:rPr>
        <w:t xml:space="preserve"> bedrooms will not be upgraded and </w:t>
      </w:r>
      <w:r w:rsidR="002D27B6" w:rsidRPr="001D2E87">
        <w:rPr>
          <w:sz w:val="24"/>
        </w:rPr>
        <w:t>will instead</w:t>
      </w:r>
      <w:r w:rsidRPr="001D2E87">
        <w:rPr>
          <w:sz w:val="24"/>
        </w:rPr>
        <w:t xml:space="preserve"> be mothballed. </w:t>
      </w:r>
    </w:p>
    <w:p w14:paraId="7A41F0F1" w14:textId="77777777" w:rsidR="0009344F" w:rsidRDefault="0009344F" w:rsidP="00DC38D3">
      <w:pPr>
        <w:ind w:left="720"/>
        <w:rPr>
          <w:sz w:val="24"/>
        </w:rPr>
      </w:pPr>
    </w:p>
    <w:p w14:paraId="2C3EA983" w14:textId="29CDEE3E" w:rsidR="001D2E87" w:rsidRPr="001D2E87" w:rsidRDefault="001D2E87" w:rsidP="00C81228">
      <w:pPr>
        <w:rPr>
          <w:sz w:val="24"/>
        </w:rPr>
      </w:pPr>
      <w:r w:rsidRPr="001D2E87">
        <w:rPr>
          <w:sz w:val="24"/>
        </w:rPr>
        <w:t xml:space="preserve">There is an opportunity to look at the bed model on the Carleton Clinic site to see if it can be used as a single site for North Cumbria </w:t>
      </w:r>
      <w:r w:rsidR="002D27B6" w:rsidRPr="001D2E87">
        <w:rPr>
          <w:sz w:val="24"/>
        </w:rPr>
        <w:t>bed-based</w:t>
      </w:r>
      <w:r w:rsidRPr="001D2E87">
        <w:rPr>
          <w:sz w:val="24"/>
        </w:rPr>
        <w:t xml:space="preserve"> services and facilitate the relocation of the Yewdale beds.</w:t>
      </w:r>
    </w:p>
    <w:p w14:paraId="25C8C923" w14:textId="77777777" w:rsidR="0009344F" w:rsidRDefault="0009344F" w:rsidP="00383400">
      <w:pPr>
        <w:ind w:left="720"/>
        <w:rPr>
          <w:sz w:val="24"/>
        </w:rPr>
      </w:pPr>
    </w:p>
    <w:p w14:paraId="7AF9D064" w14:textId="5BF3747D" w:rsidR="001D2E87" w:rsidRPr="001D2E87" w:rsidRDefault="001D2E87" w:rsidP="00C81228">
      <w:pPr>
        <w:rPr>
          <w:sz w:val="24"/>
        </w:rPr>
      </w:pPr>
      <w:r w:rsidRPr="001D2E87">
        <w:rPr>
          <w:sz w:val="24"/>
        </w:rPr>
        <w:t xml:space="preserve">The Hadrian Unit upgrade will deliver against </w:t>
      </w:r>
      <w:proofErr w:type="gramStart"/>
      <w:r w:rsidRPr="001D2E87">
        <w:rPr>
          <w:sz w:val="24"/>
        </w:rPr>
        <w:t>a number of</w:t>
      </w:r>
      <w:proofErr w:type="gramEnd"/>
      <w:r w:rsidRPr="001D2E87">
        <w:rPr>
          <w:sz w:val="24"/>
        </w:rPr>
        <w:t xml:space="preserve"> the strategic themes, in particular improvements to the safety, quality and suitability of the estate following refurbishment and supporting service delivery.</w:t>
      </w:r>
    </w:p>
    <w:p w14:paraId="68CD3088" w14:textId="77777777" w:rsidR="001D2E87" w:rsidRDefault="001D2E87" w:rsidP="00DC38D3">
      <w:pPr>
        <w:ind w:left="720"/>
        <w:rPr>
          <w:b/>
        </w:rPr>
      </w:pPr>
    </w:p>
    <w:p w14:paraId="5CBC894F" w14:textId="1381775F" w:rsidR="001D2E87" w:rsidRDefault="001D2E87" w:rsidP="00C81228">
      <w:pPr>
        <w:rPr>
          <w:b/>
          <w:color w:val="0070C0"/>
          <w:sz w:val="24"/>
        </w:rPr>
      </w:pPr>
      <w:r w:rsidRPr="00C81228">
        <w:rPr>
          <w:b/>
          <w:color w:val="0070C0"/>
          <w:sz w:val="24"/>
        </w:rPr>
        <w:t>Other Minor Schemes in 2022/23</w:t>
      </w:r>
    </w:p>
    <w:p w14:paraId="32CBA7ED" w14:textId="77777777" w:rsidR="00C81228" w:rsidRPr="00C81228" w:rsidRDefault="00C81228" w:rsidP="00C81228">
      <w:pPr>
        <w:rPr>
          <w:b/>
          <w:color w:val="0070C0"/>
          <w:sz w:val="24"/>
        </w:rPr>
      </w:pPr>
    </w:p>
    <w:p w14:paraId="47EC74A4" w14:textId="3169816D" w:rsidR="001D2E87" w:rsidRPr="001D2E87" w:rsidRDefault="001D2E87" w:rsidP="00C81228">
      <w:pPr>
        <w:rPr>
          <w:sz w:val="24"/>
        </w:rPr>
      </w:pPr>
      <w:r w:rsidRPr="001D2E87">
        <w:rPr>
          <w:sz w:val="24"/>
        </w:rPr>
        <w:t xml:space="preserve">At the time of writing this strategy </w:t>
      </w:r>
      <w:proofErr w:type="gramStart"/>
      <w:r w:rsidRPr="001D2E87">
        <w:rPr>
          <w:sz w:val="24"/>
        </w:rPr>
        <w:t>a number of</w:t>
      </w:r>
      <w:proofErr w:type="gramEnd"/>
      <w:r w:rsidRPr="001D2E87">
        <w:rPr>
          <w:sz w:val="24"/>
        </w:rPr>
        <w:t xml:space="preserve"> other smaller schemes are underway in the current financial </w:t>
      </w:r>
      <w:r w:rsidR="002D27B6" w:rsidRPr="001D2E87">
        <w:rPr>
          <w:sz w:val="24"/>
        </w:rPr>
        <w:t>year,</w:t>
      </w:r>
      <w:r w:rsidRPr="001D2E87">
        <w:rPr>
          <w:sz w:val="24"/>
        </w:rPr>
        <w:t xml:space="preserve"> and these are identified in the capital program. Collectively these schemes will contribute to the five strategic themes. </w:t>
      </w:r>
    </w:p>
    <w:p w14:paraId="4F3A3813" w14:textId="77777777" w:rsidR="001D2E87" w:rsidRPr="00C81228" w:rsidRDefault="001D2E87" w:rsidP="00565752">
      <w:pPr>
        <w:rPr>
          <w:b/>
          <w:color w:val="0070C0"/>
        </w:rPr>
      </w:pPr>
    </w:p>
    <w:p w14:paraId="5543825B" w14:textId="22667243" w:rsidR="001D2E87" w:rsidRPr="00C81228" w:rsidRDefault="001D2E87" w:rsidP="00565752">
      <w:pPr>
        <w:rPr>
          <w:rFonts w:cs="Arial"/>
          <w:b/>
          <w:color w:val="0070C0"/>
          <w:sz w:val="24"/>
        </w:rPr>
      </w:pPr>
      <w:r w:rsidRPr="00C81228">
        <w:rPr>
          <w:rFonts w:cs="Arial"/>
          <w:b/>
          <w:color w:val="0070C0"/>
          <w:sz w:val="24"/>
        </w:rPr>
        <w:t>Prioritised Estates Work Streams – Business as Usual</w:t>
      </w:r>
    </w:p>
    <w:p w14:paraId="7F7108F8" w14:textId="77777777" w:rsidR="00C81228" w:rsidRPr="00BF5B7F" w:rsidRDefault="00C81228" w:rsidP="00565752">
      <w:pPr>
        <w:rPr>
          <w:rFonts w:cs="Arial"/>
          <w:b/>
          <w:color w:val="1F497D" w:themeColor="text2"/>
          <w:sz w:val="24"/>
        </w:rPr>
      </w:pPr>
    </w:p>
    <w:p w14:paraId="19ECC18A" w14:textId="77777777" w:rsidR="001D2E87" w:rsidRDefault="001D2E87" w:rsidP="00565752">
      <w:pPr>
        <w:widowControl w:val="0"/>
        <w:spacing w:line="276" w:lineRule="auto"/>
        <w:rPr>
          <w:rFonts w:eastAsia="Calibri" w:cs="Arial"/>
          <w:color w:val="595959"/>
          <w:sz w:val="24"/>
        </w:rPr>
      </w:pPr>
      <w:proofErr w:type="gramStart"/>
      <w:r w:rsidRPr="00BF5B7F">
        <w:rPr>
          <w:rFonts w:eastAsia="Calibri" w:cs="Arial"/>
          <w:color w:val="595959"/>
          <w:sz w:val="24"/>
        </w:rPr>
        <w:t>A number of</w:t>
      </w:r>
      <w:proofErr w:type="gramEnd"/>
      <w:r w:rsidRPr="00BF5B7F">
        <w:rPr>
          <w:rFonts w:eastAsia="Calibri" w:cs="Arial"/>
          <w:color w:val="595959"/>
          <w:sz w:val="24"/>
        </w:rPr>
        <w:t xml:space="preserve"> work streams which form part of the key estate developments that meet the strategic themes of this strategy for the next 5 years have been identified and are detailed below. </w:t>
      </w:r>
    </w:p>
    <w:p w14:paraId="00EEA62E" w14:textId="77777777" w:rsidR="0009344F" w:rsidRPr="00BF5B7F" w:rsidRDefault="0009344F" w:rsidP="00565752">
      <w:pPr>
        <w:widowControl w:val="0"/>
        <w:spacing w:line="276" w:lineRule="auto"/>
        <w:rPr>
          <w:rFonts w:eastAsia="Calibri" w:cs="Arial"/>
          <w:color w:val="595959"/>
          <w:sz w:val="24"/>
        </w:rPr>
      </w:pPr>
    </w:p>
    <w:p w14:paraId="2AC994DD" w14:textId="77777777" w:rsidR="001D2E87" w:rsidRPr="00C81228" w:rsidRDefault="001D2E87" w:rsidP="00BF5B7F">
      <w:pPr>
        <w:rPr>
          <w:rFonts w:cs="Arial"/>
          <w:b/>
          <w:color w:val="0070C0"/>
          <w:sz w:val="24"/>
        </w:rPr>
      </w:pPr>
      <w:r w:rsidRPr="00C81228">
        <w:rPr>
          <w:rFonts w:cs="Arial"/>
          <w:b/>
          <w:color w:val="0070C0"/>
          <w:sz w:val="24"/>
        </w:rPr>
        <w:t xml:space="preserve">Management of Backlog Maintenance </w:t>
      </w:r>
    </w:p>
    <w:p w14:paraId="455CC2C9" w14:textId="77777777" w:rsidR="00C81228" w:rsidRPr="00BF5B7F" w:rsidRDefault="00C81228" w:rsidP="00BF5B7F">
      <w:pPr>
        <w:rPr>
          <w:rFonts w:cs="Arial"/>
          <w:b/>
          <w:color w:val="1F497D" w:themeColor="text2"/>
          <w:sz w:val="24"/>
        </w:rPr>
      </w:pPr>
    </w:p>
    <w:p w14:paraId="1260B1F0" w14:textId="77777777" w:rsidR="001D2E87" w:rsidRDefault="001D2E87" w:rsidP="00BF5B7F">
      <w:pPr>
        <w:rPr>
          <w:rFonts w:cs="Arial"/>
          <w:sz w:val="24"/>
        </w:rPr>
      </w:pPr>
      <w:r w:rsidRPr="00BF5B7F">
        <w:rPr>
          <w:rFonts w:cs="Arial"/>
          <w:sz w:val="24"/>
        </w:rPr>
        <w:t xml:space="preserve">There is a continuing focus on reducing the backlog maintenance position.  The capital programme has identified funding of </w:t>
      </w:r>
      <w:r w:rsidRPr="00BF5B7F">
        <w:rPr>
          <w:rFonts w:cs="Arial"/>
          <w:b/>
          <w:sz w:val="24"/>
        </w:rPr>
        <w:t>£0.5M</w:t>
      </w:r>
      <w:r w:rsidRPr="00BF5B7F">
        <w:rPr>
          <w:rFonts w:cs="Arial"/>
          <w:sz w:val="24"/>
        </w:rPr>
        <w:t xml:space="preserve"> per annum to reduce backlog maintenance, focusing on significant and moderate risk adjusted backlog.  Backlog will also be addressed through disposals of old estate </w:t>
      </w:r>
      <w:proofErr w:type="gramStart"/>
      <w:r w:rsidRPr="00BF5B7F">
        <w:rPr>
          <w:rFonts w:cs="Arial"/>
          <w:sz w:val="24"/>
        </w:rPr>
        <w:t>in particular for</w:t>
      </w:r>
      <w:proofErr w:type="gramEnd"/>
      <w:r w:rsidRPr="00BF5B7F">
        <w:rPr>
          <w:rFonts w:cs="Arial"/>
          <w:sz w:val="24"/>
        </w:rPr>
        <w:t xml:space="preserve"> the Northgate and Monkwearmouth sites.</w:t>
      </w:r>
    </w:p>
    <w:p w14:paraId="1E60403E" w14:textId="77777777" w:rsidR="0009344F" w:rsidRPr="00BF5B7F" w:rsidRDefault="0009344F" w:rsidP="00BF5B7F">
      <w:pPr>
        <w:rPr>
          <w:rFonts w:cs="Arial"/>
          <w:sz w:val="24"/>
        </w:rPr>
      </w:pPr>
    </w:p>
    <w:p w14:paraId="2296FAE3" w14:textId="77777777" w:rsidR="001D2E87" w:rsidRPr="00BF5B7F" w:rsidRDefault="001D2E87" w:rsidP="00BF5B7F">
      <w:pPr>
        <w:rPr>
          <w:rFonts w:cs="Arial"/>
          <w:sz w:val="24"/>
        </w:rPr>
      </w:pPr>
      <w:r w:rsidRPr="00BF5B7F">
        <w:rPr>
          <w:rFonts w:cs="Arial"/>
          <w:sz w:val="24"/>
        </w:rPr>
        <w:t xml:space="preserve">The expenditure on backlog will deliver against </w:t>
      </w:r>
      <w:proofErr w:type="gramStart"/>
      <w:r w:rsidRPr="00BF5B7F">
        <w:rPr>
          <w:rFonts w:cs="Arial"/>
          <w:sz w:val="24"/>
        </w:rPr>
        <w:t>a number of</w:t>
      </w:r>
      <w:proofErr w:type="gramEnd"/>
      <w:r w:rsidRPr="00BF5B7F">
        <w:rPr>
          <w:rFonts w:cs="Arial"/>
          <w:sz w:val="24"/>
        </w:rPr>
        <w:t xml:space="preserve"> the strategic themes, in particular improvements to the safety, quality and suitability of the estate</w:t>
      </w:r>
    </w:p>
    <w:p w14:paraId="2DBA0F25" w14:textId="77777777" w:rsidR="00BF5B7F" w:rsidRDefault="00BF5B7F" w:rsidP="005352E3">
      <w:pPr>
        <w:ind w:left="720"/>
        <w:rPr>
          <w:rFonts w:cs="Arial"/>
          <w:b/>
          <w:sz w:val="24"/>
        </w:rPr>
      </w:pPr>
    </w:p>
    <w:p w14:paraId="1523A0DF" w14:textId="307C5AF4" w:rsidR="001D2E87" w:rsidRDefault="001D2E87" w:rsidP="00BF5B7F">
      <w:pPr>
        <w:rPr>
          <w:rFonts w:cs="Arial"/>
          <w:b/>
          <w:color w:val="0070C0"/>
          <w:sz w:val="24"/>
        </w:rPr>
      </w:pPr>
      <w:r w:rsidRPr="00C81228">
        <w:rPr>
          <w:rFonts w:cs="Arial"/>
          <w:b/>
          <w:color w:val="0070C0"/>
          <w:sz w:val="24"/>
        </w:rPr>
        <w:t>Improving the Patient Environment</w:t>
      </w:r>
    </w:p>
    <w:p w14:paraId="091E39CE" w14:textId="77777777" w:rsidR="00C81228" w:rsidRPr="00C81228" w:rsidRDefault="00C81228" w:rsidP="00BF5B7F">
      <w:pPr>
        <w:rPr>
          <w:rFonts w:cs="Arial"/>
          <w:b/>
          <w:color w:val="0070C0"/>
          <w:sz w:val="24"/>
        </w:rPr>
      </w:pPr>
    </w:p>
    <w:p w14:paraId="12DF4CA7" w14:textId="10DE7E80" w:rsidR="001D2E87" w:rsidRPr="00BF5B7F" w:rsidRDefault="001D2E87" w:rsidP="00BF5B7F">
      <w:pPr>
        <w:rPr>
          <w:rFonts w:cs="Arial"/>
          <w:sz w:val="24"/>
        </w:rPr>
      </w:pPr>
      <w:r w:rsidRPr="00BF5B7F">
        <w:rPr>
          <w:rFonts w:cs="Arial"/>
          <w:sz w:val="24"/>
        </w:rPr>
        <w:t xml:space="preserve">The quality of the patient environment and patient safety has been highlighted as a priority by the organisation. </w:t>
      </w:r>
      <w:proofErr w:type="gramStart"/>
      <w:r w:rsidRPr="00BF5B7F">
        <w:rPr>
          <w:rFonts w:cs="Arial"/>
          <w:sz w:val="24"/>
        </w:rPr>
        <w:t>In order to</w:t>
      </w:r>
      <w:proofErr w:type="gramEnd"/>
      <w:r w:rsidRPr="00BF5B7F">
        <w:rPr>
          <w:rFonts w:cs="Arial"/>
          <w:sz w:val="24"/>
        </w:rPr>
        <w:t xml:space="preserve"> address any minor deviations or areas for specific improvement which may be outside of a planned refurbishment program an allowance needs to be made in the annual capital </w:t>
      </w:r>
      <w:r w:rsidR="002D27B6" w:rsidRPr="00BF5B7F">
        <w:rPr>
          <w:rFonts w:cs="Arial"/>
          <w:sz w:val="24"/>
        </w:rPr>
        <w:t>program,</w:t>
      </w:r>
      <w:r w:rsidRPr="00BF5B7F">
        <w:rPr>
          <w:rFonts w:cs="Arial"/>
          <w:sz w:val="24"/>
        </w:rPr>
        <w:t xml:space="preserve"> and this will ensure issues can be addressed promptly. </w:t>
      </w:r>
    </w:p>
    <w:p w14:paraId="1B8C5AA4" w14:textId="77777777" w:rsidR="001D2E87" w:rsidRPr="00BF5B7F" w:rsidRDefault="001D2E87" w:rsidP="00BF5B7F">
      <w:pPr>
        <w:rPr>
          <w:rFonts w:cs="Arial"/>
          <w:sz w:val="24"/>
        </w:rPr>
      </w:pPr>
      <w:r w:rsidRPr="00BF5B7F">
        <w:rPr>
          <w:rFonts w:cs="Arial"/>
          <w:sz w:val="24"/>
        </w:rPr>
        <w:t xml:space="preserve">The capital programme has identified funding of </w:t>
      </w:r>
      <w:r w:rsidRPr="00BF5B7F">
        <w:rPr>
          <w:rFonts w:cs="Arial"/>
          <w:b/>
          <w:sz w:val="24"/>
        </w:rPr>
        <w:t>£1.2M/annum</w:t>
      </w:r>
      <w:r w:rsidRPr="00BF5B7F">
        <w:rPr>
          <w:rFonts w:cs="Arial"/>
          <w:sz w:val="24"/>
        </w:rPr>
        <w:t xml:space="preserve"> to improve the patient environment.</w:t>
      </w:r>
    </w:p>
    <w:p w14:paraId="727E135A" w14:textId="77777777" w:rsidR="001D2E87" w:rsidRPr="00BF5B7F" w:rsidRDefault="001D2E87" w:rsidP="00BF5B7F">
      <w:pPr>
        <w:rPr>
          <w:rFonts w:cs="Arial"/>
          <w:sz w:val="24"/>
        </w:rPr>
      </w:pPr>
      <w:r w:rsidRPr="00BF5B7F">
        <w:rPr>
          <w:rFonts w:cs="Arial"/>
          <w:sz w:val="24"/>
        </w:rPr>
        <w:t xml:space="preserve">The expenditure on the patient environment will deliver against </w:t>
      </w:r>
      <w:proofErr w:type="gramStart"/>
      <w:r w:rsidRPr="00BF5B7F">
        <w:rPr>
          <w:rFonts w:cs="Arial"/>
          <w:sz w:val="24"/>
        </w:rPr>
        <w:t>a number of</w:t>
      </w:r>
      <w:proofErr w:type="gramEnd"/>
      <w:r w:rsidRPr="00BF5B7F">
        <w:rPr>
          <w:rFonts w:cs="Arial"/>
          <w:sz w:val="24"/>
        </w:rPr>
        <w:t xml:space="preserve"> the strategic themes, in particular improvements to the quality and suitability of the estate</w:t>
      </w:r>
    </w:p>
    <w:p w14:paraId="1DCB17EA" w14:textId="77777777" w:rsidR="00BF5B7F" w:rsidRDefault="00BF5B7F" w:rsidP="00A923BF">
      <w:pPr>
        <w:ind w:left="720"/>
        <w:rPr>
          <w:rFonts w:cs="Arial"/>
          <w:b/>
          <w:sz w:val="24"/>
        </w:rPr>
      </w:pPr>
    </w:p>
    <w:p w14:paraId="69B9525D" w14:textId="55E3C360" w:rsidR="001D2E87" w:rsidRPr="00C81228" w:rsidRDefault="001D2E87" w:rsidP="00BF5B7F">
      <w:pPr>
        <w:rPr>
          <w:rFonts w:cs="Arial"/>
          <w:b/>
          <w:color w:val="0070C0"/>
          <w:sz w:val="24"/>
        </w:rPr>
      </w:pPr>
      <w:r w:rsidRPr="00C81228">
        <w:rPr>
          <w:rFonts w:cs="Arial"/>
          <w:b/>
          <w:color w:val="0070C0"/>
          <w:sz w:val="24"/>
        </w:rPr>
        <w:t xml:space="preserve">Safety Improvements </w:t>
      </w:r>
    </w:p>
    <w:p w14:paraId="723D5029" w14:textId="77777777" w:rsidR="00C81228" w:rsidRPr="00BF5B7F" w:rsidRDefault="00C81228" w:rsidP="00BF5B7F">
      <w:pPr>
        <w:rPr>
          <w:rFonts w:cs="Arial"/>
          <w:b/>
          <w:sz w:val="24"/>
        </w:rPr>
      </w:pPr>
    </w:p>
    <w:p w14:paraId="05999E91" w14:textId="77777777" w:rsidR="001D2E87" w:rsidRPr="00BF5B7F" w:rsidRDefault="001D2E87" w:rsidP="00BF5B7F">
      <w:pPr>
        <w:rPr>
          <w:rFonts w:cs="Arial"/>
          <w:sz w:val="24"/>
        </w:rPr>
      </w:pPr>
      <w:r w:rsidRPr="00BF5B7F">
        <w:rPr>
          <w:rFonts w:cs="Arial"/>
          <w:sz w:val="24"/>
        </w:rPr>
        <w:t xml:space="preserve">The Trust needs to provide facilities for service users that are safe and minimise the opportunity for harm to be caused. Furthermore, facilities need to comply with legislation and CQC requirements which evolve over time. </w:t>
      </w:r>
    </w:p>
    <w:p w14:paraId="7164DFEA" w14:textId="77777777" w:rsidR="001D2E87" w:rsidRPr="00BF5B7F" w:rsidRDefault="001D2E87" w:rsidP="00BF5B7F">
      <w:pPr>
        <w:rPr>
          <w:rFonts w:cs="Arial"/>
          <w:sz w:val="24"/>
        </w:rPr>
      </w:pPr>
      <w:r w:rsidRPr="00BF5B7F">
        <w:rPr>
          <w:rFonts w:cs="Arial"/>
          <w:sz w:val="24"/>
        </w:rPr>
        <w:t xml:space="preserve">Within the Trust the Clinical Environmental Safety Group (CESG) review the standards in place across the Estate with a view to identifying where safety improvements need to take place. The key areas include en-suite doors, CCTV standardisation, seclusion room upgrades and Oxehealth along with </w:t>
      </w:r>
      <w:proofErr w:type="gramStart"/>
      <w:r w:rsidRPr="00BF5B7F">
        <w:rPr>
          <w:rFonts w:cs="Arial"/>
          <w:sz w:val="24"/>
        </w:rPr>
        <w:t>a number of</w:t>
      </w:r>
      <w:proofErr w:type="gramEnd"/>
      <w:r w:rsidRPr="00BF5B7F">
        <w:rPr>
          <w:rFonts w:cs="Arial"/>
          <w:sz w:val="24"/>
        </w:rPr>
        <w:t xml:space="preserve"> other areas. </w:t>
      </w:r>
    </w:p>
    <w:p w14:paraId="45EEF989" w14:textId="77777777" w:rsidR="001D2E87" w:rsidRPr="00BF5B7F" w:rsidRDefault="001D2E87" w:rsidP="00BF5B7F">
      <w:pPr>
        <w:rPr>
          <w:rFonts w:cs="Arial"/>
          <w:sz w:val="24"/>
        </w:rPr>
      </w:pPr>
      <w:r w:rsidRPr="00BF5B7F">
        <w:rPr>
          <w:rFonts w:cs="Arial"/>
          <w:sz w:val="24"/>
        </w:rPr>
        <w:t xml:space="preserve">The capital programme has identified on-going funding of </w:t>
      </w:r>
      <w:r w:rsidRPr="00BF5B7F">
        <w:rPr>
          <w:rFonts w:cs="Arial"/>
          <w:b/>
          <w:sz w:val="24"/>
        </w:rPr>
        <w:t>£0.8M/annum</w:t>
      </w:r>
      <w:r w:rsidRPr="00BF5B7F">
        <w:rPr>
          <w:rFonts w:cs="Arial"/>
          <w:sz w:val="24"/>
        </w:rPr>
        <w:t xml:space="preserve"> to improve safety for patients.</w:t>
      </w:r>
    </w:p>
    <w:p w14:paraId="7BE7DB67" w14:textId="77777777" w:rsidR="001D2E87" w:rsidRPr="00BF5B7F" w:rsidRDefault="001D2E87" w:rsidP="00BF5B7F">
      <w:pPr>
        <w:rPr>
          <w:rFonts w:cs="Arial"/>
          <w:sz w:val="24"/>
        </w:rPr>
      </w:pPr>
      <w:r w:rsidRPr="00BF5B7F">
        <w:rPr>
          <w:rFonts w:cs="Arial"/>
          <w:sz w:val="24"/>
        </w:rPr>
        <w:t>The expenditure in this area will deliver against the strategic theme of safety and will also contribute to the quality and suitability of the estate.</w:t>
      </w:r>
    </w:p>
    <w:p w14:paraId="0FC54C70" w14:textId="77777777" w:rsidR="00BF5B7F" w:rsidRDefault="00BF5B7F" w:rsidP="005352E3">
      <w:pPr>
        <w:ind w:left="720"/>
        <w:rPr>
          <w:rFonts w:cs="Arial"/>
          <w:b/>
          <w:sz w:val="24"/>
        </w:rPr>
      </w:pPr>
    </w:p>
    <w:p w14:paraId="08D8E812" w14:textId="13611DEA" w:rsidR="001D2E87" w:rsidRDefault="001D2E87" w:rsidP="00BF5B7F">
      <w:pPr>
        <w:rPr>
          <w:rFonts w:cs="Arial"/>
          <w:b/>
          <w:color w:val="0070C0"/>
          <w:sz w:val="24"/>
        </w:rPr>
      </w:pPr>
      <w:r w:rsidRPr="00C81228">
        <w:rPr>
          <w:rFonts w:cs="Arial"/>
          <w:b/>
          <w:color w:val="0070C0"/>
          <w:sz w:val="24"/>
        </w:rPr>
        <w:t>Carbon Reduction, Energy Efficiency and Green Plan Initiatives</w:t>
      </w:r>
    </w:p>
    <w:p w14:paraId="6EF04F3D" w14:textId="77777777" w:rsidR="00C81228" w:rsidRPr="00C81228" w:rsidRDefault="00C81228" w:rsidP="00BF5B7F">
      <w:pPr>
        <w:rPr>
          <w:rFonts w:cs="Arial"/>
          <w:b/>
          <w:color w:val="0070C0"/>
          <w:sz w:val="24"/>
        </w:rPr>
      </w:pPr>
    </w:p>
    <w:p w14:paraId="044BB284" w14:textId="77777777" w:rsidR="001D2E87" w:rsidRPr="00BF5B7F" w:rsidRDefault="001D2E87" w:rsidP="00BF5B7F">
      <w:pPr>
        <w:rPr>
          <w:rFonts w:cs="Arial"/>
          <w:sz w:val="24"/>
        </w:rPr>
      </w:pPr>
      <w:r w:rsidRPr="00BF5B7F">
        <w:rPr>
          <w:rFonts w:cs="Arial"/>
          <w:sz w:val="24"/>
        </w:rPr>
        <w:lastRenderedPageBreak/>
        <w:t xml:space="preserve">A survey of the estate has identified that significant capital investment will be required </w:t>
      </w:r>
      <w:proofErr w:type="gramStart"/>
      <w:r w:rsidRPr="00BF5B7F">
        <w:rPr>
          <w:rFonts w:cs="Arial"/>
          <w:sz w:val="24"/>
        </w:rPr>
        <w:t>in order to</w:t>
      </w:r>
      <w:proofErr w:type="gramEnd"/>
      <w:r w:rsidRPr="00BF5B7F">
        <w:rPr>
          <w:rFonts w:cs="Arial"/>
          <w:sz w:val="24"/>
        </w:rPr>
        <w:t xml:space="preserve"> achieve net zero by the Government target date of 2040 and this equates to an overall investment of around £30M.  </w:t>
      </w:r>
    </w:p>
    <w:p w14:paraId="670C195D" w14:textId="77777777" w:rsidR="001D2E87" w:rsidRPr="00BF5B7F" w:rsidRDefault="001D2E87" w:rsidP="00BF5B7F">
      <w:pPr>
        <w:rPr>
          <w:rFonts w:cs="Arial"/>
          <w:sz w:val="24"/>
        </w:rPr>
      </w:pPr>
      <w:r w:rsidRPr="00BF5B7F">
        <w:rPr>
          <w:rFonts w:cs="Arial"/>
          <w:sz w:val="24"/>
        </w:rPr>
        <w:t>The capital programme has identified on-going funding of £1.5M/annum to invest in decarbonisation energy efficiency, building adaptation and improving biodiversity.</w:t>
      </w:r>
    </w:p>
    <w:p w14:paraId="5635F374" w14:textId="77777777" w:rsidR="001D2E87" w:rsidRPr="00BF5B7F" w:rsidRDefault="001D2E87" w:rsidP="00BF5B7F">
      <w:pPr>
        <w:rPr>
          <w:rFonts w:cs="Arial"/>
          <w:b/>
          <w:sz w:val="24"/>
        </w:rPr>
      </w:pPr>
      <w:r w:rsidRPr="00BF5B7F">
        <w:rPr>
          <w:rFonts w:cs="Arial"/>
          <w:sz w:val="24"/>
        </w:rPr>
        <w:t>The expenditure in this area will deliver against the strategic theme of delivering elements of the Green Plan and will also contribute to the quality and suitability of the estate.</w:t>
      </w:r>
    </w:p>
    <w:p w14:paraId="159D24C4" w14:textId="77777777" w:rsidR="00BF5B7F" w:rsidRDefault="00BF5B7F" w:rsidP="000C3B9A">
      <w:pPr>
        <w:rPr>
          <w:rFonts w:cs="Arial"/>
          <w:b/>
          <w:sz w:val="24"/>
        </w:rPr>
      </w:pPr>
    </w:p>
    <w:p w14:paraId="6EC98DD7" w14:textId="1F122188" w:rsidR="001D2E87" w:rsidRDefault="001D2E87" w:rsidP="000C3B9A">
      <w:pPr>
        <w:rPr>
          <w:rFonts w:cs="Arial"/>
          <w:b/>
          <w:color w:val="0070C0"/>
          <w:sz w:val="24"/>
        </w:rPr>
      </w:pPr>
      <w:r w:rsidRPr="00C81228">
        <w:rPr>
          <w:rFonts w:cs="Arial"/>
          <w:b/>
          <w:color w:val="0070C0"/>
          <w:sz w:val="24"/>
        </w:rPr>
        <w:t>Unfunded Developments</w:t>
      </w:r>
    </w:p>
    <w:p w14:paraId="319E7B2F" w14:textId="77777777" w:rsidR="00C81228" w:rsidRPr="00C81228" w:rsidRDefault="00C81228" w:rsidP="000C3B9A">
      <w:pPr>
        <w:rPr>
          <w:rFonts w:cs="Arial"/>
          <w:b/>
          <w:color w:val="0070C0"/>
          <w:sz w:val="24"/>
        </w:rPr>
      </w:pPr>
    </w:p>
    <w:p w14:paraId="4553761A" w14:textId="27E89A6F" w:rsidR="001D2E87" w:rsidRPr="00BF5B7F" w:rsidRDefault="001D2E87" w:rsidP="00D94578">
      <w:pPr>
        <w:rPr>
          <w:rFonts w:cs="Arial"/>
          <w:sz w:val="24"/>
        </w:rPr>
      </w:pPr>
      <w:r w:rsidRPr="00BF5B7F">
        <w:rPr>
          <w:rFonts w:cs="Arial"/>
          <w:sz w:val="24"/>
        </w:rPr>
        <w:t xml:space="preserve">In addition to the funded developments there are </w:t>
      </w:r>
      <w:proofErr w:type="gramStart"/>
      <w:r w:rsidRPr="00BF5B7F">
        <w:rPr>
          <w:rFonts w:cs="Arial"/>
          <w:sz w:val="24"/>
        </w:rPr>
        <w:t>a number of</w:t>
      </w:r>
      <w:proofErr w:type="gramEnd"/>
      <w:r w:rsidRPr="00BF5B7F">
        <w:rPr>
          <w:rFonts w:cs="Arial"/>
          <w:sz w:val="24"/>
        </w:rPr>
        <w:t xml:space="preserve"> schemes which have been identified by the Trust where a funding stream does not exist. These schemes include the relocation of the OPS service from the CAV site and the relocation of Rose Lodge onto a main hospital site. </w:t>
      </w:r>
    </w:p>
    <w:p w14:paraId="2DE6AD2C" w14:textId="352D46DD" w:rsidR="001D2E87" w:rsidRPr="00BF5B7F" w:rsidRDefault="001D2E87" w:rsidP="00D94578">
      <w:pPr>
        <w:rPr>
          <w:rFonts w:cs="Arial"/>
          <w:sz w:val="24"/>
        </w:rPr>
      </w:pPr>
      <w:r w:rsidRPr="00BF5B7F">
        <w:rPr>
          <w:rFonts w:cs="Arial"/>
          <w:sz w:val="24"/>
        </w:rPr>
        <w:t xml:space="preserve">The OPS service presents a significant risk to service delivery as the service are based at the Centre of Aging Vitality (CAV) which is owned by Newcastle University and leased to CNTW. The current lease expires at the end of March </w:t>
      </w:r>
      <w:r w:rsidR="002D27B6" w:rsidRPr="00BF5B7F">
        <w:rPr>
          <w:rFonts w:cs="Arial"/>
          <w:sz w:val="24"/>
        </w:rPr>
        <w:t>2023;</w:t>
      </w:r>
      <w:r w:rsidRPr="00BF5B7F">
        <w:rPr>
          <w:rFonts w:cs="Arial"/>
          <w:sz w:val="24"/>
        </w:rPr>
        <w:t xml:space="preserve"> </w:t>
      </w:r>
      <w:r w:rsidR="00084AD8" w:rsidRPr="00BF5B7F">
        <w:rPr>
          <w:rFonts w:cs="Arial"/>
          <w:sz w:val="24"/>
        </w:rPr>
        <w:t>however,</w:t>
      </w:r>
      <w:r w:rsidRPr="00BF5B7F">
        <w:rPr>
          <w:rFonts w:cs="Arial"/>
          <w:sz w:val="24"/>
        </w:rPr>
        <w:t xml:space="preserve"> assurances have been sought from the University that </w:t>
      </w:r>
      <w:proofErr w:type="gramStart"/>
      <w:r w:rsidRPr="00BF5B7F">
        <w:rPr>
          <w:rFonts w:cs="Arial"/>
          <w:sz w:val="24"/>
        </w:rPr>
        <w:t>these service</w:t>
      </w:r>
      <w:proofErr w:type="gramEnd"/>
      <w:r w:rsidRPr="00BF5B7F">
        <w:rPr>
          <w:rFonts w:cs="Arial"/>
          <w:sz w:val="24"/>
        </w:rPr>
        <w:t xml:space="preserve"> can remain on site until autumn 2024. A business case has been developed which presents 2 principal options for the </w:t>
      </w:r>
      <w:r w:rsidR="002D27B6" w:rsidRPr="00BF5B7F">
        <w:rPr>
          <w:rFonts w:cs="Arial"/>
          <w:sz w:val="24"/>
        </w:rPr>
        <w:t>bed-based</w:t>
      </w:r>
      <w:r w:rsidRPr="00BF5B7F">
        <w:rPr>
          <w:rFonts w:cs="Arial"/>
          <w:sz w:val="24"/>
        </w:rPr>
        <w:t xml:space="preserve"> services; move into Alnwood following the CYPS move to Ferndene or construct a new build on the Collingwood Court footprint. Both options are unfunded and would not be complete until 2025.</w:t>
      </w:r>
    </w:p>
    <w:p w14:paraId="058E2FC7" w14:textId="77777777" w:rsidR="001D2E87" w:rsidRPr="00BF5B7F" w:rsidRDefault="001D2E87" w:rsidP="00D94578">
      <w:pPr>
        <w:rPr>
          <w:rFonts w:cs="Arial"/>
          <w:sz w:val="24"/>
        </w:rPr>
      </w:pPr>
      <w:r w:rsidRPr="00BF5B7F">
        <w:rPr>
          <w:rFonts w:cs="Arial"/>
          <w:sz w:val="24"/>
        </w:rPr>
        <w:t>The Rose Lodge scheme has not been considered in any depth in this strategy.</w:t>
      </w:r>
    </w:p>
    <w:p w14:paraId="30ECC103" w14:textId="77777777" w:rsidR="001D2E87" w:rsidRPr="00BF5B7F" w:rsidRDefault="001D2E87" w:rsidP="000C3B9A">
      <w:pPr>
        <w:rPr>
          <w:rFonts w:cs="Arial"/>
          <w:sz w:val="24"/>
        </w:rPr>
      </w:pPr>
    </w:p>
    <w:p w14:paraId="05B57087" w14:textId="77777777" w:rsidR="001D2E87" w:rsidRDefault="001D2E87" w:rsidP="00632BF6">
      <w:pPr>
        <w:rPr>
          <w:rFonts w:cs="Arial"/>
          <w:b/>
          <w:color w:val="0070C0"/>
          <w:sz w:val="24"/>
        </w:rPr>
      </w:pPr>
      <w:r w:rsidRPr="00C81228">
        <w:rPr>
          <w:rFonts w:cs="Arial"/>
          <w:b/>
          <w:color w:val="0070C0"/>
          <w:sz w:val="24"/>
        </w:rPr>
        <w:t xml:space="preserve">Potential Rationalisation and Disposal of Assets </w:t>
      </w:r>
    </w:p>
    <w:p w14:paraId="48286E17" w14:textId="77777777" w:rsidR="00C81228" w:rsidRPr="00C81228" w:rsidRDefault="00C81228" w:rsidP="00632BF6">
      <w:pPr>
        <w:rPr>
          <w:rFonts w:cs="Arial"/>
          <w:b/>
          <w:color w:val="0070C0"/>
          <w:sz w:val="24"/>
        </w:rPr>
      </w:pPr>
    </w:p>
    <w:p w14:paraId="1CAA95C1" w14:textId="77777777" w:rsidR="001D2E87" w:rsidRPr="00BF5B7F" w:rsidRDefault="001D2E87" w:rsidP="00020551">
      <w:pPr>
        <w:rPr>
          <w:rFonts w:cs="Arial"/>
          <w:sz w:val="24"/>
        </w:rPr>
      </w:pPr>
      <w:r w:rsidRPr="00BF5B7F">
        <w:rPr>
          <w:rFonts w:cs="Arial"/>
          <w:sz w:val="24"/>
        </w:rPr>
        <w:t xml:space="preserve">The potential of asset realisation to create capital receipts for service development and reduce expensive overhead costs associated with property ownership, has been the subject of considerable work over the last few years. The Trust has </w:t>
      </w:r>
      <w:proofErr w:type="gramStart"/>
      <w:r w:rsidRPr="00BF5B7F">
        <w:rPr>
          <w:rFonts w:cs="Arial"/>
          <w:sz w:val="24"/>
        </w:rPr>
        <w:t>a number of</w:t>
      </w:r>
      <w:proofErr w:type="gramEnd"/>
      <w:r w:rsidRPr="00BF5B7F">
        <w:rPr>
          <w:rFonts w:cs="Arial"/>
          <w:sz w:val="24"/>
        </w:rPr>
        <w:t xml:space="preserve"> assets / surplus land that have been identified for disposal or potential disposal, these include:</w:t>
      </w:r>
    </w:p>
    <w:p w14:paraId="1349ADC5" w14:textId="77777777" w:rsidR="00BF5B7F" w:rsidRDefault="00BF5B7F" w:rsidP="001A6262">
      <w:pPr>
        <w:ind w:left="720"/>
        <w:rPr>
          <w:rFonts w:cs="Arial"/>
          <w:b/>
          <w:sz w:val="24"/>
        </w:rPr>
      </w:pPr>
    </w:p>
    <w:p w14:paraId="573FD51E" w14:textId="48983C2F" w:rsidR="001D2E87" w:rsidRDefault="001D2E87" w:rsidP="00BF5B7F">
      <w:pPr>
        <w:rPr>
          <w:rFonts w:cs="Arial"/>
          <w:b/>
          <w:color w:val="0070C0"/>
          <w:sz w:val="24"/>
        </w:rPr>
      </w:pPr>
      <w:r w:rsidRPr="00C81228">
        <w:rPr>
          <w:rFonts w:cs="Arial"/>
          <w:b/>
          <w:color w:val="0070C0"/>
          <w:sz w:val="24"/>
        </w:rPr>
        <w:t>Identified Asset Sales &amp; estimated values</w:t>
      </w:r>
    </w:p>
    <w:p w14:paraId="019ECEFA" w14:textId="77777777" w:rsidR="0043588B" w:rsidRPr="00C81228" w:rsidRDefault="0043588B" w:rsidP="00BF5B7F">
      <w:pPr>
        <w:rPr>
          <w:rFonts w:cs="Arial"/>
          <w:b/>
          <w:color w:val="0070C0"/>
          <w:sz w:val="24"/>
        </w:rPr>
      </w:pPr>
    </w:p>
    <w:p w14:paraId="46DFCF18" w14:textId="77777777" w:rsidR="001D2E87" w:rsidRPr="00BF5B7F" w:rsidRDefault="001D2E87" w:rsidP="002867BC">
      <w:pPr>
        <w:pStyle w:val="ListParagraph"/>
        <w:widowControl w:val="0"/>
        <w:numPr>
          <w:ilvl w:val="0"/>
          <w:numId w:val="6"/>
        </w:numPr>
        <w:ind w:right="340"/>
        <w:contextualSpacing w:val="0"/>
        <w:jc w:val="both"/>
        <w:rPr>
          <w:rFonts w:cs="Arial"/>
          <w:sz w:val="24"/>
        </w:rPr>
      </w:pPr>
      <w:r w:rsidRPr="00BF5B7F">
        <w:rPr>
          <w:rFonts w:cs="Arial"/>
          <w:sz w:val="24"/>
        </w:rPr>
        <w:t>Craigavon &amp; land - £285k (sale underway)</w:t>
      </w:r>
    </w:p>
    <w:p w14:paraId="5B55D731" w14:textId="77777777" w:rsidR="00BF5B7F" w:rsidRDefault="00BF5B7F" w:rsidP="00816136">
      <w:pPr>
        <w:ind w:left="626"/>
        <w:rPr>
          <w:rFonts w:cs="Arial"/>
          <w:b/>
          <w:sz w:val="24"/>
        </w:rPr>
      </w:pPr>
    </w:p>
    <w:p w14:paraId="23A0FD4D" w14:textId="77777777" w:rsidR="0043588B" w:rsidRDefault="001D2E87" w:rsidP="00BF5B7F">
      <w:pPr>
        <w:rPr>
          <w:rFonts w:cs="Arial"/>
          <w:sz w:val="24"/>
        </w:rPr>
      </w:pPr>
      <w:r w:rsidRPr="00C81228">
        <w:rPr>
          <w:rFonts w:cs="Arial"/>
          <w:b/>
          <w:color w:val="0070C0"/>
          <w:sz w:val="24"/>
        </w:rPr>
        <w:t>Potential Asset Sales (or development opportunities</w:t>
      </w:r>
      <w:r w:rsidRPr="00BF5B7F">
        <w:rPr>
          <w:rFonts w:cs="Arial"/>
          <w:b/>
          <w:sz w:val="24"/>
        </w:rPr>
        <w:t>)</w:t>
      </w:r>
      <w:r w:rsidRPr="00BF5B7F">
        <w:rPr>
          <w:rFonts w:cs="Arial"/>
          <w:sz w:val="24"/>
        </w:rPr>
        <w:tab/>
      </w:r>
    </w:p>
    <w:p w14:paraId="1318947A" w14:textId="4476FBA7" w:rsidR="001D2E87" w:rsidRPr="00BF5B7F" w:rsidRDefault="001D2E87" w:rsidP="00BF5B7F">
      <w:pPr>
        <w:rPr>
          <w:rFonts w:cs="Arial"/>
          <w:b/>
          <w:sz w:val="24"/>
        </w:rPr>
      </w:pPr>
      <w:r w:rsidRPr="00BF5B7F">
        <w:rPr>
          <w:rFonts w:cs="Arial"/>
          <w:sz w:val="24"/>
        </w:rPr>
        <w:tab/>
      </w:r>
    </w:p>
    <w:p w14:paraId="3104CE1C"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Hillview Clinic</w:t>
      </w:r>
    </w:p>
    <w:p w14:paraId="2063CE15"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Rose Lodge</w:t>
      </w:r>
    </w:p>
    <w:p w14:paraId="2FE5C12A"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Alexandra Lodge</w:t>
      </w:r>
    </w:p>
    <w:p w14:paraId="1C303151"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The Grange</w:t>
      </w:r>
    </w:p>
    <w:p w14:paraId="7FE0A7B8"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Land to the North of Carleton Clinic</w:t>
      </w:r>
    </w:p>
    <w:p w14:paraId="688F3FFE"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Portland Square</w:t>
      </w:r>
    </w:p>
    <w:p w14:paraId="4B0187D5" w14:textId="77777777" w:rsidR="00BF5B7F" w:rsidRDefault="00BF5B7F" w:rsidP="001A6262">
      <w:pPr>
        <w:rPr>
          <w:rFonts w:cs="Arial"/>
          <w:b/>
          <w:sz w:val="24"/>
        </w:rPr>
      </w:pPr>
    </w:p>
    <w:p w14:paraId="5A96E0BE" w14:textId="1DEDE89D" w:rsidR="001D2E87" w:rsidRDefault="001D2E87" w:rsidP="001A6262">
      <w:pPr>
        <w:rPr>
          <w:rFonts w:cs="Arial"/>
          <w:b/>
          <w:color w:val="0070C0"/>
          <w:sz w:val="24"/>
        </w:rPr>
      </w:pPr>
      <w:r w:rsidRPr="00C81228">
        <w:rPr>
          <w:rFonts w:cs="Arial"/>
          <w:b/>
          <w:color w:val="0070C0"/>
          <w:sz w:val="24"/>
        </w:rPr>
        <w:t>Land Sales &amp; estimated values</w:t>
      </w:r>
    </w:p>
    <w:p w14:paraId="289BFCBA" w14:textId="77777777" w:rsidR="0043588B" w:rsidRPr="00C81228" w:rsidRDefault="0043588B" w:rsidP="001A6262">
      <w:pPr>
        <w:rPr>
          <w:rFonts w:cs="Arial"/>
          <w:b/>
          <w:color w:val="0070C0"/>
          <w:sz w:val="24"/>
        </w:rPr>
      </w:pPr>
    </w:p>
    <w:p w14:paraId="6938C152"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Surplus land at St Georges Park is part of the planned disposal strategy - £1.8M (sale underway)</w:t>
      </w:r>
    </w:p>
    <w:p w14:paraId="415D60FF" w14:textId="77777777" w:rsidR="001D2E87" w:rsidRPr="00BF5B7F" w:rsidRDefault="001D2E87" w:rsidP="002867BC">
      <w:pPr>
        <w:pStyle w:val="ListParagraph"/>
        <w:widowControl w:val="0"/>
        <w:numPr>
          <w:ilvl w:val="0"/>
          <w:numId w:val="5"/>
        </w:numPr>
        <w:spacing w:line="276" w:lineRule="auto"/>
        <w:ind w:right="340"/>
        <w:contextualSpacing w:val="0"/>
        <w:jc w:val="both"/>
        <w:rPr>
          <w:rFonts w:cs="Arial"/>
          <w:sz w:val="24"/>
        </w:rPr>
      </w:pPr>
      <w:r w:rsidRPr="00BF5B7F">
        <w:rPr>
          <w:rFonts w:cs="Arial"/>
          <w:sz w:val="24"/>
        </w:rPr>
        <w:t>Northgate Hospital - surplus land not required under the CEDAR development, or for future needs - £7M (sale underway)</w:t>
      </w:r>
    </w:p>
    <w:p w14:paraId="760DDAD3" w14:textId="74B2C888" w:rsidR="00BF5B7F" w:rsidRDefault="001D2E87" w:rsidP="00BF5B7F">
      <w:pPr>
        <w:pStyle w:val="NormalWeb1"/>
        <w:spacing w:before="120" w:beforeAutospacing="0" w:after="120" w:afterAutospacing="0" w:line="240" w:lineRule="auto"/>
        <w:ind w:left="0"/>
        <w:contextualSpacing/>
        <w:jc w:val="left"/>
        <w:rPr>
          <w:rFonts w:ascii="Arial" w:eastAsiaTheme="minorHAnsi" w:hAnsi="Arial" w:cs="Arial"/>
          <w:color w:val="auto"/>
          <w:lang w:eastAsia="en-US"/>
        </w:rPr>
      </w:pPr>
      <w:r w:rsidRPr="00BF5B7F">
        <w:rPr>
          <w:rFonts w:ascii="Arial" w:eastAsiaTheme="minorHAnsi" w:hAnsi="Arial" w:cs="Arial"/>
          <w:color w:val="auto"/>
          <w:lang w:eastAsia="en-US"/>
        </w:rPr>
        <w:t xml:space="preserve">Where land sales or asset disposals are being considered a feasibility report will be completed and detailed action plans for each site disposal will be prepared. These </w:t>
      </w:r>
      <w:r w:rsidRPr="00BF5B7F">
        <w:rPr>
          <w:rFonts w:ascii="Arial" w:eastAsiaTheme="minorHAnsi" w:hAnsi="Arial" w:cs="Arial"/>
          <w:color w:val="auto"/>
          <w:lang w:eastAsia="en-US"/>
        </w:rPr>
        <w:lastRenderedPageBreak/>
        <w:t xml:space="preserve">plans include timetables for full business case preparation, internal &amp; external consultation (where appropriate), planning applications and marketing.  Each disposal will be the subject of an individual business case which will ensure that each disposal achieves best </w:t>
      </w:r>
      <w:r w:rsidR="002D27B6" w:rsidRPr="00BF5B7F">
        <w:rPr>
          <w:rFonts w:ascii="Arial" w:eastAsiaTheme="minorHAnsi" w:hAnsi="Arial" w:cs="Arial"/>
          <w:color w:val="auto"/>
          <w:lang w:eastAsia="en-US"/>
        </w:rPr>
        <w:t>value,</w:t>
      </w:r>
      <w:r w:rsidRPr="00BF5B7F">
        <w:rPr>
          <w:rFonts w:ascii="Arial" w:eastAsiaTheme="minorHAnsi" w:hAnsi="Arial" w:cs="Arial"/>
          <w:color w:val="auto"/>
          <w:lang w:eastAsia="en-US"/>
        </w:rPr>
        <w:t xml:space="preserve"> and the Trust will utilise relevant experts to ensure maximum value is delivered.</w:t>
      </w:r>
    </w:p>
    <w:p w14:paraId="74B4D90C" w14:textId="0C90C40C" w:rsidR="001D2E87" w:rsidRDefault="001D2E87" w:rsidP="00BF5B7F">
      <w:pPr>
        <w:contextualSpacing/>
        <w:rPr>
          <w:b/>
          <w:bCs/>
          <w:color w:val="0070C0"/>
        </w:rPr>
      </w:pPr>
      <w:r w:rsidRPr="00C81228">
        <w:rPr>
          <w:b/>
          <w:bCs/>
          <w:color w:val="0070C0"/>
        </w:rPr>
        <w:t>Funding Summary</w:t>
      </w:r>
    </w:p>
    <w:p w14:paraId="6BA167D6" w14:textId="77777777" w:rsidR="00C81228" w:rsidRPr="00C81228" w:rsidRDefault="00C81228" w:rsidP="00BF5B7F">
      <w:pPr>
        <w:contextualSpacing/>
        <w:rPr>
          <w:b/>
          <w:bCs/>
          <w:color w:val="0070C0"/>
        </w:rPr>
      </w:pPr>
    </w:p>
    <w:p w14:paraId="58F79E57" w14:textId="49D41771" w:rsidR="001D2E87" w:rsidRPr="00BF5B7F" w:rsidRDefault="001D2E87" w:rsidP="00BF5B7F">
      <w:pPr>
        <w:contextualSpacing/>
        <w:rPr>
          <w:rFonts w:cs="Arial"/>
          <w:sz w:val="24"/>
        </w:rPr>
      </w:pPr>
      <w:r w:rsidRPr="00BF5B7F">
        <w:rPr>
          <w:rFonts w:cs="Arial"/>
          <w:sz w:val="24"/>
        </w:rPr>
        <w:t>A</w:t>
      </w:r>
      <w:r w:rsidRPr="00BF5B7F">
        <w:rPr>
          <w:rFonts w:cs="Arial"/>
          <w:spacing w:val="51"/>
          <w:sz w:val="24"/>
        </w:rPr>
        <w:t xml:space="preserve"> </w:t>
      </w:r>
      <w:r w:rsidRPr="00BF5B7F">
        <w:rPr>
          <w:rFonts w:cs="Arial"/>
          <w:sz w:val="24"/>
        </w:rPr>
        <w:t>plan</w:t>
      </w:r>
      <w:r w:rsidRPr="00BF5B7F">
        <w:rPr>
          <w:rFonts w:cs="Arial"/>
          <w:spacing w:val="51"/>
          <w:sz w:val="24"/>
        </w:rPr>
        <w:t xml:space="preserve"> </w:t>
      </w:r>
      <w:r w:rsidRPr="00BF5B7F">
        <w:rPr>
          <w:rFonts w:cs="Arial"/>
          <w:sz w:val="24"/>
        </w:rPr>
        <w:t>for</w:t>
      </w:r>
      <w:r w:rsidRPr="00BF5B7F">
        <w:rPr>
          <w:rFonts w:cs="Arial"/>
          <w:spacing w:val="51"/>
          <w:sz w:val="24"/>
        </w:rPr>
        <w:t xml:space="preserve"> </w:t>
      </w:r>
      <w:r w:rsidRPr="00BF5B7F">
        <w:rPr>
          <w:rFonts w:cs="Arial"/>
          <w:spacing w:val="-1"/>
          <w:sz w:val="24"/>
        </w:rPr>
        <w:t>t</w:t>
      </w:r>
      <w:r w:rsidRPr="00BF5B7F">
        <w:rPr>
          <w:rFonts w:cs="Arial"/>
          <w:sz w:val="24"/>
        </w:rPr>
        <w:t>he</w:t>
      </w:r>
      <w:r w:rsidRPr="00BF5B7F">
        <w:rPr>
          <w:rFonts w:cs="Arial"/>
          <w:spacing w:val="51"/>
          <w:sz w:val="24"/>
        </w:rPr>
        <w:t xml:space="preserve"> </w:t>
      </w:r>
      <w:r w:rsidRPr="00BF5B7F">
        <w:rPr>
          <w:rFonts w:cs="Arial"/>
          <w:sz w:val="24"/>
        </w:rPr>
        <w:t>delivery</w:t>
      </w:r>
      <w:r w:rsidRPr="00BF5B7F">
        <w:rPr>
          <w:rFonts w:cs="Arial"/>
          <w:spacing w:val="51"/>
          <w:sz w:val="24"/>
        </w:rPr>
        <w:t xml:space="preserve"> </w:t>
      </w:r>
      <w:r w:rsidRPr="00BF5B7F">
        <w:rPr>
          <w:rFonts w:cs="Arial"/>
          <w:sz w:val="24"/>
        </w:rPr>
        <w:t>of</w:t>
      </w:r>
      <w:r w:rsidRPr="00BF5B7F">
        <w:rPr>
          <w:rFonts w:cs="Arial"/>
          <w:spacing w:val="51"/>
          <w:sz w:val="24"/>
        </w:rPr>
        <w:t xml:space="preserve"> </w:t>
      </w:r>
      <w:r w:rsidRPr="00BF5B7F">
        <w:rPr>
          <w:rFonts w:cs="Arial"/>
          <w:sz w:val="24"/>
        </w:rPr>
        <w:t>the</w:t>
      </w:r>
      <w:r w:rsidRPr="00BF5B7F">
        <w:rPr>
          <w:rFonts w:cs="Arial"/>
          <w:spacing w:val="51"/>
          <w:sz w:val="24"/>
        </w:rPr>
        <w:t xml:space="preserve"> </w:t>
      </w:r>
      <w:proofErr w:type="gramStart"/>
      <w:r w:rsidRPr="00BF5B7F">
        <w:rPr>
          <w:rFonts w:cs="Arial"/>
          <w:sz w:val="24"/>
        </w:rPr>
        <w:t>es</w:t>
      </w:r>
      <w:r w:rsidRPr="00BF5B7F">
        <w:rPr>
          <w:rFonts w:cs="Arial"/>
          <w:spacing w:val="-1"/>
          <w:sz w:val="24"/>
        </w:rPr>
        <w:t>t</w:t>
      </w:r>
      <w:r w:rsidRPr="00BF5B7F">
        <w:rPr>
          <w:rFonts w:cs="Arial"/>
          <w:sz w:val="24"/>
        </w:rPr>
        <w:t>ates</w:t>
      </w:r>
      <w:proofErr w:type="gramEnd"/>
      <w:r w:rsidRPr="00BF5B7F">
        <w:rPr>
          <w:rFonts w:cs="Arial"/>
          <w:spacing w:val="51"/>
          <w:sz w:val="24"/>
        </w:rPr>
        <w:t xml:space="preserve"> </w:t>
      </w:r>
      <w:r w:rsidRPr="00BF5B7F">
        <w:rPr>
          <w:rFonts w:cs="Arial"/>
          <w:sz w:val="24"/>
        </w:rPr>
        <w:t>strate</w:t>
      </w:r>
      <w:r w:rsidRPr="00BF5B7F">
        <w:rPr>
          <w:rFonts w:cs="Arial"/>
          <w:spacing w:val="-1"/>
          <w:sz w:val="24"/>
        </w:rPr>
        <w:t>g</w:t>
      </w:r>
      <w:r w:rsidRPr="00BF5B7F">
        <w:rPr>
          <w:rFonts w:cs="Arial"/>
          <w:sz w:val="24"/>
        </w:rPr>
        <w:t>y</w:t>
      </w:r>
      <w:r w:rsidRPr="00BF5B7F">
        <w:rPr>
          <w:rFonts w:cs="Arial"/>
          <w:spacing w:val="50"/>
          <w:sz w:val="24"/>
        </w:rPr>
        <w:t xml:space="preserve"> </w:t>
      </w:r>
      <w:r w:rsidRPr="00BF5B7F">
        <w:rPr>
          <w:rFonts w:cs="Arial"/>
          <w:sz w:val="24"/>
        </w:rPr>
        <w:t>with</w:t>
      </w:r>
      <w:r w:rsidRPr="00BF5B7F">
        <w:rPr>
          <w:rFonts w:cs="Arial"/>
          <w:spacing w:val="51"/>
          <w:sz w:val="24"/>
        </w:rPr>
        <w:t xml:space="preserve"> </w:t>
      </w:r>
      <w:r w:rsidRPr="00BF5B7F">
        <w:rPr>
          <w:rFonts w:cs="Arial"/>
          <w:sz w:val="24"/>
        </w:rPr>
        <w:t>phasing</w:t>
      </w:r>
      <w:r w:rsidRPr="00BF5B7F">
        <w:rPr>
          <w:rFonts w:cs="Arial"/>
          <w:spacing w:val="52"/>
          <w:sz w:val="24"/>
        </w:rPr>
        <w:t xml:space="preserve"> </w:t>
      </w:r>
      <w:r w:rsidRPr="00BF5B7F">
        <w:rPr>
          <w:rFonts w:cs="Arial"/>
          <w:sz w:val="24"/>
        </w:rPr>
        <w:t>of</w:t>
      </w:r>
      <w:r w:rsidRPr="00BF5B7F">
        <w:rPr>
          <w:rFonts w:cs="Arial"/>
          <w:spacing w:val="51"/>
          <w:sz w:val="24"/>
        </w:rPr>
        <w:t xml:space="preserve"> </w:t>
      </w:r>
      <w:r w:rsidRPr="00BF5B7F">
        <w:rPr>
          <w:rFonts w:cs="Arial"/>
          <w:sz w:val="24"/>
        </w:rPr>
        <w:t>key</w:t>
      </w:r>
      <w:r w:rsidRPr="00BF5B7F">
        <w:rPr>
          <w:rFonts w:cs="Arial"/>
          <w:spacing w:val="50"/>
          <w:sz w:val="24"/>
        </w:rPr>
        <w:t xml:space="preserve"> </w:t>
      </w:r>
      <w:r w:rsidRPr="00BF5B7F">
        <w:rPr>
          <w:rFonts w:cs="Arial"/>
          <w:sz w:val="24"/>
        </w:rPr>
        <w:t>schemes</w:t>
      </w:r>
      <w:r w:rsidRPr="00BF5B7F">
        <w:rPr>
          <w:rFonts w:cs="Arial"/>
          <w:w w:val="99"/>
          <w:sz w:val="24"/>
        </w:rPr>
        <w:t xml:space="preserve"> between 2022/23 - 2027/28 </w:t>
      </w:r>
      <w:r w:rsidRPr="00BF5B7F">
        <w:rPr>
          <w:rFonts w:cs="Arial"/>
          <w:sz w:val="24"/>
        </w:rPr>
        <w:t>is</w:t>
      </w:r>
      <w:r w:rsidRPr="00BF5B7F">
        <w:rPr>
          <w:rFonts w:cs="Arial"/>
          <w:spacing w:val="14"/>
          <w:sz w:val="24"/>
        </w:rPr>
        <w:t xml:space="preserve"> </w:t>
      </w:r>
      <w:r w:rsidRPr="00BF5B7F">
        <w:rPr>
          <w:rFonts w:cs="Arial"/>
          <w:sz w:val="24"/>
        </w:rPr>
        <w:t>s</w:t>
      </w:r>
      <w:r w:rsidRPr="00BF5B7F">
        <w:rPr>
          <w:rFonts w:cs="Arial"/>
          <w:spacing w:val="-1"/>
          <w:sz w:val="24"/>
        </w:rPr>
        <w:t>h</w:t>
      </w:r>
      <w:r w:rsidRPr="00BF5B7F">
        <w:rPr>
          <w:rFonts w:cs="Arial"/>
          <w:sz w:val="24"/>
        </w:rPr>
        <w:t>own</w:t>
      </w:r>
      <w:r w:rsidRPr="00BF5B7F">
        <w:rPr>
          <w:rFonts w:cs="Arial"/>
          <w:spacing w:val="15"/>
          <w:sz w:val="24"/>
        </w:rPr>
        <w:t xml:space="preserve"> </w:t>
      </w:r>
      <w:r w:rsidRPr="00BF5B7F">
        <w:rPr>
          <w:rFonts w:cs="Arial"/>
          <w:sz w:val="24"/>
        </w:rPr>
        <w:t>in</w:t>
      </w:r>
      <w:r w:rsidRPr="00BF5B7F">
        <w:rPr>
          <w:rFonts w:cs="Arial"/>
          <w:spacing w:val="15"/>
          <w:sz w:val="24"/>
        </w:rPr>
        <w:t xml:space="preserve"> </w:t>
      </w:r>
      <w:r w:rsidRPr="00BF5B7F">
        <w:rPr>
          <w:rFonts w:cs="Arial"/>
          <w:sz w:val="24"/>
        </w:rPr>
        <w:t>Table</w:t>
      </w:r>
      <w:r w:rsidRPr="00BF5B7F">
        <w:rPr>
          <w:rFonts w:cs="Arial"/>
          <w:spacing w:val="15"/>
          <w:sz w:val="24"/>
        </w:rPr>
        <w:t xml:space="preserve"> </w:t>
      </w:r>
      <w:r w:rsidR="00C620DA">
        <w:rPr>
          <w:rFonts w:cs="Arial"/>
          <w:sz w:val="24"/>
        </w:rPr>
        <w:t>2</w:t>
      </w:r>
      <w:r w:rsidRPr="00BF5B7F">
        <w:rPr>
          <w:rFonts w:cs="Arial"/>
          <w:sz w:val="24"/>
        </w:rPr>
        <w:t>.</w:t>
      </w:r>
      <w:r w:rsidRPr="00BF5B7F">
        <w:rPr>
          <w:rFonts w:cs="Arial"/>
          <w:spacing w:val="30"/>
          <w:sz w:val="24"/>
        </w:rPr>
        <w:t xml:space="preserve"> </w:t>
      </w:r>
      <w:r w:rsidRPr="00BF5B7F">
        <w:rPr>
          <w:rFonts w:cs="Arial"/>
          <w:sz w:val="24"/>
        </w:rPr>
        <w:t>At</w:t>
      </w:r>
      <w:r w:rsidRPr="00BF5B7F">
        <w:rPr>
          <w:rFonts w:cs="Arial"/>
          <w:spacing w:val="15"/>
          <w:sz w:val="24"/>
        </w:rPr>
        <w:t xml:space="preserve"> </w:t>
      </w:r>
      <w:r w:rsidRPr="00BF5B7F">
        <w:rPr>
          <w:rFonts w:cs="Arial"/>
          <w:sz w:val="24"/>
        </w:rPr>
        <w:t>the</w:t>
      </w:r>
      <w:r w:rsidRPr="00BF5B7F">
        <w:rPr>
          <w:rFonts w:cs="Arial"/>
          <w:spacing w:val="14"/>
          <w:sz w:val="24"/>
        </w:rPr>
        <w:t xml:space="preserve"> </w:t>
      </w:r>
      <w:r w:rsidRPr="00BF5B7F">
        <w:rPr>
          <w:rFonts w:cs="Arial"/>
          <w:sz w:val="24"/>
        </w:rPr>
        <w:t>front</w:t>
      </w:r>
      <w:r w:rsidRPr="00BF5B7F">
        <w:rPr>
          <w:rFonts w:cs="Arial"/>
          <w:spacing w:val="15"/>
          <w:sz w:val="24"/>
        </w:rPr>
        <w:t xml:space="preserve"> </w:t>
      </w:r>
      <w:r w:rsidRPr="00BF5B7F">
        <w:rPr>
          <w:rFonts w:cs="Arial"/>
          <w:sz w:val="24"/>
        </w:rPr>
        <w:t>end</w:t>
      </w:r>
      <w:r w:rsidRPr="00BF5B7F">
        <w:rPr>
          <w:rFonts w:cs="Arial"/>
          <w:spacing w:val="15"/>
          <w:sz w:val="24"/>
        </w:rPr>
        <w:t xml:space="preserve"> </w:t>
      </w:r>
      <w:r w:rsidRPr="00BF5B7F">
        <w:rPr>
          <w:rFonts w:cs="Arial"/>
          <w:sz w:val="24"/>
        </w:rPr>
        <w:t>of</w:t>
      </w:r>
      <w:r w:rsidRPr="00BF5B7F">
        <w:rPr>
          <w:rFonts w:cs="Arial"/>
          <w:spacing w:val="15"/>
          <w:sz w:val="24"/>
        </w:rPr>
        <w:t xml:space="preserve"> </w:t>
      </w:r>
      <w:r w:rsidRPr="00BF5B7F">
        <w:rPr>
          <w:rFonts w:cs="Arial"/>
          <w:sz w:val="24"/>
        </w:rPr>
        <w:t>the</w:t>
      </w:r>
      <w:r w:rsidRPr="00BF5B7F">
        <w:rPr>
          <w:rFonts w:cs="Arial"/>
          <w:spacing w:val="14"/>
          <w:sz w:val="24"/>
        </w:rPr>
        <w:t xml:space="preserve"> </w:t>
      </w:r>
      <w:r w:rsidRPr="00BF5B7F">
        <w:rPr>
          <w:rFonts w:cs="Arial"/>
          <w:sz w:val="24"/>
        </w:rPr>
        <w:t>programme,</w:t>
      </w:r>
      <w:r w:rsidRPr="00BF5B7F">
        <w:rPr>
          <w:rFonts w:cs="Arial"/>
          <w:spacing w:val="16"/>
          <w:sz w:val="24"/>
        </w:rPr>
        <w:t xml:space="preserve"> </w:t>
      </w:r>
      <w:r w:rsidRPr="00BF5B7F">
        <w:rPr>
          <w:rFonts w:cs="Arial"/>
          <w:sz w:val="24"/>
        </w:rPr>
        <w:t>schem</w:t>
      </w:r>
      <w:r w:rsidRPr="00BF5B7F">
        <w:rPr>
          <w:rFonts w:cs="Arial"/>
          <w:spacing w:val="1"/>
          <w:sz w:val="24"/>
        </w:rPr>
        <w:t>e</w:t>
      </w:r>
      <w:r w:rsidRPr="00BF5B7F">
        <w:rPr>
          <w:rFonts w:cs="Arial"/>
          <w:sz w:val="24"/>
        </w:rPr>
        <w:t>s</w:t>
      </w:r>
      <w:r w:rsidRPr="00BF5B7F">
        <w:rPr>
          <w:rFonts w:cs="Arial"/>
          <w:w w:val="99"/>
          <w:sz w:val="24"/>
        </w:rPr>
        <w:t xml:space="preserve"> </w:t>
      </w:r>
      <w:r w:rsidRPr="00BF5B7F">
        <w:rPr>
          <w:rFonts w:cs="Arial"/>
          <w:sz w:val="24"/>
        </w:rPr>
        <w:t>have</w:t>
      </w:r>
      <w:r w:rsidRPr="00BF5B7F">
        <w:rPr>
          <w:rFonts w:cs="Arial"/>
          <w:spacing w:val="1"/>
          <w:sz w:val="24"/>
        </w:rPr>
        <w:t xml:space="preserve"> </w:t>
      </w:r>
      <w:r w:rsidRPr="00BF5B7F">
        <w:rPr>
          <w:rFonts w:cs="Arial"/>
          <w:sz w:val="24"/>
        </w:rPr>
        <w:t>been</w:t>
      </w:r>
      <w:r w:rsidRPr="00BF5B7F">
        <w:rPr>
          <w:rFonts w:cs="Arial"/>
          <w:spacing w:val="1"/>
          <w:sz w:val="24"/>
        </w:rPr>
        <w:t xml:space="preserve"> </w:t>
      </w:r>
      <w:r w:rsidRPr="00BF5B7F">
        <w:rPr>
          <w:rFonts w:cs="Arial"/>
          <w:sz w:val="24"/>
        </w:rPr>
        <w:t xml:space="preserve">prioritised which fit in with the current capital programme and the anticipated works </w:t>
      </w:r>
      <w:r w:rsidRPr="00BF5B7F">
        <w:rPr>
          <w:rFonts w:cs="Arial"/>
          <w:spacing w:val="2"/>
          <w:sz w:val="24"/>
        </w:rPr>
        <w:t>associated</w:t>
      </w:r>
      <w:r w:rsidRPr="00BF5B7F">
        <w:rPr>
          <w:rFonts w:cs="Arial"/>
          <w:sz w:val="24"/>
        </w:rPr>
        <w:t xml:space="preserve"> with the completion of the CEDAR program. The</w:t>
      </w:r>
      <w:r w:rsidRPr="00BF5B7F">
        <w:rPr>
          <w:rFonts w:cs="Arial"/>
          <w:spacing w:val="25"/>
          <w:sz w:val="24"/>
        </w:rPr>
        <w:t xml:space="preserve"> </w:t>
      </w:r>
      <w:r w:rsidRPr="00BF5B7F">
        <w:rPr>
          <w:rFonts w:cs="Arial"/>
          <w:sz w:val="24"/>
        </w:rPr>
        <w:t>plans are in some cases subject</w:t>
      </w:r>
      <w:r w:rsidRPr="00BF5B7F">
        <w:rPr>
          <w:rFonts w:cs="Arial"/>
          <w:spacing w:val="24"/>
          <w:sz w:val="24"/>
        </w:rPr>
        <w:t xml:space="preserve"> </w:t>
      </w:r>
      <w:r w:rsidRPr="00BF5B7F">
        <w:rPr>
          <w:rFonts w:cs="Arial"/>
          <w:sz w:val="24"/>
        </w:rPr>
        <w:t>to</w:t>
      </w:r>
      <w:r w:rsidRPr="00BF5B7F">
        <w:rPr>
          <w:rFonts w:cs="Arial"/>
          <w:spacing w:val="25"/>
          <w:sz w:val="24"/>
        </w:rPr>
        <w:t xml:space="preserve"> </w:t>
      </w:r>
      <w:r w:rsidRPr="00BF5B7F">
        <w:rPr>
          <w:rFonts w:cs="Arial"/>
          <w:sz w:val="24"/>
        </w:rPr>
        <w:t>the</w:t>
      </w:r>
      <w:r w:rsidRPr="00BF5B7F">
        <w:rPr>
          <w:rFonts w:cs="Arial"/>
          <w:spacing w:val="25"/>
          <w:sz w:val="24"/>
        </w:rPr>
        <w:t xml:space="preserve"> </w:t>
      </w:r>
      <w:r w:rsidRPr="00BF5B7F">
        <w:rPr>
          <w:rFonts w:cs="Arial"/>
          <w:spacing w:val="-1"/>
          <w:sz w:val="24"/>
        </w:rPr>
        <w:t>a</w:t>
      </w:r>
      <w:r w:rsidRPr="00BF5B7F">
        <w:rPr>
          <w:rFonts w:cs="Arial"/>
          <w:sz w:val="24"/>
        </w:rPr>
        <w:t>pproval</w:t>
      </w:r>
      <w:r w:rsidRPr="00BF5B7F">
        <w:rPr>
          <w:rFonts w:cs="Arial"/>
          <w:spacing w:val="25"/>
          <w:sz w:val="24"/>
        </w:rPr>
        <w:t xml:space="preserve"> </w:t>
      </w:r>
      <w:r w:rsidRPr="00BF5B7F">
        <w:rPr>
          <w:rFonts w:cs="Arial"/>
          <w:sz w:val="24"/>
        </w:rPr>
        <w:t>of</w:t>
      </w:r>
      <w:r w:rsidRPr="00BF5B7F">
        <w:rPr>
          <w:rFonts w:cs="Arial"/>
          <w:spacing w:val="24"/>
          <w:sz w:val="24"/>
        </w:rPr>
        <w:t xml:space="preserve"> </w:t>
      </w:r>
      <w:r w:rsidRPr="00BF5B7F">
        <w:rPr>
          <w:rFonts w:cs="Arial"/>
          <w:sz w:val="24"/>
        </w:rPr>
        <w:t>individual</w:t>
      </w:r>
      <w:r w:rsidRPr="00BF5B7F">
        <w:rPr>
          <w:rFonts w:cs="Arial"/>
          <w:spacing w:val="25"/>
          <w:sz w:val="24"/>
        </w:rPr>
        <w:t xml:space="preserve"> </w:t>
      </w:r>
      <w:r w:rsidRPr="00BF5B7F">
        <w:rPr>
          <w:rFonts w:cs="Arial"/>
          <w:sz w:val="24"/>
        </w:rPr>
        <w:t>b</w:t>
      </w:r>
      <w:r w:rsidRPr="00BF5B7F">
        <w:rPr>
          <w:rFonts w:cs="Arial"/>
          <w:spacing w:val="-1"/>
          <w:sz w:val="24"/>
        </w:rPr>
        <w:t>u</w:t>
      </w:r>
      <w:r w:rsidRPr="00BF5B7F">
        <w:rPr>
          <w:rFonts w:cs="Arial"/>
          <w:sz w:val="24"/>
        </w:rPr>
        <w:t>siness</w:t>
      </w:r>
      <w:r w:rsidRPr="00BF5B7F">
        <w:rPr>
          <w:rFonts w:cs="Arial"/>
          <w:spacing w:val="24"/>
          <w:sz w:val="24"/>
        </w:rPr>
        <w:t xml:space="preserve"> </w:t>
      </w:r>
      <w:r w:rsidRPr="00BF5B7F">
        <w:rPr>
          <w:rFonts w:cs="Arial"/>
          <w:sz w:val="24"/>
        </w:rPr>
        <w:t>cas</w:t>
      </w:r>
      <w:r w:rsidRPr="00BF5B7F">
        <w:rPr>
          <w:rFonts w:cs="Arial"/>
          <w:spacing w:val="-1"/>
          <w:sz w:val="24"/>
        </w:rPr>
        <w:t>e</w:t>
      </w:r>
      <w:r w:rsidRPr="00BF5B7F">
        <w:rPr>
          <w:rFonts w:cs="Arial"/>
          <w:sz w:val="24"/>
        </w:rPr>
        <w:t>s</w:t>
      </w:r>
      <w:r w:rsidRPr="00BF5B7F">
        <w:rPr>
          <w:rFonts w:cs="Arial"/>
          <w:spacing w:val="25"/>
          <w:sz w:val="24"/>
        </w:rPr>
        <w:t xml:space="preserve"> </w:t>
      </w:r>
      <w:r w:rsidRPr="00BF5B7F">
        <w:rPr>
          <w:rFonts w:cs="Arial"/>
          <w:sz w:val="24"/>
        </w:rPr>
        <w:t>as</w:t>
      </w:r>
      <w:r w:rsidRPr="00BF5B7F">
        <w:rPr>
          <w:rFonts w:cs="Arial"/>
          <w:spacing w:val="24"/>
          <w:sz w:val="24"/>
        </w:rPr>
        <w:t xml:space="preserve"> </w:t>
      </w:r>
      <w:r w:rsidRPr="00BF5B7F">
        <w:rPr>
          <w:rFonts w:cs="Arial"/>
          <w:sz w:val="24"/>
        </w:rPr>
        <w:t>appro</w:t>
      </w:r>
      <w:r w:rsidRPr="00BF5B7F">
        <w:rPr>
          <w:rFonts w:cs="Arial"/>
          <w:spacing w:val="-1"/>
          <w:sz w:val="24"/>
        </w:rPr>
        <w:t>p</w:t>
      </w:r>
      <w:r w:rsidRPr="00BF5B7F">
        <w:rPr>
          <w:rFonts w:cs="Arial"/>
          <w:sz w:val="24"/>
        </w:rPr>
        <w:t>riate,</w:t>
      </w:r>
      <w:r w:rsidRPr="00BF5B7F">
        <w:rPr>
          <w:rFonts w:cs="Arial"/>
          <w:spacing w:val="25"/>
          <w:sz w:val="24"/>
        </w:rPr>
        <w:t xml:space="preserve"> </w:t>
      </w:r>
      <w:r w:rsidRPr="00BF5B7F">
        <w:rPr>
          <w:rFonts w:cs="Arial"/>
          <w:sz w:val="24"/>
        </w:rPr>
        <w:t>the</w:t>
      </w:r>
      <w:r w:rsidRPr="00BF5B7F">
        <w:rPr>
          <w:rFonts w:cs="Arial"/>
          <w:w w:val="99"/>
          <w:sz w:val="24"/>
        </w:rPr>
        <w:t xml:space="preserve"> </w:t>
      </w:r>
      <w:r w:rsidRPr="00BF5B7F">
        <w:rPr>
          <w:rFonts w:cs="Arial"/>
          <w:sz w:val="24"/>
        </w:rPr>
        <w:t>availability</w:t>
      </w:r>
      <w:r w:rsidRPr="00BF5B7F">
        <w:rPr>
          <w:rFonts w:cs="Arial"/>
          <w:spacing w:val="7"/>
          <w:sz w:val="24"/>
        </w:rPr>
        <w:t xml:space="preserve"> </w:t>
      </w:r>
      <w:r w:rsidRPr="00BF5B7F">
        <w:rPr>
          <w:rFonts w:cs="Arial"/>
          <w:sz w:val="24"/>
        </w:rPr>
        <w:t>of</w:t>
      </w:r>
      <w:r w:rsidRPr="00BF5B7F">
        <w:rPr>
          <w:rFonts w:cs="Arial"/>
          <w:spacing w:val="7"/>
          <w:sz w:val="24"/>
        </w:rPr>
        <w:t xml:space="preserve"> </w:t>
      </w:r>
      <w:r w:rsidRPr="00BF5B7F">
        <w:rPr>
          <w:rFonts w:cs="Arial"/>
          <w:sz w:val="24"/>
        </w:rPr>
        <w:t>required</w:t>
      </w:r>
      <w:r w:rsidRPr="00BF5B7F">
        <w:rPr>
          <w:rFonts w:cs="Arial"/>
          <w:spacing w:val="7"/>
          <w:sz w:val="24"/>
        </w:rPr>
        <w:t xml:space="preserve"> </w:t>
      </w:r>
      <w:r w:rsidRPr="00BF5B7F">
        <w:rPr>
          <w:rFonts w:cs="Arial"/>
          <w:sz w:val="24"/>
        </w:rPr>
        <w:t>capital</w:t>
      </w:r>
      <w:r w:rsidRPr="00BF5B7F">
        <w:rPr>
          <w:rFonts w:cs="Arial"/>
          <w:spacing w:val="7"/>
          <w:sz w:val="24"/>
        </w:rPr>
        <w:t xml:space="preserve"> </w:t>
      </w:r>
      <w:r w:rsidRPr="00BF5B7F">
        <w:rPr>
          <w:rFonts w:cs="Arial"/>
          <w:sz w:val="24"/>
        </w:rPr>
        <w:t>and</w:t>
      </w:r>
      <w:r w:rsidRPr="00BF5B7F">
        <w:rPr>
          <w:rFonts w:cs="Arial"/>
          <w:spacing w:val="6"/>
          <w:sz w:val="24"/>
        </w:rPr>
        <w:t xml:space="preserve"> </w:t>
      </w:r>
      <w:r w:rsidRPr="00BF5B7F">
        <w:rPr>
          <w:rFonts w:cs="Arial"/>
          <w:sz w:val="24"/>
        </w:rPr>
        <w:t>the</w:t>
      </w:r>
      <w:r w:rsidRPr="00BF5B7F">
        <w:rPr>
          <w:rFonts w:cs="Arial"/>
          <w:spacing w:val="7"/>
          <w:sz w:val="24"/>
        </w:rPr>
        <w:t xml:space="preserve"> </w:t>
      </w:r>
      <w:r w:rsidRPr="00BF5B7F">
        <w:rPr>
          <w:rFonts w:cs="Arial"/>
          <w:sz w:val="24"/>
        </w:rPr>
        <w:t>outputs</w:t>
      </w:r>
      <w:r w:rsidRPr="00BF5B7F">
        <w:rPr>
          <w:rFonts w:cs="Arial"/>
          <w:spacing w:val="7"/>
          <w:sz w:val="24"/>
        </w:rPr>
        <w:t xml:space="preserve"> </w:t>
      </w:r>
      <w:r w:rsidRPr="00BF5B7F">
        <w:rPr>
          <w:rFonts w:cs="Arial"/>
          <w:sz w:val="24"/>
        </w:rPr>
        <w:t>of</w:t>
      </w:r>
      <w:r w:rsidRPr="00BF5B7F">
        <w:rPr>
          <w:rFonts w:cs="Arial"/>
          <w:spacing w:val="7"/>
          <w:sz w:val="24"/>
        </w:rPr>
        <w:t xml:space="preserve"> </w:t>
      </w:r>
      <w:r w:rsidRPr="00BF5B7F">
        <w:rPr>
          <w:rFonts w:cs="Arial"/>
          <w:sz w:val="24"/>
        </w:rPr>
        <w:t>more</w:t>
      </w:r>
      <w:r w:rsidRPr="00BF5B7F">
        <w:rPr>
          <w:rFonts w:cs="Arial"/>
          <w:spacing w:val="8"/>
          <w:sz w:val="24"/>
        </w:rPr>
        <w:t xml:space="preserve"> </w:t>
      </w:r>
      <w:r w:rsidRPr="00BF5B7F">
        <w:rPr>
          <w:rFonts w:cs="Arial"/>
          <w:sz w:val="24"/>
        </w:rPr>
        <w:t>detailed</w:t>
      </w:r>
      <w:r w:rsidRPr="00BF5B7F">
        <w:rPr>
          <w:rFonts w:cs="Arial"/>
          <w:spacing w:val="7"/>
          <w:sz w:val="24"/>
        </w:rPr>
        <w:t xml:space="preserve"> </w:t>
      </w:r>
      <w:r w:rsidRPr="00BF5B7F">
        <w:rPr>
          <w:rFonts w:cs="Arial"/>
          <w:sz w:val="24"/>
        </w:rPr>
        <w:t>o</w:t>
      </w:r>
      <w:r w:rsidRPr="00BF5B7F">
        <w:rPr>
          <w:rFonts w:cs="Arial"/>
          <w:spacing w:val="-1"/>
          <w:sz w:val="24"/>
        </w:rPr>
        <w:t>p</w:t>
      </w:r>
      <w:r w:rsidRPr="00BF5B7F">
        <w:rPr>
          <w:rFonts w:cs="Arial"/>
          <w:sz w:val="24"/>
        </w:rPr>
        <w:t>erational</w:t>
      </w:r>
      <w:r w:rsidRPr="00BF5B7F">
        <w:rPr>
          <w:rFonts w:cs="Arial"/>
          <w:spacing w:val="7"/>
          <w:sz w:val="24"/>
        </w:rPr>
        <w:t xml:space="preserve"> </w:t>
      </w:r>
      <w:r w:rsidRPr="00BF5B7F">
        <w:rPr>
          <w:rFonts w:cs="Arial"/>
          <w:sz w:val="24"/>
        </w:rPr>
        <w:t>p</w:t>
      </w:r>
      <w:r w:rsidRPr="00BF5B7F">
        <w:rPr>
          <w:rFonts w:cs="Arial"/>
          <w:spacing w:val="-1"/>
          <w:sz w:val="24"/>
        </w:rPr>
        <w:t>l</w:t>
      </w:r>
      <w:r w:rsidRPr="00BF5B7F">
        <w:rPr>
          <w:rFonts w:cs="Arial"/>
          <w:sz w:val="24"/>
        </w:rPr>
        <w:t>anning</w:t>
      </w:r>
      <w:r w:rsidRPr="00BF5B7F">
        <w:rPr>
          <w:rFonts w:cs="Arial"/>
          <w:spacing w:val="7"/>
          <w:sz w:val="24"/>
        </w:rPr>
        <w:t xml:space="preserve"> </w:t>
      </w:r>
      <w:r w:rsidRPr="00BF5B7F">
        <w:rPr>
          <w:rFonts w:cs="Arial"/>
          <w:sz w:val="24"/>
        </w:rPr>
        <w:t>to</w:t>
      </w:r>
      <w:r w:rsidRPr="00BF5B7F">
        <w:rPr>
          <w:rFonts w:cs="Arial"/>
          <w:w w:val="99"/>
          <w:sz w:val="24"/>
        </w:rPr>
        <w:t xml:space="preserve"> </w:t>
      </w:r>
      <w:r w:rsidRPr="00BF5B7F">
        <w:rPr>
          <w:rFonts w:cs="Arial"/>
          <w:sz w:val="24"/>
        </w:rPr>
        <w:t xml:space="preserve">minimise the impact on service disruption. </w:t>
      </w:r>
    </w:p>
    <w:p w14:paraId="2E82488C" w14:textId="77777777" w:rsidR="001D2E87" w:rsidRPr="00BF5B7F" w:rsidRDefault="001D2E87" w:rsidP="002A19E4">
      <w:pPr>
        <w:rPr>
          <w:rFonts w:cs="Arial"/>
          <w:sz w:val="24"/>
        </w:rPr>
      </w:pPr>
    </w:p>
    <w:tbl>
      <w:tblPr>
        <w:tblW w:w="9643" w:type="dxa"/>
        <w:tblLayout w:type="fixed"/>
        <w:tblLook w:val="04A0" w:firstRow="1" w:lastRow="0" w:firstColumn="1" w:lastColumn="0" w:noHBand="0" w:noVBand="1"/>
      </w:tblPr>
      <w:tblGrid>
        <w:gridCol w:w="3507"/>
        <w:gridCol w:w="1022"/>
        <w:gridCol w:w="1023"/>
        <w:gridCol w:w="1023"/>
        <w:gridCol w:w="1022"/>
        <w:gridCol w:w="1023"/>
        <w:gridCol w:w="1023"/>
      </w:tblGrid>
      <w:tr w:rsidR="001D2E87" w:rsidRPr="00040C26" w14:paraId="558E46AE" w14:textId="77777777" w:rsidTr="00D94578">
        <w:trPr>
          <w:trHeight w:val="311"/>
        </w:trPr>
        <w:tc>
          <w:tcPr>
            <w:tcW w:w="350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9A88AB" w14:textId="77777777" w:rsidR="001D2E87" w:rsidRPr="00D94578" w:rsidRDefault="001D2E87" w:rsidP="00D94578">
            <w:pPr>
              <w:jc w:val="center"/>
            </w:pPr>
            <w:r w:rsidRPr="00D94578">
              <w:t>Trust Capital Funding</w:t>
            </w:r>
          </w:p>
        </w:tc>
        <w:tc>
          <w:tcPr>
            <w:tcW w:w="6136" w:type="dxa"/>
            <w:gridSpan w:val="6"/>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D79D286" w14:textId="77777777" w:rsidR="001D2E87" w:rsidRPr="00D94578" w:rsidRDefault="001D2E87" w:rsidP="00040C26">
            <w:pPr>
              <w:jc w:val="center"/>
            </w:pPr>
            <w:r w:rsidRPr="00D94578">
              <w:t>Period</w:t>
            </w:r>
          </w:p>
        </w:tc>
      </w:tr>
      <w:tr w:rsidR="001D2E87" w:rsidRPr="00040C26" w14:paraId="79FF2FDB" w14:textId="77777777" w:rsidTr="00D94578">
        <w:trPr>
          <w:trHeight w:val="311"/>
        </w:trPr>
        <w:tc>
          <w:tcPr>
            <w:tcW w:w="350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3A5F8C" w14:textId="77777777" w:rsidR="001D2E87" w:rsidRPr="00D94578" w:rsidRDefault="001D2E87" w:rsidP="00040C26"/>
        </w:tc>
        <w:tc>
          <w:tcPr>
            <w:tcW w:w="1022" w:type="dxa"/>
            <w:tcBorders>
              <w:top w:val="nil"/>
              <w:left w:val="nil"/>
              <w:bottom w:val="single" w:sz="4" w:space="0" w:color="auto"/>
              <w:right w:val="single" w:sz="4" w:space="0" w:color="auto"/>
            </w:tcBorders>
            <w:shd w:val="clear" w:color="auto" w:fill="D9D9D9" w:themeFill="background1" w:themeFillShade="D9"/>
            <w:noWrap/>
            <w:vAlign w:val="center"/>
            <w:hideMark/>
          </w:tcPr>
          <w:p w14:paraId="30704BA3" w14:textId="77777777" w:rsidR="001D2E87" w:rsidRPr="00D94578" w:rsidRDefault="001D2E87" w:rsidP="00040C26">
            <w:pPr>
              <w:jc w:val="center"/>
            </w:pPr>
            <w:r w:rsidRPr="00D94578">
              <w:t>22/23</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5F127485" w14:textId="77777777" w:rsidR="001D2E87" w:rsidRPr="00D94578" w:rsidRDefault="001D2E87" w:rsidP="00040C26">
            <w:pPr>
              <w:jc w:val="center"/>
            </w:pPr>
            <w:r w:rsidRPr="00D94578">
              <w:t>23/24</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620CF705" w14:textId="77777777" w:rsidR="001D2E87" w:rsidRPr="00D94578" w:rsidRDefault="001D2E87" w:rsidP="00040C26">
            <w:pPr>
              <w:jc w:val="center"/>
            </w:pPr>
            <w:r w:rsidRPr="00D94578">
              <w:t>24/25</w:t>
            </w:r>
          </w:p>
        </w:tc>
        <w:tc>
          <w:tcPr>
            <w:tcW w:w="1022" w:type="dxa"/>
            <w:tcBorders>
              <w:top w:val="nil"/>
              <w:left w:val="nil"/>
              <w:bottom w:val="single" w:sz="4" w:space="0" w:color="auto"/>
              <w:right w:val="single" w:sz="4" w:space="0" w:color="auto"/>
            </w:tcBorders>
            <w:shd w:val="clear" w:color="auto" w:fill="D9D9D9" w:themeFill="background1" w:themeFillShade="D9"/>
            <w:noWrap/>
            <w:vAlign w:val="center"/>
            <w:hideMark/>
          </w:tcPr>
          <w:p w14:paraId="266D5974" w14:textId="77777777" w:rsidR="001D2E87" w:rsidRPr="00D94578" w:rsidRDefault="001D2E87" w:rsidP="00040C26">
            <w:pPr>
              <w:jc w:val="center"/>
            </w:pPr>
            <w:r w:rsidRPr="00D94578">
              <w:t>25/26</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4C0D7A6D" w14:textId="77777777" w:rsidR="001D2E87" w:rsidRPr="00D94578" w:rsidRDefault="001D2E87" w:rsidP="00040C26">
            <w:pPr>
              <w:jc w:val="center"/>
            </w:pPr>
            <w:r w:rsidRPr="00D94578">
              <w:t>26/27</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3C1E85C8" w14:textId="77777777" w:rsidR="001D2E87" w:rsidRPr="00D94578" w:rsidRDefault="001D2E87" w:rsidP="00040C26">
            <w:pPr>
              <w:jc w:val="center"/>
            </w:pPr>
            <w:r w:rsidRPr="00D94578">
              <w:t>TOTAL</w:t>
            </w:r>
          </w:p>
        </w:tc>
      </w:tr>
      <w:tr w:rsidR="001D2E87" w:rsidRPr="00040C26" w14:paraId="548F1C17" w14:textId="77777777" w:rsidTr="00D94578">
        <w:trPr>
          <w:trHeight w:val="311"/>
        </w:trPr>
        <w:tc>
          <w:tcPr>
            <w:tcW w:w="3507"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DBDB78" w14:textId="77777777" w:rsidR="001D2E87" w:rsidRPr="00D94578" w:rsidRDefault="001D2E87" w:rsidP="00040C26"/>
        </w:tc>
        <w:tc>
          <w:tcPr>
            <w:tcW w:w="1022" w:type="dxa"/>
            <w:tcBorders>
              <w:top w:val="nil"/>
              <w:left w:val="nil"/>
              <w:bottom w:val="single" w:sz="4" w:space="0" w:color="auto"/>
              <w:right w:val="single" w:sz="4" w:space="0" w:color="auto"/>
            </w:tcBorders>
            <w:shd w:val="clear" w:color="auto" w:fill="D9D9D9" w:themeFill="background1" w:themeFillShade="D9"/>
            <w:noWrap/>
            <w:vAlign w:val="center"/>
            <w:hideMark/>
          </w:tcPr>
          <w:p w14:paraId="067F6EA0" w14:textId="77777777" w:rsidR="001D2E87" w:rsidRPr="00D94578" w:rsidRDefault="001D2E87" w:rsidP="00040C26">
            <w:pPr>
              <w:jc w:val="center"/>
            </w:pPr>
            <w:r w:rsidRPr="00D94578">
              <w:t>£'000</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61C3B668" w14:textId="77777777" w:rsidR="001D2E87" w:rsidRPr="00D94578" w:rsidRDefault="001D2E87" w:rsidP="00040C26">
            <w:pPr>
              <w:jc w:val="center"/>
            </w:pPr>
            <w:r w:rsidRPr="00D94578">
              <w:t>£'000</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2C399C28" w14:textId="77777777" w:rsidR="001D2E87" w:rsidRPr="00D94578" w:rsidRDefault="001D2E87" w:rsidP="00040C26">
            <w:pPr>
              <w:jc w:val="center"/>
            </w:pPr>
            <w:r w:rsidRPr="00D94578">
              <w:t>£'000</w:t>
            </w:r>
          </w:p>
        </w:tc>
        <w:tc>
          <w:tcPr>
            <w:tcW w:w="1022" w:type="dxa"/>
            <w:tcBorders>
              <w:top w:val="nil"/>
              <w:left w:val="nil"/>
              <w:bottom w:val="single" w:sz="4" w:space="0" w:color="auto"/>
              <w:right w:val="single" w:sz="4" w:space="0" w:color="auto"/>
            </w:tcBorders>
            <w:shd w:val="clear" w:color="auto" w:fill="D9D9D9" w:themeFill="background1" w:themeFillShade="D9"/>
            <w:noWrap/>
            <w:vAlign w:val="center"/>
            <w:hideMark/>
          </w:tcPr>
          <w:p w14:paraId="39288558" w14:textId="77777777" w:rsidR="001D2E87" w:rsidRPr="00D94578" w:rsidRDefault="001D2E87" w:rsidP="00040C26">
            <w:pPr>
              <w:jc w:val="center"/>
            </w:pPr>
            <w:r w:rsidRPr="00D94578">
              <w:t>£'000</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62906080" w14:textId="77777777" w:rsidR="001D2E87" w:rsidRPr="00D94578" w:rsidRDefault="001D2E87" w:rsidP="00040C26">
            <w:pPr>
              <w:jc w:val="center"/>
            </w:pPr>
            <w:r w:rsidRPr="00D94578">
              <w:t>£'000</w:t>
            </w:r>
          </w:p>
        </w:tc>
        <w:tc>
          <w:tcPr>
            <w:tcW w:w="1023" w:type="dxa"/>
            <w:tcBorders>
              <w:top w:val="nil"/>
              <w:left w:val="nil"/>
              <w:bottom w:val="single" w:sz="4" w:space="0" w:color="auto"/>
              <w:right w:val="single" w:sz="4" w:space="0" w:color="auto"/>
            </w:tcBorders>
            <w:shd w:val="clear" w:color="auto" w:fill="D9D9D9" w:themeFill="background1" w:themeFillShade="D9"/>
            <w:noWrap/>
            <w:vAlign w:val="center"/>
            <w:hideMark/>
          </w:tcPr>
          <w:p w14:paraId="57D2FF0B" w14:textId="77777777" w:rsidR="001D2E87" w:rsidRPr="00D94578" w:rsidRDefault="001D2E87" w:rsidP="00040C26">
            <w:pPr>
              <w:jc w:val="center"/>
            </w:pPr>
            <w:r w:rsidRPr="00D94578">
              <w:t>£'000</w:t>
            </w:r>
          </w:p>
        </w:tc>
      </w:tr>
      <w:tr w:rsidR="001D2E87" w:rsidRPr="00040C26" w14:paraId="57317334"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135890E" w14:textId="77777777" w:rsidR="001D2E87" w:rsidRPr="00D94578" w:rsidRDefault="001D2E87" w:rsidP="00040C26">
            <w:r w:rsidRPr="00D94578">
              <w:t>Major Schemes</w:t>
            </w:r>
          </w:p>
        </w:tc>
        <w:tc>
          <w:tcPr>
            <w:tcW w:w="1022" w:type="dxa"/>
            <w:tcBorders>
              <w:top w:val="nil"/>
              <w:left w:val="nil"/>
              <w:bottom w:val="single" w:sz="4" w:space="0" w:color="auto"/>
              <w:right w:val="single" w:sz="4" w:space="0" w:color="auto"/>
            </w:tcBorders>
            <w:shd w:val="clear" w:color="auto" w:fill="auto"/>
            <w:noWrap/>
            <w:vAlign w:val="center"/>
            <w:hideMark/>
          </w:tcPr>
          <w:p w14:paraId="4DD7AABD" w14:textId="77777777" w:rsidR="001D2E87" w:rsidRPr="00D94578" w:rsidRDefault="001D2E87" w:rsidP="00040C26">
            <w:pPr>
              <w:jc w:val="center"/>
            </w:pPr>
            <w:r w:rsidRPr="00D94578">
              <w:t>35,150</w:t>
            </w:r>
          </w:p>
        </w:tc>
        <w:tc>
          <w:tcPr>
            <w:tcW w:w="1023" w:type="dxa"/>
            <w:tcBorders>
              <w:top w:val="nil"/>
              <w:left w:val="nil"/>
              <w:bottom w:val="single" w:sz="4" w:space="0" w:color="auto"/>
              <w:right w:val="single" w:sz="4" w:space="0" w:color="auto"/>
            </w:tcBorders>
            <w:shd w:val="clear" w:color="auto" w:fill="auto"/>
            <w:noWrap/>
            <w:vAlign w:val="center"/>
            <w:hideMark/>
          </w:tcPr>
          <w:p w14:paraId="65BDE787" w14:textId="77777777" w:rsidR="001D2E87" w:rsidRPr="00D94578" w:rsidRDefault="001D2E87" w:rsidP="00040C26">
            <w:pPr>
              <w:jc w:val="center"/>
            </w:pPr>
            <w:r w:rsidRPr="00D94578">
              <w:t>8,755</w:t>
            </w:r>
          </w:p>
        </w:tc>
        <w:tc>
          <w:tcPr>
            <w:tcW w:w="1023" w:type="dxa"/>
            <w:tcBorders>
              <w:top w:val="nil"/>
              <w:left w:val="nil"/>
              <w:bottom w:val="single" w:sz="4" w:space="0" w:color="auto"/>
              <w:right w:val="single" w:sz="4" w:space="0" w:color="auto"/>
            </w:tcBorders>
            <w:shd w:val="clear" w:color="auto" w:fill="auto"/>
            <w:noWrap/>
            <w:vAlign w:val="center"/>
            <w:hideMark/>
          </w:tcPr>
          <w:p w14:paraId="41682233" w14:textId="77777777" w:rsidR="001D2E87" w:rsidRPr="00D94578" w:rsidRDefault="001D2E87" w:rsidP="00040C26">
            <w:pPr>
              <w:jc w:val="center"/>
            </w:pPr>
            <w:r w:rsidRPr="00D94578">
              <w:t>0</w:t>
            </w:r>
          </w:p>
        </w:tc>
        <w:tc>
          <w:tcPr>
            <w:tcW w:w="1022" w:type="dxa"/>
            <w:tcBorders>
              <w:top w:val="nil"/>
              <w:left w:val="nil"/>
              <w:bottom w:val="single" w:sz="4" w:space="0" w:color="auto"/>
              <w:right w:val="single" w:sz="4" w:space="0" w:color="auto"/>
            </w:tcBorders>
            <w:shd w:val="clear" w:color="auto" w:fill="auto"/>
            <w:noWrap/>
            <w:vAlign w:val="center"/>
            <w:hideMark/>
          </w:tcPr>
          <w:p w14:paraId="52F4D78B"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15FDC13F"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42EB47E2" w14:textId="77777777" w:rsidR="001D2E87" w:rsidRPr="00D94578" w:rsidRDefault="001D2E87" w:rsidP="00040C26">
            <w:pPr>
              <w:jc w:val="center"/>
            </w:pPr>
            <w:r w:rsidRPr="00D94578">
              <w:t>43,905</w:t>
            </w:r>
          </w:p>
        </w:tc>
      </w:tr>
      <w:tr w:rsidR="001D2E87" w:rsidRPr="00040C26" w14:paraId="433DF472"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F1D8462" w14:textId="77777777" w:rsidR="001D2E87" w:rsidRPr="00D94578" w:rsidRDefault="001D2E87" w:rsidP="00040C26">
            <w:r w:rsidRPr="00D94578">
              <w:t>Other Developments</w:t>
            </w:r>
          </w:p>
        </w:tc>
        <w:tc>
          <w:tcPr>
            <w:tcW w:w="1022" w:type="dxa"/>
            <w:tcBorders>
              <w:top w:val="nil"/>
              <w:left w:val="nil"/>
              <w:bottom w:val="single" w:sz="4" w:space="0" w:color="auto"/>
              <w:right w:val="single" w:sz="4" w:space="0" w:color="auto"/>
            </w:tcBorders>
            <w:shd w:val="clear" w:color="auto" w:fill="auto"/>
            <w:noWrap/>
            <w:vAlign w:val="center"/>
            <w:hideMark/>
          </w:tcPr>
          <w:p w14:paraId="4A6C6C0F" w14:textId="77777777" w:rsidR="001D2E87" w:rsidRPr="00D94578" w:rsidRDefault="001D2E87" w:rsidP="00040C26">
            <w:pPr>
              <w:jc w:val="center"/>
            </w:pPr>
            <w:r w:rsidRPr="00D94578">
              <w:t>1,407</w:t>
            </w:r>
          </w:p>
        </w:tc>
        <w:tc>
          <w:tcPr>
            <w:tcW w:w="1023" w:type="dxa"/>
            <w:tcBorders>
              <w:top w:val="nil"/>
              <w:left w:val="nil"/>
              <w:bottom w:val="single" w:sz="4" w:space="0" w:color="auto"/>
              <w:right w:val="single" w:sz="4" w:space="0" w:color="auto"/>
            </w:tcBorders>
            <w:shd w:val="clear" w:color="auto" w:fill="auto"/>
            <w:noWrap/>
            <w:vAlign w:val="center"/>
            <w:hideMark/>
          </w:tcPr>
          <w:p w14:paraId="3C7A47BA" w14:textId="77777777" w:rsidR="001D2E87" w:rsidRPr="00D94578" w:rsidRDefault="001D2E87" w:rsidP="00040C26">
            <w:pPr>
              <w:jc w:val="center"/>
            </w:pPr>
            <w:r w:rsidRPr="00D94578">
              <w:t>1,213</w:t>
            </w:r>
          </w:p>
        </w:tc>
        <w:tc>
          <w:tcPr>
            <w:tcW w:w="1023" w:type="dxa"/>
            <w:tcBorders>
              <w:top w:val="nil"/>
              <w:left w:val="nil"/>
              <w:bottom w:val="single" w:sz="4" w:space="0" w:color="auto"/>
              <w:right w:val="single" w:sz="4" w:space="0" w:color="auto"/>
            </w:tcBorders>
            <w:shd w:val="clear" w:color="auto" w:fill="auto"/>
            <w:noWrap/>
            <w:vAlign w:val="center"/>
            <w:hideMark/>
          </w:tcPr>
          <w:p w14:paraId="3A1E80F7" w14:textId="77777777" w:rsidR="001D2E87" w:rsidRPr="00D94578" w:rsidRDefault="001D2E87" w:rsidP="00040C26">
            <w:pPr>
              <w:jc w:val="center"/>
            </w:pPr>
            <w:r w:rsidRPr="00D94578">
              <w:t>0</w:t>
            </w:r>
          </w:p>
        </w:tc>
        <w:tc>
          <w:tcPr>
            <w:tcW w:w="1022" w:type="dxa"/>
            <w:tcBorders>
              <w:top w:val="nil"/>
              <w:left w:val="nil"/>
              <w:bottom w:val="single" w:sz="4" w:space="0" w:color="auto"/>
              <w:right w:val="single" w:sz="4" w:space="0" w:color="auto"/>
            </w:tcBorders>
            <w:shd w:val="clear" w:color="auto" w:fill="auto"/>
            <w:noWrap/>
            <w:vAlign w:val="center"/>
            <w:hideMark/>
          </w:tcPr>
          <w:p w14:paraId="3F4647C4"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063C0159"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470C7053" w14:textId="77777777" w:rsidR="001D2E87" w:rsidRPr="00D94578" w:rsidRDefault="001D2E87" w:rsidP="00040C26">
            <w:pPr>
              <w:jc w:val="center"/>
            </w:pPr>
            <w:r w:rsidRPr="00D94578">
              <w:t>2,620</w:t>
            </w:r>
          </w:p>
        </w:tc>
      </w:tr>
      <w:tr w:rsidR="001D2E87" w:rsidRPr="00040C26" w14:paraId="30A88EDE"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AD7A084" w14:textId="77777777" w:rsidR="001D2E87" w:rsidRPr="00D94578" w:rsidRDefault="001D2E87" w:rsidP="00040C26">
            <w:r w:rsidRPr="00D94578">
              <w:t>Recurring Estate Investment</w:t>
            </w:r>
          </w:p>
        </w:tc>
        <w:tc>
          <w:tcPr>
            <w:tcW w:w="1022" w:type="dxa"/>
            <w:tcBorders>
              <w:top w:val="nil"/>
              <w:left w:val="nil"/>
              <w:bottom w:val="single" w:sz="4" w:space="0" w:color="auto"/>
              <w:right w:val="single" w:sz="4" w:space="0" w:color="auto"/>
            </w:tcBorders>
            <w:shd w:val="clear" w:color="auto" w:fill="auto"/>
            <w:noWrap/>
            <w:vAlign w:val="center"/>
            <w:hideMark/>
          </w:tcPr>
          <w:p w14:paraId="7D35BF64" w14:textId="77777777" w:rsidR="001D2E87" w:rsidRPr="00D94578" w:rsidRDefault="001D2E87" w:rsidP="00040C26">
            <w:pPr>
              <w:jc w:val="center"/>
            </w:pPr>
            <w:r w:rsidRPr="00D94578">
              <w:t>2,559</w:t>
            </w:r>
          </w:p>
        </w:tc>
        <w:tc>
          <w:tcPr>
            <w:tcW w:w="1023" w:type="dxa"/>
            <w:tcBorders>
              <w:top w:val="nil"/>
              <w:left w:val="nil"/>
              <w:bottom w:val="single" w:sz="4" w:space="0" w:color="auto"/>
              <w:right w:val="single" w:sz="4" w:space="0" w:color="auto"/>
            </w:tcBorders>
            <w:shd w:val="clear" w:color="auto" w:fill="auto"/>
            <w:noWrap/>
            <w:vAlign w:val="center"/>
            <w:hideMark/>
          </w:tcPr>
          <w:p w14:paraId="11FC5E8F" w14:textId="77777777" w:rsidR="001D2E87" w:rsidRPr="00D94578" w:rsidRDefault="001D2E87" w:rsidP="00040C26">
            <w:pPr>
              <w:jc w:val="center"/>
            </w:pPr>
            <w:r w:rsidRPr="00D94578">
              <w:t>4,500</w:t>
            </w:r>
          </w:p>
        </w:tc>
        <w:tc>
          <w:tcPr>
            <w:tcW w:w="1023" w:type="dxa"/>
            <w:tcBorders>
              <w:top w:val="nil"/>
              <w:left w:val="nil"/>
              <w:bottom w:val="single" w:sz="4" w:space="0" w:color="auto"/>
              <w:right w:val="single" w:sz="4" w:space="0" w:color="auto"/>
            </w:tcBorders>
            <w:shd w:val="clear" w:color="auto" w:fill="auto"/>
            <w:noWrap/>
            <w:vAlign w:val="center"/>
            <w:hideMark/>
          </w:tcPr>
          <w:p w14:paraId="19C457E9" w14:textId="77777777" w:rsidR="001D2E87" w:rsidRPr="00D94578" w:rsidRDefault="001D2E87" w:rsidP="00040C26">
            <w:pPr>
              <w:jc w:val="center"/>
            </w:pPr>
            <w:r w:rsidRPr="00D94578">
              <w:t>4,500</w:t>
            </w:r>
          </w:p>
        </w:tc>
        <w:tc>
          <w:tcPr>
            <w:tcW w:w="1022" w:type="dxa"/>
            <w:tcBorders>
              <w:top w:val="nil"/>
              <w:left w:val="nil"/>
              <w:bottom w:val="single" w:sz="4" w:space="0" w:color="auto"/>
              <w:right w:val="single" w:sz="4" w:space="0" w:color="auto"/>
            </w:tcBorders>
            <w:shd w:val="clear" w:color="auto" w:fill="auto"/>
            <w:noWrap/>
            <w:vAlign w:val="center"/>
            <w:hideMark/>
          </w:tcPr>
          <w:p w14:paraId="1C6D55D2" w14:textId="77777777" w:rsidR="001D2E87" w:rsidRPr="00D94578" w:rsidRDefault="001D2E87" w:rsidP="00040C26">
            <w:pPr>
              <w:jc w:val="center"/>
            </w:pPr>
            <w:r w:rsidRPr="00D94578">
              <w:t>4,500</w:t>
            </w:r>
          </w:p>
        </w:tc>
        <w:tc>
          <w:tcPr>
            <w:tcW w:w="1023" w:type="dxa"/>
            <w:tcBorders>
              <w:top w:val="nil"/>
              <w:left w:val="nil"/>
              <w:bottom w:val="single" w:sz="4" w:space="0" w:color="auto"/>
              <w:right w:val="single" w:sz="4" w:space="0" w:color="auto"/>
            </w:tcBorders>
            <w:shd w:val="clear" w:color="auto" w:fill="auto"/>
            <w:noWrap/>
            <w:vAlign w:val="center"/>
            <w:hideMark/>
          </w:tcPr>
          <w:p w14:paraId="29821A67" w14:textId="77777777" w:rsidR="001D2E87" w:rsidRPr="00D94578" w:rsidRDefault="001D2E87" w:rsidP="00040C26">
            <w:pPr>
              <w:jc w:val="center"/>
            </w:pPr>
            <w:r w:rsidRPr="00D94578">
              <w:t>4,500</w:t>
            </w:r>
          </w:p>
        </w:tc>
        <w:tc>
          <w:tcPr>
            <w:tcW w:w="1023" w:type="dxa"/>
            <w:tcBorders>
              <w:top w:val="nil"/>
              <w:left w:val="nil"/>
              <w:bottom w:val="single" w:sz="4" w:space="0" w:color="auto"/>
              <w:right w:val="single" w:sz="4" w:space="0" w:color="auto"/>
            </w:tcBorders>
            <w:shd w:val="clear" w:color="auto" w:fill="auto"/>
            <w:noWrap/>
            <w:vAlign w:val="center"/>
            <w:hideMark/>
          </w:tcPr>
          <w:p w14:paraId="7F3BB556" w14:textId="77777777" w:rsidR="001D2E87" w:rsidRPr="00D94578" w:rsidRDefault="001D2E87" w:rsidP="00040C26">
            <w:pPr>
              <w:jc w:val="center"/>
            </w:pPr>
            <w:r w:rsidRPr="00D94578">
              <w:t>20,559</w:t>
            </w:r>
          </w:p>
        </w:tc>
      </w:tr>
      <w:tr w:rsidR="001D2E87" w:rsidRPr="00040C26" w14:paraId="2F098745"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D7DA068" w14:textId="77777777" w:rsidR="001D2E87" w:rsidRPr="00D94578" w:rsidRDefault="001D2E87" w:rsidP="00040C26">
            <w:r w:rsidRPr="00D94578">
              <w:t>Contingency</w:t>
            </w:r>
          </w:p>
        </w:tc>
        <w:tc>
          <w:tcPr>
            <w:tcW w:w="1022" w:type="dxa"/>
            <w:tcBorders>
              <w:top w:val="nil"/>
              <w:left w:val="nil"/>
              <w:bottom w:val="single" w:sz="4" w:space="0" w:color="auto"/>
              <w:right w:val="single" w:sz="4" w:space="0" w:color="auto"/>
            </w:tcBorders>
            <w:shd w:val="clear" w:color="auto" w:fill="auto"/>
            <w:noWrap/>
            <w:vAlign w:val="center"/>
            <w:hideMark/>
          </w:tcPr>
          <w:p w14:paraId="677F93BD"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2453B153" w14:textId="77777777" w:rsidR="001D2E87" w:rsidRPr="00D94578" w:rsidRDefault="001D2E87" w:rsidP="00040C26">
            <w:pPr>
              <w:jc w:val="center"/>
            </w:pPr>
            <w:r w:rsidRPr="00D94578">
              <w:t>0</w:t>
            </w:r>
          </w:p>
        </w:tc>
        <w:tc>
          <w:tcPr>
            <w:tcW w:w="1023" w:type="dxa"/>
            <w:tcBorders>
              <w:top w:val="nil"/>
              <w:left w:val="nil"/>
              <w:bottom w:val="single" w:sz="4" w:space="0" w:color="auto"/>
              <w:right w:val="single" w:sz="4" w:space="0" w:color="auto"/>
            </w:tcBorders>
            <w:shd w:val="clear" w:color="auto" w:fill="auto"/>
            <w:noWrap/>
            <w:vAlign w:val="center"/>
            <w:hideMark/>
          </w:tcPr>
          <w:p w14:paraId="39C673B3" w14:textId="77777777" w:rsidR="001D2E87" w:rsidRPr="00D94578" w:rsidRDefault="001D2E87" w:rsidP="00040C26">
            <w:pPr>
              <w:jc w:val="center"/>
            </w:pPr>
            <w:r w:rsidRPr="00D94578">
              <w:t>1,500</w:t>
            </w:r>
          </w:p>
        </w:tc>
        <w:tc>
          <w:tcPr>
            <w:tcW w:w="1022" w:type="dxa"/>
            <w:tcBorders>
              <w:top w:val="nil"/>
              <w:left w:val="nil"/>
              <w:bottom w:val="single" w:sz="4" w:space="0" w:color="auto"/>
              <w:right w:val="single" w:sz="4" w:space="0" w:color="auto"/>
            </w:tcBorders>
            <w:shd w:val="clear" w:color="auto" w:fill="auto"/>
            <w:noWrap/>
            <w:vAlign w:val="center"/>
            <w:hideMark/>
          </w:tcPr>
          <w:p w14:paraId="0D517CDC" w14:textId="77777777" w:rsidR="001D2E87" w:rsidRPr="00D94578" w:rsidRDefault="001D2E87" w:rsidP="00040C26">
            <w:pPr>
              <w:jc w:val="center"/>
            </w:pPr>
            <w:r w:rsidRPr="00D94578">
              <w:t>1,500</w:t>
            </w:r>
          </w:p>
        </w:tc>
        <w:tc>
          <w:tcPr>
            <w:tcW w:w="1023" w:type="dxa"/>
            <w:tcBorders>
              <w:top w:val="nil"/>
              <w:left w:val="nil"/>
              <w:bottom w:val="single" w:sz="4" w:space="0" w:color="auto"/>
              <w:right w:val="single" w:sz="4" w:space="0" w:color="auto"/>
            </w:tcBorders>
            <w:shd w:val="clear" w:color="auto" w:fill="auto"/>
            <w:noWrap/>
            <w:vAlign w:val="center"/>
            <w:hideMark/>
          </w:tcPr>
          <w:p w14:paraId="0A2FCDCE" w14:textId="77777777" w:rsidR="001D2E87" w:rsidRPr="00D94578" w:rsidRDefault="001D2E87" w:rsidP="00040C26">
            <w:pPr>
              <w:jc w:val="center"/>
            </w:pPr>
            <w:r w:rsidRPr="00D94578">
              <w:t>1,500</w:t>
            </w:r>
          </w:p>
        </w:tc>
        <w:tc>
          <w:tcPr>
            <w:tcW w:w="1023" w:type="dxa"/>
            <w:tcBorders>
              <w:top w:val="nil"/>
              <w:left w:val="nil"/>
              <w:bottom w:val="single" w:sz="4" w:space="0" w:color="auto"/>
              <w:right w:val="single" w:sz="4" w:space="0" w:color="auto"/>
            </w:tcBorders>
            <w:shd w:val="clear" w:color="auto" w:fill="auto"/>
            <w:noWrap/>
            <w:vAlign w:val="center"/>
            <w:hideMark/>
          </w:tcPr>
          <w:p w14:paraId="66F70F0E" w14:textId="77777777" w:rsidR="001D2E87" w:rsidRPr="00D94578" w:rsidRDefault="001D2E87" w:rsidP="00040C26">
            <w:pPr>
              <w:jc w:val="center"/>
            </w:pPr>
            <w:r w:rsidRPr="00D94578">
              <w:t>4,500</w:t>
            </w:r>
          </w:p>
        </w:tc>
      </w:tr>
      <w:tr w:rsidR="001D2E87" w:rsidRPr="00040C26" w14:paraId="6CD44A82" w14:textId="77777777" w:rsidTr="00D94578">
        <w:trPr>
          <w:trHeight w:val="311"/>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B972D39" w14:textId="77777777" w:rsidR="001D2E87" w:rsidRPr="00D94578" w:rsidRDefault="001D2E87" w:rsidP="00040C26">
            <w:r w:rsidRPr="00D94578">
              <w:t>PDC Funded Schemes</w:t>
            </w:r>
          </w:p>
        </w:tc>
        <w:tc>
          <w:tcPr>
            <w:tcW w:w="1022" w:type="dxa"/>
            <w:tcBorders>
              <w:top w:val="nil"/>
              <w:left w:val="nil"/>
              <w:bottom w:val="single" w:sz="4" w:space="0" w:color="auto"/>
              <w:right w:val="single" w:sz="4" w:space="0" w:color="auto"/>
            </w:tcBorders>
            <w:shd w:val="clear" w:color="auto" w:fill="auto"/>
            <w:noWrap/>
            <w:vAlign w:val="center"/>
            <w:hideMark/>
          </w:tcPr>
          <w:p w14:paraId="11AE9E4E"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72FBCB75"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40B93F64" w14:textId="77777777" w:rsidR="001D2E87" w:rsidRPr="00D94578" w:rsidRDefault="001D2E87" w:rsidP="00040C26">
            <w:pPr>
              <w:jc w:val="center"/>
            </w:pPr>
          </w:p>
        </w:tc>
        <w:tc>
          <w:tcPr>
            <w:tcW w:w="1022" w:type="dxa"/>
            <w:tcBorders>
              <w:top w:val="nil"/>
              <w:left w:val="nil"/>
              <w:bottom w:val="single" w:sz="4" w:space="0" w:color="auto"/>
              <w:right w:val="single" w:sz="4" w:space="0" w:color="auto"/>
            </w:tcBorders>
            <w:shd w:val="clear" w:color="auto" w:fill="auto"/>
            <w:noWrap/>
            <w:vAlign w:val="center"/>
            <w:hideMark/>
          </w:tcPr>
          <w:p w14:paraId="1DC1AAC9"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29C19120"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01E943A2" w14:textId="77777777" w:rsidR="001D2E87" w:rsidRPr="00D94578" w:rsidRDefault="001D2E87" w:rsidP="00040C26">
            <w:pPr>
              <w:jc w:val="center"/>
            </w:pPr>
          </w:p>
        </w:tc>
      </w:tr>
      <w:tr w:rsidR="001D2E87" w:rsidRPr="00040C26" w14:paraId="43CE5DDA"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73B40F6" w14:textId="77777777" w:rsidR="001D2E87" w:rsidRPr="00D94578" w:rsidRDefault="001D2E87" w:rsidP="00040C26">
            <w:r w:rsidRPr="00D94578">
              <w:t>UEC - North Cumbria</w:t>
            </w:r>
          </w:p>
        </w:tc>
        <w:tc>
          <w:tcPr>
            <w:tcW w:w="1022" w:type="dxa"/>
            <w:tcBorders>
              <w:top w:val="nil"/>
              <w:left w:val="nil"/>
              <w:bottom w:val="single" w:sz="4" w:space="0" w:color="auto"/>
              <w:right w:val="single" w:sz="4" w:space="0" w:color="auto"/>
            </w:tcBorders>
            <w:shd w:val="clear" w:color="auto" w:fill="auto"/>
            <w:noWrap/>
            <w:vAlign w:val="center"/>
            <w:hideMark/>
          </w:tcPr>
          <w:p w14:paraId="2737DEC8" w14:textId="77777777" w:rsidR="001D2E87" w:rsidRPr="00D94578" w:rsidRDefault="001D2E87" w:rsidP="00040C26">
            <w:pPr>
              <w:jc w:val="center"/>
            </w:pPr>
            <w:r w:rsidRPr="00D94578">
              <w:t>467</w:t>
            </w:r>
          </w:p>
        </w:tc>
        <w:tc>
          <w:tcPr>
            <w:tcW w:w="1023" w:type="dxa"/>
            <w:tcBorders>
              <w:top w:val="nil"/>
              <w:left w:val="nil"/>
              <w:bottom w:val="single" w:sz="4" w:space="0" w:color="auto"/>
              <w:right w:val="single" w:sz="4" w:space="0" w:color="auto"/>
            </w:tcBorders>
            <w:shd w:val="clear" w:color="auto" w:fill="auto"/>
            <w:noWrap/>
            <w:vAlign w:val="center"/>
            <w:hideMark/>
          </w:tcPr>
          <w:p w14:paraId="256A6817" w14:textId="77777777" w:rsidR="001D2E87" w:rsidRPr="00D94578" w:rsidRDefault="001D2E87" w:rsidP="00040C26">
            <w:pPr>
              <w:jc w:val="center"/>
            </w:pPr>
            <w:r w:rsidRPr="00D94578">
              <w:t>2,664</w:t>
            </w:r>
          </w:p>
        </w:tc>
        <w:tc>
          <w:tcPr>
            <w:tcW w:w="1023" w:type="dxa"/>
            <w:tcBorders>
              <w:top w:val="nil"/>
              <w:left w:val="nil"/>
              <w:bottom w:val="single" w:sz="4" w:space="0" w:color="auto"/>
              <w:right w:val="single" w:sz="4" w:space="0" w:color="auto"/>
            </w:tcBorders>
            <w:shd w:val="clear" w:color="auto" w:fill="auto"/>
            <w:noWrap/>
            <w:vAlign w:val="center"/>
            <w:hideMark/>
          </w:tcPr>
          <w:p w14:paraId="7E27EE21" w14:textId="77777777" w:rsidR="001D2E87" w:rsidRPr="00D94578" w:rsidRDefault="001D2E87" w:rsidP="00040C26">
            <w:pPr>
              <w:jc w:val="center"/>
            </w:pPr>
          </w:p>
        </w:tc>
        <w:tc>
          <w:tcPr>
            <w:tcW w:w="1022" w:type="dxa"/>
            <w:tcBorders>
              <w:top w:val="nil"/>
              <w:left w:val="nil"/>
              <w:bottom w:val="single" w:sz="4" w:space="0" w:color="auto"/>
              <w:right w:val="single" w:sz="4" w:space="0" w:color="auto"/>
            </w:tcBorders>
            <w:shd w:val="clear" w:color="auto" w:fill="auto"/>
            <w:noWrap/>
            <w:vAlign w:val="center"/>
            <w:hideMark/>
          </w:tcPr>
          <w:p w14:paraId="5CE75588"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31C931D3"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0E894951" w14:textId="77777777" w:rsidR="001D2E87" w:rsidRPr="00D94578" w:rsidRDefault="001D2E87" w:rsidP="00040C26">
            <w:pPr>
              <w:jc w:val="center"/>
            </w:pPr>
            <w:r w:rsidRPr="00D94578">
              <w:t>3,131</w:t>
            </w:r>
          </w:p>
        </w:tc>
      </w:tr>
      <w:tr w:rsidR="001D2E87" w:rsidRPr="00040C26" w14:paraId="161BCF73"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F33B3A" w14:textId="77777777" w:rsidR="001D2E87" w:rsidRPr="00D94578" w:rsidRDefault="001D2E87" w:rsidP="00040C26">
            <w:r w:rsidRPr="00D94578">
              <w:t>UEC - Newcastle Gateshead</w:t>
            </w:r>
          </w:p>
        </w:tc>
        <w:tc>
          <w:tcPr>
            <w:tcW w:w="1022" w:type="dxa"/>
            <w:tcBorders>
              <w:top w:val="nil"/>
              <w:left w:val="nil"/>
              <w:bottom w:val="single" w:sz="4" w:space="0" w:color="auto"/>
              <w:right w:val="single" w:sz="4" w:space="0" w:color="auto"/>
            </w:tcBorders>
            <w:shd w:val="clear" w:color="auto" w:fill="auto"/>
            <w:noWrap/>
            <w:vAlign w:val="center"/>
            <w:hideMark/>
          </w:tcPr>
          <w:p w14:paraId="34340167" w14:textId="77777777" w:rsidR="001D2E87" w:rsidRPr="00D94578" w:rsidRDefault="001D2E87" w:rsidP="00040C26">
            <w:pPr>
              <w:jc w:val="center"/>
            </w:pPr>
            <w:r w:rsidRPr="00D94578">
              <w:t>1,000</w:t>
            </w:r>
          </w:p>
        </w:tc>
        <w:tc>
          <w:tcPr>
            <w:tcW w:w="1023" w:type="dxa"/>
            <w:tcBorders>
              <w:top w:val="nil"/>
              <w:left w:val="nil"/>
              <w:bottom w:val="single" w:sz="4" w:space="0" w:color="auto"/>
              <w:right w:val="single" w:sz="4" w:space="0" w:color="auto"/>
            </w:tcBorders>
            <w:shd w:val="clear" w:color="auto" w:fill="auto"/>
            <w:noWrap/>
            <w:vAlign w:val="center"/>
            <w:hideMark/>
          </w:tcPr>
          <w:p w14:paraId="4A26A462"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477D26E2" w14:textId="77777777" w:rsidR="001D2E87" w:rsidRPr="00D94578" w:rsidRDefault="001D2E87" w:rsidP="00040C26">
            <w:pPr>
              <w:jc w:val="center"/>
            </w:pPr>
          </w:p>
        </w:tc>
        <w:tc>
          <w:tcPr>
            <w:tcW w:w="1022" w:type="dxa"/>
            <w:tcBorders>
              <w:top w:val="nil"/>
              <w:left w:val="nil"/>
              <w:bottom w:val="single" w:sz="4" w:space="0" w:color="auto"/>
              <w:right w:val="single" w:sz="4" w:space="0" w:color="auto"/>
            </w:tcBorders>
            <w:shd w:val="clear" w:color="auto" w:fill="auto"/>
            <w:noWrap/>
            <w:vAlign w:val="center"/>
            <w:hideMark/>
          </w:tcPr>
          <w:p w14:paraId="2749796E"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48C435D2"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2A51905B" w14:textId="77777777" w:rsidR="001D2E87" w:rsidRPr="00D94578" w:rsidRDefault="001D2E87" w:rsidP="00040C26">
            <w:pPr>
              <w:jc w:val="center"/>
            </w:pPr>
            <w:r w:rsidRPr="00D94578">
              <w:t>1,000</w:t>
            </w:r>
          </w:p>
        </w:tc>
      </w:tr>
      <w:tr w:rsidR="001D2E87" w:rsidRPr="00040C26" w14:paraId="1CB5365A" w14:textId="77777777" w:rsidTr="00D94578">
        <w:trPr>
          <w:trHeight w:val="297"/>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F220D4" w14:textId="77777777" w:rsidR="001D2E87" w:rsidRPr="00D94578" w:rsidRDefault="001D2E87" w:rsidP="00040C26">
            <w:r w:rsidRPr="00D94578">
              <w:t>UEC - North Tyneside</w:t>
            </w:r>
          </w:p>
        </w:tc>
        <w:tc>
          <w:tcPr>
            <w:tcW w:w="1022" w:type="dxa"/>
            <w:tcBorders>
              <w:top w:val="nil"/>
              <w:left w:val="nil"/>
              <w:bottom w:val="single" w:sz="4" w:space="0" w:color="auto"/>
              <w:right w:val="single" w:sz="4" w:space="0" w:color="auto"/>
            </w:tcBorders>
            <w:shd w:val="clear" w:color="auto" w:fill="auto"/>
            <w:noWrap/>
            <w:vAlign w:val="center"/>
            <w:hideMark/>
          </w:tcPr>
          <w:p w14:paraId="3AE24BBE" w14:textId="77777777" w:rsidR="001D2E87" w:rsidRPr="00D94578" w:rsidRDefault="001D2E87" w:rsidP="00040C26">
            <w:pPr>
              <w:jc w:val="center"/>
            </w:pPr>
            <w:r w:rsidRPr="00D94578">
              <w:t>500</w:t>
            </w:r>
          </w:p>
        </w:tc>
        <w:tc>
          <w:tcPr>
            <w:tcW w:w="1023" w:type="dxa"/>
            <w:tcBorders>
              <w:top w:val="nil"/>
              <w:left w:val="nil"/>
              <w:bottom w:val="single" w:sz="4" w:space="0" w:color="auto"/>
              <w:right w:val="single" w:sz="4" w:space="0" w:color="auto"/>
            </w:tcBorders>
            <w:shd w:val="clear" w:color="auto" w:fill="auto"/>
            <w:noWrap/>
            <w:vAlign w:val="center"/>
            <w:hideMark/>
          </w:tcPr>
          <w:p w14:paraId="168092FD"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5D93BB04" w14:textId="77777777" w:rsidR="001D2E87" w:rsidRPr="00D94578" w:rsidRDefault="001D2E87" w:rsidP="00040C26">
            <w:pPr>
              <w:jc w:val="center"/>
            </w:pPr>
          </w:p>
        </w:tc>
        <w:tc>
          <w:tcPr>
            <w:tcW w:w="1022" w:type="dxa"/>
            <w:tcBorders>
              <w:top w:val="nil"/>
              <w:left w:val="nil"/>
              <w:bottom w:val="single" w:sz="4" w:space="0" w:color="auto"/>
              <w:right w:val="single" w:sz="4" w:space="0" w:color="auto"/>
            </w:tcBorders>
            <w:shd w:val="clear" w:color="auto" w:fill="auto"/>
            <w:noWrap/>
            <w:vAlign w:val="center"/>
            <w:hideMark/>
          </w:tcPr>
          <w:p w14:paraId="077A70C2"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7F446FF4" w14:textId="77777777" w:rsidR="001D2E87" w:rsidRPr="00D94578" w:rsidRDefault="001D2E87" w:rsidP="00040C26">
            <w:pPr>
              <w:jc w:val="center"/>
            </w:pPr>
          </w:p>
        </w:tc>
        <w:tc>
          <w:tcPr>
            <w:tcW w:w="1023" w:type="dxa"/>
            <w:tcBorders>
              <w:top w:val="nil"/>
              <w:left w:val="nil"/>
              <w:bottom w:val="single" w:sz="4" w:space="0" w:color="auto"/>
              <w:right w:val="single" w:sz="4" w:space="0" w:color="auto"/>
            </w:tcBorders>
            <w:shd w:val="clear" w:color="auto" w:fill="auto"/>
            <w:noWrap/>
            <w:vAlign w:val="center"/>
            <w:hideMark/>
          </w:tcPr>
          <w:p w14:paraId="7F87EDA8" w14:textId="77777777" w:rsidR="001D2E87" w:rsidRPr="00D94578" w:rsidRDefault="001D2E87" w:rsidP="00040C26">
            <w:pPr>
              <w:jc w:val="center"/>
            </w:pPr>
            <w:r w:rsidRPr="00D94578">
              <w:t>500</w:t>
            </w:r>
          </w:p>
        </w:tc>
      </w:tr>
      <w:tr w:rsidR="001D2E87" w:rsidRPr="00040C26" w14:paraId="570B5D11" w14:textId="77777777" w:rsidTr="00D94578">
        <w:trPr>
          <w:trHeight w:val="311"/>
        </w:trPr>
        <w:tc>
          <w:tcPr>
            <w:tcW w:w="3507"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EF2D8F5" w14:textId="77777777" w:rsidR="001D2E87" w:rsidRPr="00D94578" w:rsidRDefault="001D2E87" w:rsidP="00040C26">
            <w:r w:rsidRPr="00D94578">
              <w:t>Total</w:t>
            </w:r>
          </w:p>
        </w:tc>
        <w:tc>
          <w:tcPr>
            <w:tcW w:w="1022" w:type="dxa"/>
            <w:tcBorders>
              <w:top w:val="nil"/>
              <w:left w:val="nil"/>
              <w:bottom w:val="single" w:sz="4" w:space="0" w:color="auto"/>
              <w:right w:val="single" w:sz="4" w:space="0" w:color="auto"/>
            </w:tcBorders>
            <w:shd w:val="clear" w:color="auto" w:fill="auto"/>
            <w:noWrap/>
            <w:vAlign w:val="center"/>
            <w:hideMark/>
          </w:tcPr>
          <w:p w14:paraId="757A2D08" w14:textId="77777777" w:rsidR="001D2E87" w:rsidRPr="00D94578" w:rsidRDefault="001D2E87" w:rsidP="00040C26">
            <w:pPr>
              <w:jc w:val="center"/>
              <w:rPr>
                <w:b/>
              </w:rPr>
            </w:pPr>
            <w:r w:rsidRPr="00D94578">
              <w:rPr>
                <w:b/>
              </w:rPr>
              <w:t>5,933</w:t>
            </w:r>
          </w:p>
        </w:tc>
        <w:tc>
          <w:tcPr>
            <w:tcW w:w="1023" w:type="dxa"/>
            <w:tcBorders>
              <w:top w:val="nil"/>
              <w:left w:val="nil"/>
              <w:bottom w:val="single" w:sz="4" w:space="0" w:color="auto"/>
              <w:right w:val="single" w:sz="4" w:space="0" w:color="auto"/>
            </w:tcBorders>
            <w:shd w:val="clear" w:color="auto" w:fill="auto"/>
            <w:noWrap/>
            <w:vAlign w:val="center"/>
            <w:hideMark/>
          </w:tcPr>
          <w:p w14:paraId="6B1E79D3" w14:textId="77777777" w:rsidR="001D2E87" w:rsidRPr="00D94578" w:rsidRDefault="001D2E87" w:rsidP="00040C26">
            <w:pPr>
              <w:jc w:val="center"/>
              <w:rPr>
                <w:b/>
              </w:rPr>
            </w:pPr>
            <w:r w:rsidRPr="00D94578">
              <w:rPr>
                <w:b/>
              </w:rPr>
              <w:t>8,377</w:t>
            </w:r>
          </w:p>
        </w:tc>
        <w:tc>
          <w:tcPr>
            <w:tcW w:w="1023" w:type="dxa"/>
            <w:tcBorders>
              <w:top w:val="nil"/>
              <w:left w:val="nil"/>
              <w:bottom w:val="single" w:sz="4" w:space="0" w:color="auto"/>
              <w:right w:val="single" w:sz="4" w:space="0" w:color="auto"/>
            </w:tcBorders>
            <w:shd w:val="clear" w:color="auto" w:fill="auto"/>
            <w:noWrap/>
            <w:vAlign w:val="center"/>
            <w:hideMark/>
          </w:tcPr>
          <w:p w14:paraId="0B347F7A" w14:textId="77777777" w:rsidR="001D2E87" w:rsidRPr="00D94578" w:rsidRDefault="001D2E87" w:rsidP="00040C26">
            <w:pPr>
              <w:jc w:val="center"/>
              <w:rPr>
                <w:b/>
              </w:rPr>
            </w:pPr>
            <w:r w:rsidRPr="00D94578">
              <w:rPr>
                <w:b/>
              </w:rPr>
              <w:t>6,000</w:t>
            </w:r>
          </w:p>
        </w:tc>
        <w:tc>
          <w:tcPr>
            <w:tcW w:w="1022" w:type="dxa"/>
            <w:tcBorders>
              <w:top w:val="nil"/>
              <w:left w:val="nil"/>
              <w:bottom w:val="single" w:sz="4" w:space="0" w:color="auto"/>
              <w:right w:val="single" w:sz="4" w:space="0" w:color="auto"/>
            </w:tcBorders>
            <w:shd w:val="clear" w:color="auto" w:fill="auto"/>
            <w:noWrap/>
            <w:vAlign w:val="center"/>
            <w:hideMark/>
          </w:tcPr>
          <w:p w14:paraId="780B2D7B" w14:textId="77777777" w:rsidR="001D2E87" w:rsidRPr="00D94578" w:rsidRDefault="001D2E87" w:rsidP="00040C26">
            <w:pPr>
              <w:jc w:val="center"/>
              <w:rPr>
                <w:b/>
              </w:rPr>
            </w:pPr>
            <w:r w:rsidRPr="00D94578">
              <w:rPr>
                <w:b/>
              </w:rPr>
              <w:t>6,000</w:t>
            </w:r>
          </w:p>
        </w:tc>
        <w:tc>
          <w:tcPr>
            <w:tcW w:w="1023" w:type="dxa"/>
            <w:tcBorders>
              <w:top w:val="nil"/>
              <w:left w:val="nil"/>
              <w:bottom w:val="single" w:sz="4" w:space="0" w:color="auto"/>
              <w:right w:val="single" w:sz="4" w:space="0" w:color="auto"/>
            </w:tcBorders>
            <w:shd w:val="clear" w:color="auto" w:fill="auto"/>
            <w:noWrap/>
            <w:vAlign w:val="center"/>
            <w:hideMark/>
          </w:tcPr>
          <w:p w14:paraId="5FDCB06F" w14:textId="77777777" w:rsidR="001D2E87" w:rsidRPr="00D94578" w:rsidRDefault="001D2E87" w:rsidP="00040C26">
            <w:pPr>
              <w:jc w:val="center"/>
              <w:rPr>
                <w:b/>
              </w:rPr>
            </w:pPr>
            <w:r w:rsidRPr="00D94578">
              <w:rPr>
                <w:b/>
              </w:rPr>
              <w:t>6,000</w:t>
            </w:r>
          </w:p>
        </w:tc>
        <w:tc>
          <w:tcPr>
            <w:tcW w:w="1023" w:type="dxa"/>
            <w:tcBorders>
              <w:top w:val="nil"/>
              <w:left w:val="nil"/>
              <w:bottom w:val="single" w:sz="4" w:space="0" w:color="auto"/>
              <w:right w:val="single" w:sz="4" w:space="0" w:color="auto"/>
            </w:tcBorders>
            <w:shd w:val="clear" w:color="auto" w:fill="auto"/>
            <w:noWrap/>
            <w:vAlign w:val="center"/>
            <w:hideMark/>
          </w:tcPr>
          <w:p w14:paraId="306969C4" w14:textId="77777777" w:rsidR="001D2E87" w:rsidRPr="00D94578" w:rsidRDefault="001D2E87" w:rsidP="00040C26">
            <w:pPr>
              <w:jc w:val="center"/>
              <w:rPr>
                <w:b/>
              </w:rPr>
            </w:pPr>
            <w:r w:rsidRPr="00D94578">
              <w:rPr>
                <w:b/>
              </w:rPr>
              <w:t>32,310</w:t>
            </w:r>
          </w:p>
        </w:tc>
      </w:tr>
    </w:tbl>
    <w:p w14:paraId="69FE3F59" w14:textId="77777777" w:rsidR="001D2E87" w:rsidRDefault="001D2E87" w:rsidP="00D94578">
      <w:pPr>
        <w:jc w:val="center"/>
      </w:pPr>
      <w:r>
        <w:t>Table 2 Capital Program</w:t>
      </w:r>
    </w:p>
    <w:p w14:paraId="59D121EE" w14:textId="2A197980" w:rsidR="001D2E87" w:rsidRPr="00C81228" w:rsidRDefault="001D2E87" w:rsidP="00BF5B7F">
      <w:pPr>
        <w:pStyle w:val="Heading2"/>
        <w:ind w:left="0"/>
        <w:rPr>
          <w:color w:val="0070C0"/>
        </w:rPr>
      </w:pPr>
      <w:r w:rsidRPr="00C81228">
        <w:rPr>
          <w:color w:val="0070C0"/>
        </w:rPr>
        <w:t>1.</w:t>
      </w:r>
      <w:r w:rsidR="00BF5B7F" w:rsidRPr="00C81228">
        <w:rPr>
          <w:color w:val="0070C0"/>
        </w:rPr>
        <w:t>5</w:t>
      </w:r>
      <w:r w:rsidRPr="00C81228">
        <w:rPr>
          <w:color w:val="0070C0"/>
        </w:rPr>
        <w:tab/>
        <w:t>Summary</w:t>
      </w:r>
    </w:p>
    <w:p w14:paraId="32DEA7BA" w14:textId="77777777" w:rsidR="00BF5B7F" w:rsidRDefault="00BF5B7F" w:rsidP="00BF5B7F">
      <w:pPr>
        <w:contextualSpacing/>
        <w:rPr>
          <w:sz w:val="24"/>
        </w:rPr>
      </w:pPr>
    </w:p>
    <w:p w14:paraId="3C2792E2" w14:textId="45B10376" w:rsidR="001D2E87" w:rsidRPr="00BF5B7F" w:rsidRDefault="001D2E87" w:rsidP="00BF5B7F">
      <w:pPr>
        <w:contextualSpacing/>
        <w:rPr>
          <w:sz w:val="24"/>
        </w:rPr>
      </w:pPr>
      <w:r w:rsidRPr="00BF5B7F">
        <w:rPr>
          <w:sz w:val="24"/>
        </w:rPr>
        <w:t xml:space="preserve">When formed in 2006, the new organisation inherited a large diverse property portfolio much of which was in a poor condition and had low levels of quality and functional suitability. That position has significantly improved over the last 16 years </w:t>
      </w:r>
      <w:proofErr w:type="gramStart"/>
      <w:r w:rsidRPr="00BF5B7F">
        <w:rPr>
          <w:sz w:val="24"/>
        </w:rPr>
        <w:t>as a result of</w:t>
      </w:r>
      <w:proofErr w:type="gramEnd"/>
      <w:r w:rsidRPr="00BF5B7F">
        <w:rPr>
          <w:sz w:val="24"/>
        </w:rPr>
        <w:t xml:space="preserve"> sustained and targeted capital investment. Whilst there </w:t>
      </w:r>
      <w:proofErr w:type="gramStart"/>
      <w:r w:rsidRPr="00BF5B7F">
        <w:rPr>
          <w:sz w:val="24"/>
        </w:rPr>
        <w:t>still remains</w:t>
      </w:r>
      <w:proofErr w:type="gramEnd"/>
      <w:r w:rsidRPr="00BF5B7F">
        <w:rPr>
          <w:sz w:val="24"/>
        </w:rPr>
        <w:t xml:space="preserve"> a range of accommodation which does not enhance the patient experience and </w:t>
      </w:r>
      <w:proofErr w:type="gramStart"/>
      <w:r w:rsidRPr="00BF5B7F">
        <w:rPr>
          <w:sz w:val="24"/>
        </w:rPr>
        <w:t>is in need of</w:t>
      </w:r>
      <w:proofErr w:type="gramEnd"/>
      <w:r w:rsidRPr="00BF5B7F">
        <w:rPr>
          <w:sz w:val="24"/>
        </w:rPr>
        <w:t xml:space="preserve"> improvement or replacement there are plans in place to address </w:t>
      </w:r>
      <w:proofErr w:type="gramStart"/>
      <w:r w:rsidRPr="00BF5B7F">
        <w:rPr>
          <w:sz w:val="24"/>
        </w:rPr>
        <w:t>the majority of</w:t>
      </w:r>
      <w:proofErr w:type="gramEnd"/>
      <w:r w:rsidRPr="00BF5B7F">
        <w:rPr>
          <w:sz w:val="24"/>
        </w:rPr>
        <w:t xml:space="preserve"> these areas.</w:t>
      </w:r>
    </w:p>
    <w:p w14:paraId="6B01D549" w14:textId="77777777" w:rsidR="00BF5B7F" w:rsidRDefault="00BF5B7F" w:rsidP="00BF5B7F">
      <w:pPr>
        <w:contextualSpacing/>
        <w:rPr>
          <w:sz w:val="24"/>
        </w:rPr>
      </w:pPr>
    </w:p>
    <w:p w14:paraId="553AB367" w14:textId="3CF4428F" w:rsidR="001D2E87" w:rsidRPr="00BF5B7F" w:rsidRDefault="001D2E87" w:rsidP="00BF5B7F">
      <w:pPr>
        <w:contextualSpacing/>
        <w:rPr>
          <w:sz w:val="24"/>
        </w:rPr>
      </w:pPr>
      <w:r w:rsidRPr="00BF5B7F">
        <w:rPr>
          <w:sz w:val="24"/>
        </w:rPr>
        <w:t xml:space="preserve">The Trust is rightly proud of the significant advances in improving the quality of the patient environment it has made since its formation with many </w:t>
      </w:r>
      <w:r w:rsidR="002D27B6" w:rsidRPr="00BF5B7F">
        <w:rPr>
          <w:sz w:val="24"/>
        </w:rPr>
        <w:t>award-winning</w:t>
      </w:r>
      <w:r w:rsidRPr="00BF5B7F">
        <w:rPr>
          <w:sz w:val="24"/>
        </w:rPr>
        <w:t xml:space="preserve"> innovative capital developments which have been recognised for the contribution they make toward clinical care. </w:t>
      </w:r>
    </w:p>
    <w:p w14:paraId="48B08906" w14:textId="77777777" w:rsidR="00BF5B7F" w:rsidRDefault="00BF5B7F" w:rsidP="00BF5B7F">
      <w:pPr>
        <w:contextualSpacing/>
        <w:rPr>
          <w:sz w:val="24"/>
        </w:rPr>
      </w:pPr>
    </w:p>
    <w:p w14:paraId="48016550" w14:textId="406047D5" w:rsidR="001D2E87" w:rsidRPr="00BF5B7F" w:rsidRDefault="001D2E87" w:rsidP="00BF5B7F">
      <w:pPr>
        <w:contextualSpacing/>
        <w:rPr>
          <w:sz w:val="24"/>
        </w:rPr>
      </w:pPr>
      <w:r w:rsidRPr="00BF5B7F">
        <w:rPr>
          <w:sz w:val="24"/>
        </w:rPr>
        <w:t xml:space="preserve">The Trust remains committed to a program of continuous development and improvement in the services it provides and this needs to be reflected in the environments provided for both patients and staff. </w:t>
      </w:r>
    </w:p>
    <w:p w14:paraId="1A4F6B57" w14:textId="77777777" w:rsidR="00BF5B7F" w:rsidRDefault="00BF5B7F" w:rsidP="00BF5B7F">
      <w:pPr>
        <w:contextualSpacing/>
        <w:rPr>
          <w:sz w:val="24"/>
        </w:rPr>
      </w:pPr>
    </w:p>
    <w:p w14:paraId="7898814E" w14:textId="3785926F" w:rsidR="001D2E87" w:rsidRPr="00BF5B7F" w:rsidRDefault="001D2E87" w:rsidP="00BF5B7F">
      <w:pPr>
        <w:contextualSpacing/>
        <w:rPr>
          <w:sz w:val="24"/>
        </w:rPr>
      </w:pPr>
      <w:r w:rsidRPr="00BF5B7F">
        <w:rPr>
          <w:sz w:val="24"/>
        </w:rPr>
        <w:t xml:space="preserve">By ensuring the Estate Strategy is aligned with the Service Development Strategies, the Trust is confident that its substantial investment programme will deliver further improvements to ensure environments that are fit for purpose which will support the Trust in realising its vision to move forward as a market leader in the provision of mental health, learning disability and neuro rehabilitation services.  These developments are </w:t>
      </w:r>
      <w:r w:rsidRPr="00BF5B7F">
        <w:rPr>
          <w:sz w:val="24"/>
        </w:rPr>
        <w:lastRenderedPageBreak/>
        <w:t xml:space="preserve">also in line with the </w:t>
      </w:r>
      <w:r w:rsidRPr="00BF5B7F">
        <w:rPr>
          <w:b/>
          <w:sz w:val="24"/>
        </w:rPr>
        <w:t>Department of Health’s guidance</w:t>
      </w:r>
      <w:r w:rsidRPr="00BF5B7F">
        <w:rPr>
          <w:sz w:val="24"/>
        </w:rPr>
        <w:t xml:space="preserve"> on how to efficiently manage estate, which combines the three strands of improving operational efficiency, improving construction efficiency and actively seeking opportunity through surplus land disposal. </w:t>
      </w:r>
    </w:p>
    <w:p w14:paraId="2952DB46" w14:textId="77777777" w:rsidR="00BF5B7F" w:rsidRDefault="00BF5B7F" w:rsidP="00BF5B7F">
      <w:pPr>
        <w:contextualSpacing/>
        <w:rPr>
          <w:sz w:val="24"/>
        </w:rPr>
      </w:pPr>
    </w:p>
    <w:p w14:paraId="0DA585F9" w14:textId="1F916EC2" w:rsidR="001D2E87" w:rsidRPr="00BF5B7F" w:rsidRDefault="001D2E87" w:rsidP="00BF5B7F">
      <w:pPr>
        <w:contextualSpacing/>
        <w:rPr>
          <w:sz w:val="24"/>
        </w:rPr>
      </w:pPr>
      <w:r w:rsidRPr="00BF5B7F">
        <w:rPr>
          <w:sz w:val="24"/>
        </w:rPr>
        <w:t xml:space="preserve">The Estate Strategy has </w:t>
      </w:r>
      <w:proofErr w:type="gramStart"/>
      <w:r w:rsidRPr="00BF5B7F">
        <w:rPr>
          <w:sz w:val="24"/>
        </w:rPr>
        <w:t>taken into account</w:t>
      </w:r>
      <w:proofErr w:type="gramEnd"/>
      <w:r w:rsidRPr="00BF5B7F">
        <w:rPr>
          <w:sz w:val="24"/>
        </w:rPr>
        <w:t xml:space="preserve"> the Trust’s vision, core values and strategic objectives, in addition to the service-specific requirements as set out in the Trusts Strategy and to have ‘facilities fit for purpose’ that complement the service needs of the organisation.</w:t>
      </w:r>
    </w:p>
    <w:p w14:paraId="6A9229BF" w14:textId="77777777" w:rsidR="00BF5B7F" w:rsidRDefault="00BF5B7F" w:rsidP="00BF5B7F">
      <w:pPr>
        <w:contextualSpacing/>
        <w:rPr>
          <w:sz w:val="24"/>
        </w:rPr>
      </w:pPr>
    </w:p>
    <w:p w14:paraId="22116605" w14:textId="6AB2DB41" w:rsidR="001D2E87" w:rsidRPr="00BF5B7F" w:rsidRDefault="001D2E87" w:rsidP="00BF5B7F">
      <w:pPr>
        <w:contextualSpacing/>
        <w:rPr>
          <w:sz w:val="24"/>
        </w:rPr>
      </w:pPr>
      <w:r w:rsidRPr="00BF5B7F">
        <w:rPr>
          <w:sz w:val="24"/>
        </w:rPr>
        <w:t xml:space="preserve">The Estate Strategy provides a framework from which we will be able to monitor and measure our progress in ensuring that the Trust estate performance meets the expectations of the organisation in line with the substantial investment being made over the next 5 years.  However, it will be imperative that the Trust ensures that any future investment is in keeping with the Trust’s strategic objectives and goals, core service requirements, models of care and best practice for estate management.  The strategy is a dynamic document outlining a programme of work that will be reviewed regularly as service priorities change and development opportunities arise.  </w:t>
      </w:r>
    </w:p>
    <w:p w14:paraId="10838903" w14:textId="04587C20" w:rsidR="001D2E87" w:rsidRDefault="001D2E87" w:rsidP="002E2F4B"/>
    <w:p w14:paraId="24CF2ABE" w14:textId="1D692A4D" w:rsidR="001D2E87" w:rsidRPr="00C81228" w:rsidRDefault="001D2E87" w:rsidP="00BF5B7F">
      <w:pPr>
        <w:pStyle w:val="Heading1"/>
      </w:pPr>
      <w:r w:rsidRPr="00C81228">
        <w:t>2.0</w:t>
      </w:r>
      <w:r w:rsidRPr="00C81228">
        <w:tab/>
        <w:t>Introduction to the Estates Strategy</w:t>
      </w:r>
    </w:p>
    <w:p w14:paraId="459FE6A7" w14:textId="599B6BE1" w:rsidR="001D2E87" w:rsidRPr="00BF5B7F" w:rsidRDefault="00BF5B7F" w:rsidP="00BF5B7F">
      <w:pPr>
        <w:contextualSpacing/>
        <w:rPr>
          <w:sz w:val="24"/>
        </w:rPr>
      </w:pPr>
      <w:r w:rsidRPr="00BF5B7F">
        <w:rPr>
          <w:rFonts w:eastAsia="Calibri"/>
          <w:color w:val="595959"/>
          <w:sz w:val="24"/>
        </w:rPr>
        <w:t>T</w:t>
      </w:r>
      <w:r w:rsidR="001D2E87" w:rsidRPr="00BF5B7F">
        <w:rPr>
          <w:sz w:val="24"/>
        </w:rPr>
        <w:t xml:space="preserve">o deliver a modern NHS, fit for the 21st century, buildings and equipment are required in the right place, in the right condition, of the right type and which will be able to respond to future service needs. The COVID pandemic has illustrated that even with careful planning unforeseen factors can have a profound impact on the demands of our services. </w:t>
      </w:r>
    </w:p>
    <w:p w14:paraId="22607241" w14:textId="77777777" w:rsidR="001D2E87" w:rsidRPr="00BF5B7F" w:rsidRDefault="001D2E87" w:rsidP="00BF5B7F">
      <w:pPr>
        <w:widowControl w:val="0"/>
        <w:contextualSpacing/>
        <w:rPr>
          <w:sz w:val="24"/>
        </w:rPr>
      </w:pPr>
      <w:r w:rsidRPr="00BF5B7F">
        <w:rPr>
          <w:sz w:val="24"/>
        </w:rPr>
        <w:t xml:space="preserve">The Estate Strategy will seek to identify the steps which can be taken by the Trust to maximise the use of its assets </w:t>
      </w:r>
      <w:proofErr w:type="gramStart"/>
      <w:r w:rsidRPr="00BF5B7F">
        <w:rPr>
          <w:sz w:val="24"/>
        </w:rPr>
        <w:t>in order to</w:t>
      </w:r>
      <w:proofErr w:type="gramEnd"/>
      <w:r w:rsidRPr="00BF5B7F">
        <w:rPr>
          <w:sz w:val="24"/>
        </w:rPr>
        <w:t xml:space="preserve"> provide a productive, efficient, safe, and fit for purpose estate which will support existing and future clinical requirements. </w:t>
      </w:r>
    </w:p>
    <w:p w14:paraId="690BFC6E" w14:textId="77777777" w:rsidR="001D2E87" w:rsidRPr="00BF5B7F" w:rsidRDefault="001D2E87" w:rsidP="00BF5B7F">
      <w:pPr>
        <w:contextualSpacing/>
        <w:rPr>
          <w:sz w:val="24"/>
        </w:rPr>
      </w:pPr>
      <w:r w:rsidRPr="00BF5B7F">
        <w:rPr>
          <w:sz w:val="24"/>
        </w:rPr>
        <w:t xml:space="preserve">This strategy document is one of </w:t>
      </w:r>
      <w:proofErr w:type="gramStart"/>
      <w:r w:rsidRPr="00BF5B7F">
        <w:rPr>
          <w:sz w:val="24"/>
        </w:rPr>
        <w:t>a number of</w:t>
      </w:r>
      <w:proofErr w:type="gramEnd"/>
      <w:r w:rsidRPr="00BF5B7F">
        <w:rPr>
          <w:sz w:val="24"/>
        </w:rPr>
        <w:t xml:space="preserve"> enabling strategies that work in partnership to support the Trust’s Annual Plan and Clinical Strategy.</w:t>
      </w:r>
    </w:p>
    <w:p w14:paraId="0BDFF97B" w14:textId="77777777" w:rsidR="001D2E87" w:rsidRPr="00BF5B7F" w:rsidRDefault="001D2E87" w:rsidP="00BF5B7F">
      <w:pPr>
        <w:contextualSpacing/>
        <w:rPr>
          <w:sz w:val="24"/>
        </w:rPr>
      </w:pPr>
      <w:r w:rsidRPr="00BF5B7F">
        <w:rPr>
          <w:sz w:val="24"/>
        </w:rPr>
        <w:t>This Estates Strategy has been developed in accordance with the Department of Health and Social Care (DHSC) guidance document ‘Developing an Estates Strategy’, and is structured to reflect the following three key questions:</w:t>
      </w:r>
    </w:p>
    <w:p w14:paraId="2A729E47" w14:textId="77777777" w:rsidR="001D2E87" w:rsidRPr="00BF5B7F" w:rsidRDefault="001D2E87" w:rsidP="002867BC">
      <w:pPr>
        <w:pStyle w:val="ListParagraph"/>
        <w:numPr>
          <w:ilvl w:val="0"/>
          <w:numId w:val="16"/>
        </w:numPr>
        <w:spacing w:before="120" w:after="120"/>
        <w:ind w:right="340"/>
        <w:jc w:val="both"/>
        <w:rPr>
          <w:b/>
          <w:sz w:val="24"/>
        </w:rPr>
      </w:pPr>
      <w:r w:rsidRPr="00BF5B7F">
        <w:rPr>
          <w:b/>
          <w:sz w:val="24"/>
        </w:rPr>
        <w:t>Where are we now?</w:t>
      </w:r>
    </w:p>
    <w:p w14:paraId="0A2EE549" w14:textId="77777777" w:rsidR="001D2E87" w:rsidRPr="00BF5B7F" w:rsidRDefault="001D2E87" w:rsidP="002867BC">
      <w:pPr>
        <w:pStyle w:val="ListParagraph"/>
        <w:numPr>
          <w:ilvl w:val="0"/>
          <w:numId w:val="16"/>
        </w:numPr>
        <w:spacing w:before="120" w:after="120"/>
        <w:ind w:right="340"/>
        <w:jc w:val="both"/>
        <w:rPr>
          <w:b/>
          <w:sz w:val="24"/>
        </w:rPr>
      </w:pPr>
      <w:r w:rsidRPr="00BF5B7F">
        <w:rPr>
          <w:b/>
          <w:sz w:val="24"/>
        </w:rPr>
        <w:t>Where do we want to be?</w:t>
      </w:r>
    </w:p>
    <w:p w14:paraId="441ECCAE" w14:textId="77777777" w:rsidR="001D2E87" w:rsidRPr="00BF5B7F" w:rsidRDefault="001D2E87" w:rsidP="002867BC">
      <w:pPr>
        <w:pStyle w:val="ListParagraph"/>
        <w:numPr>
          <w:ilvl w:val="0"/>
          <w:numId w:val="16"/>
        </w:numPr>
        <w:spacing w:before="120" w:after="120"/>
        <w:ind w:right="340"/>
        <w:jc w:val="both"/>
        <w:rPr>
          <w:b/>
          <w:sz w:val="24"/>
        </w:rPr>
      </w:pPr>
      <w:r w:rsidRPr="00BF5B7F">
        <w:rPr>
          <w:b/>
          <w:sz w:val="24"/>
        </w:rPr>
        <w:t>How do we get there?</w:t>
      </w:r>
    </w:p>
    <w:p w14:paraId="08B22213" w14:textId="77777777" w:rsidR="00BF5B7F" w:rsidRDefault="00BF5B7F" w:rsidP="00BF5B7F">
      <w:pPr>
        <w:contextualSpacing/>
        <w:rPr>
          <w:sz w:val="24"/>
        </w:rPr>
      </w:pPr>
    </w:p>
    <w:p w14:paraId="6C9EFAA9" w14:textId="7E8D2ADB" w:rsidR="001D2E87" w:rsidRPr="00BF5B7F" w:rsidRDefault="001D2E87" w:rsidP="00BF5B7F">
      <w:pPr>
        <w:contextualSpacing/>
        <w:rPr>
          <w:sz w:val="24"/>
        </w:rPr>
      </w:pPr>
      <w:r w:rsidRPr="00BF5B7F">
        <w:rPr>
          <w:sz w:val="24"/>
        </w:rPr>
        <w:t>Its aim will be to describe the current condition of the estate, (identifying its suitability, occupancy, tenure, physical condition, service and organisational constraints, capital investment decisions and occupancy costs), highlighting how the existing supply of capital assets meets current services and the needs of the community.</w:t>
      </w:r>
    </w:p>
    <w:p w14:paraId="7648C8D6" w14:textId="77777777" w:rsidR="00BF5B7F" w:rsidRDefault="00BF5B7F" w:rsidP="00BF5B7F">
      <w:pPr>
        <w:widowControl w:val="0"/>
        <w:contextualSpacing/>
        <w:rPr>
          <w:sz w:val="24"/>
        </w:rPr>
      </w:pPr>
    </w:p>
    <w:p w14:paraId="2A03223A" w14:textId="34D1F8F6" w:rsidR="001D2E87" w:rsidRPr="00BF5B7F" w:rsidRDefault="001D2E87" w:rsidP="00BF5B7F">
      <w:pPr>
        <w:widowControl w:val="0"/>
        <w:contextualSpacing/>
        <w:rPr>
          <w:sz w:val="24"/>
        </w:rPr>
      </w:pPr>
      <w:r w:rsidRPr="00BF5B7F">
        <w:rPr>
          <w:sz w:val="24"/>
        </w:rPr>
        <w:t>A recent Kings Fund review of strategic estate development has identified the following as important core components to a robust estate strategy document:</w:t>
      </w:r>
    </w:p>
    <w:p w14:paraId="5544D639"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A strategic overview – estates strategies should align with and reflect the aims of any wider organisational or strategic planning</w:t>
      </w:r>
    </w:p>
    <w:p w14:paraId="4CDB29AA"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Alignment with clinical strategy – as part of the above, estates strategies should align with the clinical strategy (at all levels), rather than being developed in isolation, driven by cost concerns, or based on existing buildings</w:t>
      </w:r>
    </w:p>
    <w:p w14:paraId="0EDA3A40"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 xml:space="preserve">Customer focus – a clear understanding of what ‘customers’ require and value. This includes those who currently use the estate and those who may </w:t>
      </w:r>
      <w:r w:rsidRPr="00BF5B7F">
        <w:rPr>
          <w:sz w:val="24"/>
        </w:rPr>
        <w:lastRenderedPageBreak/>
        <w:t>use the estate in the future</w:t>
      </w:r>
    </w:p>
    <w:p w14:paraId="64F95468"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Clear case for change – linked to the above, and key to implementation</w:t>
      </w:r>
    </w:p>
    <w:p w14:paraId="4C280B99"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Understanding of the estates value – an understanding of the role and value of the estate within the context of other strategies, e.g. funding and sustainability, social value, value to the taxpayer</w:t>
      </w:r>
    </w:p>
    <w:p w14:paraId="3751C30D"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Flexibility – any estates strategy needs to be able to respond to potential changes in demand or requirements over time. Where this does not happen, the estate becomes a constraint</w:t>
      </w:r>
    </w:p>
    <w:p w14:paraId="56B494BA"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Understanding risk – understanding the risk appetite of the stakeholders involved</w:t>
      </w:r>
    </w:p>
    <w:p w14:paraId="68BA7697"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Governance – a strategy should include clear systems of governance and responsibilities. This includes relevant government, and organisational bodies</w:t>
      </w:r>
    </w:p>
    <w:p w14:paraId="54646296"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Clarity on outcomes – estates strategies should include desired outcomes (specific and wider benefits) and set out the approach that will be used to measure performance</w:t>
      </w:r>
    </w:p>
    <w:p w14:paraId="7A2335DA" w14:textId="77777777" w:rsidR="00BF5B7F" w:rsidRDefault="00BF5B7F" w:rsidP="00BF5B7F">
      <w:pPr>
        <w:widowControl w:val="0"/>
        <w:contextualSpacing/>
        <w:rPr>
          <w:sz w:val="24"/>
        </w:rPr>
      </w:pPr>
    </w:p>
    <w:p w14:paraId="2A26E544" w14:textId="614DA0EB" w:rsidR="001D2E87" w:rsidRPr="00BF5B7F" w:rsidRDefault="001D2E87" w:rsidP="00BF5B7F">
      <w:pPr>
        <w:widowControl w:val="0"/>
        <w:contextualSpacing/>
        <w:rPr>
          <w:rFonts w:eastAsia="Calibri"/>
          <w:color w:val="595959"/>
          <w:sz w:val="24"/>
        </w:rPr>
      </w:pPr>
      <w:r w:rsidRPr="00BF5B7F">
        <w:rPr>
          <w:sz w:val="24"/>
        </w:rPr>
        <w:t>The Estate Strategy is a prerequisite to ensuring that these requirements are met in an effective and sustainable manner.</w:t>
      </w:r>
    </w:p>
    <w:p w14:paraId="31363433" w14:textId="021E6598" w:rsidR="001D2E87" w:rsidRPr="00BF5B7F" w:rsidRDefault="001D2E87" w:rsidP="00BF5B7F">
      <w:pPr>
        <w:contextualSpacing/>
        <w:rPr>
          <w:rFonts w:eastAsia="Calibri"/>
          <w:sz w:val="24"/>
        </w:rPr>
      </w:pPr>
      <w:r w:rsidRPr="00BF5B7F">
        <w:rPr>
          <w:rFonts w:eastAsia="Calibri"/>
          <w:sz w:val="24"/>
        </w:rPr>
        <w:t xml:space="preserve">For </w:t>
      </w:r>
      <w:proofErr w:type="gramStart"/>
      <w:r w:rsidRPr="00BF5B7F">
        <w:rPr>
          <w:rFonts w:eastAsia="Calibri"/>
          <w:sz w:val="24"/>
        </w:rPr>
        <w:t>a number of</w:t>
      </w:r>
      <w:proofErr w:type="gramEnd"/>
      <w:r w:rsidRPr="00BF5B7F">
        <w:rPr>
          <w:rFonts w:eastAsia="Calibri"/>
          <w:sz w:val="24"/>
        </w:rPr>
        <w:t xml:space="preserve"> </w:t>
      </w:r>
      <w:r w:rsidR="002D27B6" w:rsidRPr="00BF5B7F">
        <w:rPr>
          <w:rFonts w:eastAsia="Calibri"/>
          <w:sz w:val="24"/>
        </w:rPr>
        <w:t>years,</w:t>
      </w:r>
      <w:r w:rsidRPr="00BF5B7F">
        <w:rPr>
          <w:rFonts w:eastAsia="Calibri"/>
          <w:sz w:val="24"/>
        </w:rPr>
        <w:t xml:space="preserve"> the Government’s overall aim for healthcare has been to improve the health and wellbeing of the population by: </w:t>
      </w:r>
    </w:p>
    <w:p w14:paraId="077D61D8"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Tackling the root cause of ill health and cutting health inequalities</w:t>
      </w:r>
    </w:p>
    <w:p w14:paraId="701F62B9"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Breaking down the barriers and focusing services on people’s needs</w:t>
      </w:r>
    </w:p>
    <w:p w14:paraId="7F1B4971"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Making services more efficient and more convenient</w:t>
      </w:r>
    </w:p>
    <w:p w14:paraId="3122B37F" w14:textId="77777777" w:rsidR="00BF5B7F" w:rsidRDefault="00BF5B7F" w:rsidP="00BF5B7F">
      <w:pPr>
        <w:contextualSpacing/>
        <w:rPr>
          <w:sz w:val="24"/>
        </w:rPr>
      </w:pPr>
    </w:p>
    <w:p w14:paraId="6C905EA9" w14:textId="77777777" w:rsidR="00BF5B7F" w:rsidRDefault="00BF5B7F" w:rsidP="00BF5B7F">
      <w:pPr>
        <w:contextualSpacing/>
        <w:rPr>
          <w:sz w:val="24"/>
        </w:rPr>
      </w:pPr>
    </w:p>
    <w:p w14:paraId="54DD662A" w14:textId="1B4CCE3B" w:rsidR="001D2E87" w:rsidRPr="00BF5B7F" w:rsidRDefault="001D2E87" w:rsidP="00BF5B7F">
      <w:pPr>
        <w:contextualSpacing/>
        <w:rPr>
          <w:sz w:val="24"/>
        </w:rPr>
      </w:pPr>
      <w:r w:rsidRPr="00BF5B7F">
        <w:rPr>
          <w:sz w:val="24"/>
        </w:rPr>
        <w:t xml:space="preserve">Services should therefore be delivered in well-designed environments suitable for the needs of patients and staff. </w:t>
      </w:r>
    </w:p>
    <w:p w14:paraId="4CA54BAC" w14:textId="77777777" w:rsidR="001D2E87" w:rsidRPr="00BF5B7F" w:rsidRDefault="001D2E87" w:rsidP="00BF5B7F">
      <w:pPr>
        <w:contextualSpacing/>
        <w:rPr>
          <w:sz w:val="24"/>
        </w:rPr>
      </w:pPr>
      <w:r w:rsidRPr="00BF5B7F">
        <w:rPr>
          <w:noProof/>
          <w:sz w:val="24"/>
          <w:lang w:eastAsia="en-GB"/>
        </w:rPr>
        <w:drawing>
          <wp:anchor distT="0" distB="0" distL="114300" distR="114300" simplePos="0" relativeHeight="251661312" behindDoc="1" locked="0" layoutInCell="1" allowOverlap="1" wp14:anchorId="0D1F91CB" wp14:editId="03E28F75">
            <wp:simplePos x="0" y="0"/>
            <wp:positionH relativeFrom="margin">
              <wp:posOffset>3137535</wp:posOffset>
            </wp:positionH>
            <wp:positionV relativeFrom="paragraph">
              <wp:posOffset>95250</wp:posOffset>
            </wp:positionV>
            <wp:extent cx="2752725" cy="1276985"/>
            <wp:effectExtent l="0" t="0" r="9525" b="0"/>
            <wp:wrapTight wrapText="bothSides">
              <wp:wrapPolygon edited="0">
                <wp:start x="0" y="0"/>
                <wp:lineTo x="0" y="21267"/>
                <wp:lineTo x="21525" y="21267"/>
                <wp:lineTo x="21525" y="0"/>
                <wp:lineTo x="0" y="0"/>
              </wp:wrapPolygon>
            </wp:wrapTight>
            <wp:docPr id="3404" name="Pictur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2725" cy="1276985"/>
                    </a:xfrm>
                    <a:prstGeom prst="rect">
                      <a:avLst/>
                    </a:prstGeom>
                  </pic:spPr>
                </pic:pic>
              </a:graphicData>
            </a:graphic>
            <wp14:sizeRelH relativeFrom="margin">
              <wp14:pctWidth>0</wp14:pctWidth>
            </wp14:sizeRelH>
            <wp14:sizeRelV relativeFrom="margin">
              <wp14:pctHeight>0</wp14:pctHeight>
            </wp14:sizeRelV>
          </wp:anchor>
        </w:drawing>
      </w:r>
      <w:r w:rsidRPr="00BF5B7F">
        <w:rPr>
          <w:sz w:val="24"/>
        </w:rPr>
        <w:t>The changes in estate that have been successfully delivered over the last 17 years have been achieved by using the overarching estates strategies that were in place at the time to give direction to the key priorities. Not only do buildings impact on patient perception, they can provide a holistic care environment by ensuring good functionality, meeting expectations in terms of privacy and dignity, providing good access for all.</w:t>
      </w:r>
    </w:p>
    <w:p w14:paraId="19534019" w14:textId="77777777" w:rsidR="00BF5B7F" w:rsidRDefault="00BF5B7F" w:rsidP="00BF5B7F">
      <w:pPr>
        <w:contextualSpacing/>
        <w:rPr>
          <w:sz w:val="24"/>
        </w:rPr>
      </w:pPr>
    </w:p>
    <w:p w14:paraId="7C54ED55" w14:textId="191D7649" w:rsidR="001D2E87" w:rsidRPr="00BF5B7F" w:rsidRDefault="001D2E87" w:rsidP="00BF5B7F">
      <w:pPr>
        <w:contextualSpacing/>
        <w:rPr>
          <w:rFonts w:asciiTheme="minorHAnsi" w:hAnsiTheme="minorHAnsi"/>
          <w:sz w:val="24"/>
        </w:rPr>
      </w:pPr>
      <w:r w:rsidRPr="00BF5B7F">
        <w:rPr>
          <w:sz w:val="24"/>
        </w:rPr>
        <w:t xml:space="preserve">The Estate is a significant area of expenditure for the Trust with approximately 15% of annual income being spent on its infrastructure. This is a significant financial commitment, which needs to be managed </w:t>
      </w:r>
      <w:r w:rsidR="002D27B6" w:rsidRPr="00BF5B7F">
        <w:rPr>
          <w:sz w:val="24"/>
        </w:rPr>
        <w:t>effectively,</w:t>
      </w:r>
      <w:r w:rsidRPr="00BF5B7F">
        <w:rPr>
          <w:sz w:val="24"/>
        </w:rPr>
        <w:t xml:space="preserve"> and this underpins the necessity of having an overarching Estate Strategy which sets out to ensure the following:</w:t>
      </w:r>
    </w:p>
    <w:p w14:paraId="6121CCA3"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An assurance that investment identified to ensure the quality of clinical services provided will be supported by a safe, secure and appropriate environment</w:t>
      </w:r>
    </w:p>
    <w:p w14:paraId="68B485AB"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 method of ensuring that Capital investments and rationalisation/expansion reflect service strategies and plans</w:t>
      </w:r>
    </w:p>
    <w:p w14:paraId="7078E602"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 plan for change that enables progress towards goals to be measured</w:t>
      </w:r>
    </w:p>
    <w:p w14:paraId="691CC25A"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 strategic context in which detailed business cases for all capital investment can be developed and evaluated, however funded</w:t>
      </w:r>
    </w:p>
    <w:p w14:paraId="0F58D8A1"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 clear statement by the Trust to the public and staff that it has positive plans to maintain and improve services and facilities</w:t>
      </w:r>
    </w:p>
    <w:p w14:paraId="5E7B5B79"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lastRenderedPageBreak/>
        <w:t>A clear commitment to complying with sustainable development and environmental requirements and initiatives</w:t>
      </w:r>
    </w:p>
    <w:p w14:paraId="3D7119A2" w14:textId="77777777" w:rsidR="001D2E87" w:rsidRPr="00BF5B7F" w:rsidRDefault="001D2E87" w:rsidP="002867BC">
      <w:pPr>
        <w:pStyle w:val="ListParagraph"/>
        <w:widowControl w:val="0"/>
        <w:numPr>
          <w:ilvl w:val="0"/>
          <w:numId w:val="17"/>
        </w:numPr>
        <w:spacing w:before="120"/>
        <w:ind w:right="340"/>
        <w:rPr>
          <w:sz w:val="24"/>
        </w:rPr>
      </w:pPr>
      <w:r w:rsidRPr="00BF5B7F">
        <w:rPr>
          <w:sz w:val="24"/>
        </w:rPr>
        <w:t>An assurance that asset management costs are appropriate, and that future investment is effectively targeted</w:t>
      </w:r>
    </w:p>
    <w:p w14:paraId="36F12C2D" w14:textId="77BF8F91" w:rsidR="001D2E87" w:rsidRPr="00BF5B7F" w:rsidRDefault="001D2E87" w:rsidP="002867BC">
      <w:pPr>
        <w:pStyle w:val="ListParagraph"/>
        <w:widowControl w:val="0"/>
        <w:numPr>
          <w:ilvl w:val="0"/>
          <w:numId w:val="17"/>
        </w:numPr>
        <w:spacing w:before="120"/>
        <w:ind w:right="340"/>
        <w:rPr>
          <w:sz w:val="24"/>
        </w:rPr>
      </w:pPr>
      <w:r w:rsidRPr="00BF5B7F">
        <w:rPr>
          <w:sz w:val="24"/>
        </w:rPr>
        <w:t xml:space="preserve">Assurance that risks are </w:t>
      </w:r>
      <w:r w:rsidR="002D27B6" w:rsidRPr="00BF5B7F">
        <w:rPr>
          <w:sz w:val="24"/>
        </w:rPr>
        <w:t>controlled,</w:t>
      </w:r>
      <w:r w:rsidRPr="00BF5B7F">
        <w:rPr>
          <w:sz w:val="24"/>
        </w:rPr>
        <w:t xml:space="preserve"> and that investment is properly targeted to reduce risk</w:t>
      </w:r>
    </w:p>
    <w:p w14:paraId="5D388965"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A clear commitment that surplus assets are and will be identified over time, and will be either disposed of or used for future service needs</w:t>
      </w:r>
    </w:p>
    <w:p w14:paraId="7BFACEB8" w14:textId="77777777" w:rsidR="00BF5B7F" w:rsidRDefault="00BF5B7F" w:rsidP="00BF5B7F">
      <w:pPr>
        <w:contextualSpacing/>
        <w:rPr>
          <w:sz w:val="24"/>
        </w:rPr>
      </w:pPr>
    </w:p>
    <w:p w14:paraId="5CFBD9BB" w14:textId="29CEC225" w:rsidR="001D2E87" w:rsidRPr="00BF5B7F" w:rsidRDefault="001D2E87" w:rsidP="00BF5B7F">
      <w:pPr>
        <w:contextualSpacing/>
        <w:rPr>
          <w:rFonts w:asciiTheme="minorHAnsi" w:hAnsiTheme="minorHAnsi"/>
          <w:sz w:val="24"/>
        </w:rPr>
      </w:pPr>
      <w:r w:rsidRPr="00BF5B7F">
        <w:rPr>
          <w:rFonts w:eastAsia="Arial"/>
          <w:b/>
          <w:bCs/>
          <w:noProof/>
          <w:color w:val="4F81BD"/>
          <w:sz w:val="24"/>
          <w:lang w:eastAsia="en-GB"/>
        </w:rPr>
        <mc:AlternateContent>
          <mc:Choice Requires="wps">
            <w:drawing>
              <wp:anchor distT="91440" distB="91440" distL="114300" distR="114300" simplePos="0" relativeHeight="251662336" behindDoc="1" locked="0" layoutInCell="1" allowOverlap="1" wp14:anchorId="2BCD9144" wp14:editId="084ABA9E">
                <wp:simplePos x="0" y="0"/>
                <wp:positionH relativeFrom="page">
                  <wp:posOffset>3620800</wp:posOffset>
                </wp:positionH>
                <wp:positionV relativeFrom="paragraph">
                  <wp:posOffset>205175</wp:posOffset>
                </wp:positionV>
                <wp:extent cx="3474720" cy="1403985"/>
                <wp:effectExtent l="0" t="0" r="0" b="0"/>
                <wp:wrapTight wrapText="bothSides">
                  <wp:wrapPolygon edited="0">
                    <wp:start x="345" y="0"/>
                    <wp:lineTo x="345" y="20957"/>
                    <wp:lineTo x="21148" y="20957"/>
                    <wp:lineTo x="21148" y="0"/>
                    <wp:lineTo x="345"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3398348C" w14:textId="03C58206" w:rsidR="001D2E87" w:rsidRDefault="001D2E87">
                            <w:pPr>
                              <w:pBdr>
                                <w:top w:val="single" w:sz="24" w:space="8" w:color="4F81BD" w:themeColor="accent1"/>
                                <w:bottom w:val="single" w:sz="24" w:space="8" w:color="4F81BD" w:themeColor="accent1"/>
                              </w:pBdr>
                              <w:rPr>
                                <w:i/>
                                <w:iCs/>
                                <w:color w:val="4F81BD" w:themeColor="accent1"/>
                              </w:rPr>
                            </w:pPr>
                            <w:r w:rsidRPr="003C4F4D">
                              <w:rPr>
                                <w:i/>
                                <w:iCs/>
                                <w:color w:val="4F81BD" w:themeColor="accent1"/>
                              </w:rPr>
                              <w:t xml:space="preserve">“The provision of safe, </w:t>
                            </w:r>
                            <w:r w:rsidR="00084AD8" w:rsidRPr="003C4F4D">
                              <w:rPr>
                                <w:i/>
                                <w:iCs/>
                                <w:color w:val="4F81BD" w:themeColor="accent1"/>
                              </w:rPr>
                              <w:t>high-quality</w:t>
                            </w:r>
                            <w:r w:rsidRPr="003C4F4D">
                              <w:rPr>
                                <w:i/>
                                <w:iCs/>
                                <w:color w:val="4F81BD" w:themeColor="accent1"/>
                              </w:rPr>
                              <w:t xml:space="preserve"> care to patients and the public is the primary concern of any health provider and NHS employee. Carter 2018”</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2BCD9144" id="_x0000_t202" coordsize="21600,21600" o:spt="202" path="m,l,21600r21600,l21600,xe">
                <v:stroke joinstyle="miter"/>
                <v:path gradientshapeok="t" o:connecttype="rect"/>
              </v:shapetype>
              <v:shape id="Text Box 2" o:spid="_x0000_s1026" type="#_x0000_t202" style="position:absolute;margin-left:285.1pt;margin-top:16.15pt;width:273.6pt;height:110.55pt;z-index:-251654144;visibility:visible;mso-wrap-style:square;mso-width-percent:585;mso-height-percent:200;mso-wrap-distance-left:9pt;mso-wrap-distance-top:7.2pt;mso-wrap-distance-right:9pt;mso-wrap-distance-bottom:7.2pt;mso-position-horizontal:absolute;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" filled="f" stroked="f">
                <v:textbox style="mso-fit-shape-to-text:t">
                  <w:txbxContent>
                    <w:p w14:paraId="3398348C" w14:textId="03C58206" w:rsidR="001D2E87" w:rsidRDefault="001D2E87">
                      <w:pPr>
                        <w:pBdr>
                          <w:top w:val="single" w:sz="24" w:space="8" w:color="4F81BD" w:themeColor="accent1"/>
                          <w:bottom w:val="single" w:sz="24" w:space="8" w:color="4F81BD" w:themeColor="accent1"/>
                        </w:pBdr>
                        <w:rPr>
                          <w:i/>
                          <w:iCs/>
                          <w:color w:val="4F81BD" w:themeColor="accent1"/>
                        </w:rPr>
                      </w:pPr>
                      <w:r w:rsidRPr="003C4F4D">
                        <w:rPr>
                          <w:i/>
                          <w:iCs/>
                          <w:color w:val="4F81BD" w:themeColor="accent1"/>
                        </w:rPr>
                        <w:t xml:space="preserve">“The provision of safe, </w:t>
                      </w:r>
                      <w:r w:rsidR="00084AD8" w:rsidRPr="003C4F4D">
                        <w:rPr>
                          <w:i/>
                          <w:iCs/>
                          <w:color w:val="4F81BD" w:themeColor="accent1"/>
                        </w:rPr>
                        <w:t>high-quality</w:t>
                      </w:r>
                      <w:r w:rsidRPr="003C4F4D">
                        <w:rPr>
                          <w:i/>
                          <w:iCs/>
                          <w:color w:val="4F81BD" w:themeColor="accent1"/>
                        </w:rPr>
                        <w:t xml:space="preserve"> care to patients and the public is the primary concern of any health provider and NHS employee. Carter 2018”</w:t>
                      </w:r>
                    </w:p>
                  </w:txbxContent>
                </v:textbox>
                <w10:wrap type="tight" anchorx="page"/>
              </v:shape>
            </w:pict>
          </mc:Fallback>
        </mc:AlternateContent>
      </w:r>
      <w:r w:rsidRPr="00BF5B7F">
        <w:rPr>
          <w:sz w:val="24"/>
        </w:rPr>
        <w:t>An Estate Strategy is the starting point for the implementation of performance management measures to improve the performance and utilisation of the Estate. In this, consideration will need to be given to procurement and disposal issues as well as operational issues.</w:t>
      </w:r>
    </w:p>
    <w:p w14:paraId="30949AA5" w14:textId="77777777" w:rsidR="00BF5B7F" w:rsidRDefault="00BF5B7F" w:rsidP="00BF5B7F">
      <w:pPr>
        <w:contextualSpacing/>
        <w:rPr>
          <w:sz w:val="24"/>
        </w:rPr>
      </w:pPr>
    </w:p>
    <w:p w14:paraId="44DCC64E" w14:textId="5FD95B68" w:rsidR="001D2E87" w:rsidRPr="00BF5B7F" w:rsidRDefault="001D2E87" w:rsidP="00BF5B7F">
      <w:pPr>
        <w:contextualSpacing/>
        <w:rPr>
          <w:rFonts w:asciiTheme="minorHAnsi" w:hAnsiTheme="minorHAnsi"/>
          <w:sz w:val="24"/>
        </w:rPr>
      </w:pPr>
      <w:r w:rsidRPr="00BF5B7F">
        <w:rPr>
          <w:sz w:val="24"/>
        </w:rPr>
        <w:t xml:space="preserve">The development of an Estate Strategy is a complex process that must reflect service need and the foreseeable changes in pattern of service delivery. However, due account needs to be taken of the existing asset base and infrastructure which cannot be adapted or replaced overnight. </w:t>
      </w:r>
    </w:p>
    <w:p w14:paraId="4A670DD2" w14:textId="77777777" w:rsidR="00BF5B7F" w:rsidRDefault="00BF5B7F" w:rsidP="00BF5B7F">
      <w:pPr>
        <w:contextualSpacing/>
        <w:rPr>
          <w:sz w:val="24"/>
        </w:rPr>
      </w:pPr>
    </w:p>
    <w:p w14:paraId="64B08356" w14:textId="1849B14A" w:rsidR="001D2E87" w:rsidRPr="00BF5B7F" w:rsidRDefault="001D2E87" w:rsidP="00BF5B7F">
      <w:pPr>
        <w:contextualSpacing/>
        <w:rPr>
          <w:sz w:val="24"/>
        </w:rPr>
      </w:pPr>
      <w:r w:rsidRPr="00BF5B7F">
        <w:rPr>
          <w:sz w:val="24"/>
        </w:rPr>
        <w:t>The longer-term plans for services and the Estate should:</w:t>
      </w:r>
    </w:p>
    <w:p w14:paraId="62AB74C0"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Meet the needs of the population</w:t>
      </w:r>
    </w:p>
    <w:p w14:paraId="66AAC2EA"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Make the best use of available resources</w:t>
      </w:r>
    </w:p>
    <w:p w14:paraId="40046AB1"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Be technically achievable</w:t>
      </w:r>
    </w:p>
    <w:p w14:paraId="047DE06C"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Be financially affordable</w:t>
      </w:r>
    </w:p>
    <w:p w14:paraId="6C1733B9" w14:textId="77777777" w:rsidR="001D2E87" w:rsidRPr="00BF5B7F" w:rsidRDefault="001D2E87" w:rsidP="002867BC">
      <w:pPr>
        <w:pStyle w:val="ListParagraph"/>
        <w:widowControl w:val="0"/>
        <w:numPr>
          <w:ilvl w:val="0"/>
          <w:numId w:val="17"/>
        </w:numPr>
        <w:spacing w:before="120"/>
        <w:ind w:right="340"/>
        <w:jc w:val="both"/>
        <w:rPr>
          <w:sz w:val="24"/>
        </w:rPr>
      </w:pPr>
      <w:r w:rsidRPr="00BF5B7F">
        <w:rPr>
          <w:sz w:val="24"/>
        </w:rPr>
        <w:t>Be fit for purpose</w:t>
      </w:r>
    </w:p>
    <w:p w14:paraId="278F9703" w14:textId="77777777" w:rsidR="00BF5B7F" w:rsidRDefault="00BF5B7F" w:rsidP="00BF5B7F">
      <w:pPr>
        <w:contextualSpacing/>
        <w:rPr>
          <w:sz w:val="24"/>
        </w:rPr>
      </w:pPr>
    </w:p>
    <w:p w14:paraId="51282BA7" w14:textId="06DEAC95" w:rsidR="001D2E87" w:rsidRPr="00BF5B7F" w:rsidRDefault="001D2E87" w:rsidP="00BF5B7F">
      <w:pPr>
        <w:contextualSpacing/>
        <w:rPr>
          <w:sz w:val="24"/>
        </w:rPr>
      </w:pPr>
      <w:r w:rsidRPr="00BF5B7F">
        <w:rPr>
          <w:sz w:val="24"/>
        </w:rPr>
        <w:t>This Estate Strategy has been developed to respond to the vision, values, quality goals and strategic ambitions of the Trust as a whole.  This is to ensure that the buildings and infrastructure are managed and developed in such a way as to best support the Trust’s clinical service delivery.</w:t>
      </w:r>
    </w:p>
    <w:p w14:paraId="0E080A34" w14:textId="77777777" w:rsidR="001D2E87" w:rsidRPr="00AA02C5" w:rsidRDefault="001D2E87" w:rsidP="00BF5B7F">
      <w:pPr>
        <w:pStyle w:val="Heading1"/>
      </w:pPr>
      <w:r w:rsidRPr="00AA02C5">
        <w:t>3.0</w:t>
      </w:r>
      <w:r w:rsidRPr="00AA02C5">
        <w:tab/>
        <w:t>Where Are We Now?</w:t>
      </w:r>
    </w:p>
    <w:p w14:paraId="657C23F6" w14:textId="77777777" w:rsidR="001D2E87" w:rsidRPr="00AA02C5" w:rsidRDefault="001D2E87" w:rsidP="00BF5B7F">
      <w:pPr>
        <w:pStyle w:val="Heading2"/>
        <w:ind w:left="0"/>
      </w:pPr>
      <w:r w:rsidRPr="00AA02C5">
        <w:t>3.1</w:t>
      </w:r>
      <w:r w:rsidRPr="00AA02C5">
        <w:tab/>
        <w:t>Introduction</w:t>
      </w:r>
      <w:r w:rsidRPr="00AA02C5">
        <w:tab/>
      </w:r>
    </w:p>
    <w:p w14:paraId="351B79D3" w14:textId="77777777" w:rsidR="00BF5B7F" w:rsidRDefault="00BF5B7F" w:rsidP="005A12F5"/>
    <w:p w14:paraId="667C819C" w14:textId="4E2679CD" w:rsidR="001D2E87" w:rsidRPr="00BF5B7F" w:rsidRDefault="001D2E87" w:rsidP="005A12F5">
      <w:pPr>
        <w:rPr>
          <w:sz w:val="24"/>
        </w:rPr>
      </w:pPr>
      <w:r w:rsidRPr="00BF5B7F">
        <w:rPr>
          <w:sz w:val="24"/>
        </w:rPr>
        <w:t>This section provides an overview as to “where are we now” in terms of the clinical services provided by the Trust and an assessment of the current estate. To support this, information including an overview of the services provided, progress made on actions identified in the last Estates Strategy, a detailed assessment of the current estate and a summary identifying future estate development needs will be provided.</w:t>
      </w:r>
    </w:p>
    <w:p w14:paraId="5185376E" w14:textId="77777777" w:rsidR="001D2E87" w:rsidRPr="00BF5B7F" w:rsidRDefault="001D2E87" w:rsidP="00BF5B7F">
      <w:pPr>
        <w:pStyle w:val="Heading2"/>
        <w:ind w:left="0"/>
      </w:pPr>
      <w:r w:rsidRPr="00BF5B7F">
        <w:t>3.2</w:t>
      </w:r>
      <w:r w:rsidRPr="00BF5B7F">
        <w:tab/>
        <w:t>A Trust Overview</w:t>
      </w:r>
    </w:p>
    <w:p w14:paraId="7EAC572A" w14:textId="77777777" w:rsidR="001D2E87" w:rsidRPr="00C81228" w:rsidRDefault="001D2E87" w:rsidP="00BF5B7F">
      <w:pPr>
        <w:pStyle w:val="Heading4"/>
        <w:ind w:left="0" w:firstLine="0"/>
        <w:rPr>
          <w:rFonts w:ascii="Arial" w:hAnsi="Arial" w:cs="Arial"/>
          <w:color w:val="0070C0"/>
          <w:sz w:val="24"/>
        </w:rPr>
      </w:pPr>
      <w:r w:rsidRPr="00C81228">
        <w:rPr>
          <w:rFonts w:ascii="Arial" w:hAnsi="Arial" w:cs="Arial"/>
          <w:noProof w:val="0"/>
          <w:color w:val="0070C0"/>
          <w:sz w:val="24"/>
          <w:lang w:eastAsia="en-US"/>
        </w:rPr>
        <w:t>3.2.1</w:t>
      </w:r>
      <w:r w:rsidRPr="00C81228">
        <w:rPr>
          <w:rFonts w:ascii="Arial" w:hAnsi="Arial" w:cs="Arial"/>
          <w:noProof w:val="0"/>
          <w:color w:val="0070C0"/>
          <w:sz w:val="24"/>
          <w:lang w:eastAsia="en-US"/>
        </w:rPr>
        <w:tab/>
        <w:t>Services</w:t>
      </w:r>
    </w:p>
    <w:p w14:paraId="3498EF27" w14:textId="3D910E75" w:rsidR="001D2E87" w:rsidRDefault="001D2E87" w:rsidP="005A12F5">
      <w:pPr>
        <w:rPr>
          <w:sz w:val="24"/>
        </w:rPr>
      </w:pPr>
      <w:r w:rsidRPr="00BF5B7F">
        <w:rPr>
          <w:sz w:val="24"/>
        </w:rPr>
        <w:t xml:space="preserve">Cumbria, Northumberland, Tyne and Wear NHS Trust (CNTW) was originally established on 1st April 2006 </w:t>
      </w:r>
      <w:proofErr w:type="gramStart"/>
      <w:r w:rsidRPr="00BF5B7F">
        <w:rPr>
          <w:sz w:val="24"/>
        </w:rPr>
        <w:t>as  following</w:t>
      </w:r>
      <w:proofErr w:type="gramEnd"/>
      <w:r w:rsidRPr="00BF5B7F">
        <w:rPr>
          <w:sz w:val="24"/>
        </w:rPr>
        <w:t xml:space="preserve"> the merger of the former Newcastle, North Tyneside and Northumberland Mental Health NHS Trust; South of Tyne and Wearside Mental Health NHS Trust; and Northgate and Prudhoe NHS Trust, a specialist disability Trust. The Trust became an NHS Foundation Trust on the 1st </w:t>
      </w:r>
      <w:r w:rsidR="002D27B6" w:rsidRPr="00BF5B7F">
        <w:rPr>
          <w:sz w:val="24"/>
        </w:rPr>
        <w:t>December</w:t>
      </w:r>
      <w:r w:rsidRPr="00BF5B7F">
        <w:rPr>
          <w:sz w:val="24"/>
        </w:rPr>
        <w:t xml:space="preserve"> 2009. The Trust provides a range of assessment, treatment, recovery / rehabilitation and continuing care services. It also provides some specialist national services and a range </w:t>
      </w:r>
      <w:r w:rsidRPr="00BF5B7F">
        <w:rPr>
          <w:sz w:val="24"/>
        </w:rPr>
        <w:lastRenderedPageBreak/>
        <w:t xml:space="preserve">of specialist regional services for the </w:t>
      </w:r>
      <w:proofErr w:type="gramStart"/>
      <w:r w:rsidRPr="00BF5B7F">
        <w:rPr>
          <w:sz w:val="24"/>
        </w:rPr>
        <w:t>North East</w:t>
      </w:r>
      <w:proofErr w:type="gramEnd"/>
      <w:r w:rsidRPr="00BF5B7F">
        <w:rPr>
          <w:sz w:val="24"/>
        </w:rPr>
        <w:t xml:space="preserve"> of England. The geographical coverage is illustrated on the map below with the Trust providing services across Northumberland, North Cumbria and the Tyne and Wear conurbation, a service at Acklam Road in Middlesborough is also operated by the Trust.</w:t>
      </w:r>
    </w:p>
    <w:p w14:paraId="426B2C1A" w14:textId="77777777" w:rsidR="0009344F" w:rsidRDefault="0009344F" w:rsidP="005A12F5">
      <w:pPr>
        <w:rPr>
          <w:sz w:val="24"/>
        </w:rPr>
      </w:pPr>
    </w:p>
    <w:p w14:paraId="6A1B7F9C" w14:textId="7FFDB08E" w:rsidR="001D2E87" w:rsidRDefault="001D2E87" w:rsidP="005A12F5">
      <w:r w:rsidRPr="00BF5B7F">
        <w:rPr>
          <w:noProof/>
          <w:sz w:val="24"/>
        </w:rPr>
        <w:drawing>
          <wp:anchor distT="0" distB="0" distL="114300" distR="114300" simplePos="0" relativeHeight="251674624" behindDoc="0" locked="0" layoutInCell="1" allowOverlap="1" wp14:anchorId="55190554" wp14:editId="3BEE4BD9">
            <wp:simplePos x="0" y="0"/>
            <wp:positionH relativeFrom="margin">
              <wp:posOffset>374650</wp:posOffset>
            </wp:positionH>
            <wp:positionV relativeFrom="paragraph">
              <wp:posOffset>955040</wp:posOffset>
            </wp:positionV>
            <wp:extent cx="5624195" cy="326517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624195" cy="3265170"/>
                    </a:xfrm>
                    <a:prstGeom prst="rect">
                      <a:avLst/>
                    </a:prstGeom>
                  </pic:spPr>
                </pic:pic>
              </a:graphicData>
            </a:graphic>
            <wp14:sizeRelH relativeFrom="margin">
              <wp14:pctWidth>0</wp14:pctWidth>
            </wp14:sizeRelH>
            <wp14:sizeRelV relativeFrom="margin">
              <wp14:pctHeight>0</wp14:pctHeight>
            </wp14:sizeRelV>
          </wp:anchor>
        </w:drawing>
      </w:r>
      <w:r w:rsidRPr="00BF5B7F">
        <w:rPr>
          <w:sz w:val="24"/>
        </w:rPr>
        <w:t>The clinical teams are organised into four geographically located Clinical Business Units – North, Central and South, each covering in-patient services, community and access services</w:t>
      </w:r>
      <w:r>
        <w:t xml:space="preserve"> </w:t>
      </w:r>
      <w:r w:rsidRPr="000861A3">
        <w:t>with additional specialist services distributed across the groups.</w:t>
      </w:r>
      <w:r>
        <w:t xml:space="preserve"> </w:t>
      </w:r>
      <w:r w:rsidR="0009344F">
        <w:t>Figure</w:t>
      </w:r>
      <w:r w:rsidR="00C620DA">
        <w:t xml:space="preserve"> 3</w:t>
      </w:r>
      <w:r>
        <w:t xml:space="preserve"> below shows how the CBU’s are organised and the services they run.</w:t>
      </w:r>
    </w:p>
    <w:p w14:paraId="39D5A694" w14:textId="77777777" w:rsidR="00BF5B7F" w:rsidRDefault="00BF5B7F" w:rsidP="005A12F5"/>
    <w:p w14:paraId="3BFB78B6" w14:textId="77777777" w:rsidR="001D2E87" w:rsidRDefault="001D2E87" w:rsidP="00BE4E5A">
      <w:pPr>
        <w:jc w:val="center"/>
      </w:pPr>
      <w:r>
        <w:t>Figure 3 CBU Structure</w:t>
      </w:r>
    </w:p>
    <w:p w14:paraId="253E0F20" w14:textId="77777777" w:rsidR="00BF5B7F" w:rsidRDefault="00BF5B7F" w:rsidP="00BE4E5A"/>
    <w:p w14:paraId="3952AD51" w14:textId="546441D3" w:rsidR="001D2E87" w:rsidRPr="00BF5B7F" w:rsidRDefault="001D2E87" w:rsidP="00BF5B7F">
      <w:pPr>
        <w:contextualSpacing/>
        <w:rPr>
          <w:sz w:val="24"/>
        </w:rPr>
      </w:pPr>
      <w:proofErr w:type="gramStart"/>
      <w:r w:rsidRPr="00BF5B7F">
        <w:rPr>
          <w:sz w:val="24"/>
        </w:rPr>
        <w:t>The majority of</w:t>
      </w:r>
      <w:proofErr w:type="gramEnd"/>
      <w:r w:rsidRPr="00BF5B7F">
        <w:rPr>
          <w:sz w:val="24"/>
        </w:rPr>
        <w:t xml:space="preserve"> corporate services are based at St Nicholas Hospital, </w:t>
      </w:r>
      <w:proofErr w:type="gramStart"/>
      <w:r w:rsidRPr="00BF5B7F">
        <w:rPr>
          <w:sz w:val="24"/>
        </w:rPr>
        <w:t>including  finance</w:t>
      </w:r>
      <w:proofErr w:type="gramEnd"/>
      <w:r w:rsidRPr="00BF5B7F">
        <w:rPr>
          <w:sz w:val="24"/>
        </w:rPr>
        <w:t xml:space="preserve">, workforce, informatics, and the executive team. It is also a base for the Trusts subsidiary company - NTW Solutions. </w:t>
      </w:r>
    </w:p>
    <w:p w14:paraId="33CFD60B" w14:textId="77777777" w:rsidR="001D2E87" w:rsidRDefault="001D2E87" w:rsidP="00BF5B7F">
      <w:pPr>
        <w:contextualSpacing/>
        <w:rPr>
          <w:sz w:val="24"/>
        </w:rPr>
      </w:pPr>
      <w:r w:rsidRPr="00BF5B7F">
        <w:rPr>
          <w:sz w:val="24"/>
        </w:rPr>
        <w:t>The following sections give more detail on the specific services delivered by each CBU.</w:t>
      </w:r>
    </w:p>
    <w:p w14:paraId="1549DD7A" w14:textId="77777777" w:rsidR="00DB469D" w:rsidRPr="00BF5B7F" w:rsidRDefault="00DB469D" w:rsidP="00BF5B7F">
      <w:pPr>
        <w:contextualSpacing/>
        <w:rPr>
          <w:sz w:val="24"/>
        </w:rPr>
      </w:pPr>
    </w:p>
    <w:p w14:paraId="475320C3" w14:textId="77777777" w:rsidR="001D2E87" w:rsidRPr="00C81228" w:rsidRDefault="001D2E87" w:rsidP="00BF5B7F">
      <w:pPr>
        <w:contextualSpacing/>
        <w:rPr>
          <w:rFonts w:eastAsia="Arial"/>
          <w:b/>
          <w:bCs/>
          <w:color w:val="0070C0"/>
          <w:sz w:val="24"/>
        </w:rPr>
      </w:pPr>
      <w:r w:rsidRPr="00C81228">
        <w:rPr>
          <w:rFonts w:eastAsia="Arial"/>
          <w:b/>
          <w:bCs/>
          <w:color w:val="0070C0"/>
          <w:sz w:val="24"/>
        </w:rPr>
        <w:t>Specialist Children and Young Peoples Service CBU</w:t>
      </w:r>
    </w:p>
    <w:p w14:paraId="2C4E9C02" w14:textId="77777777" w:rsidR="00C81228" w:rsidRPr="00BF5B7F" w:rsidRDefault="00C81228" w:rsidP="00BF5B7F">
      <w:pPr>
        <w:contextualSpacing/>
        <w:rPr>
          <w:rFonts w:eastAsia="Arial"/>
          <w:b/>
          <w:bCs/>
          <w:color w:val="1F497D" w:themeColor="text2"/>
          <w:sz w:val="24"/>
        </w:rPr>
      </w:pPr>
    </w:p>
    <w:p w14:paraId="5B1CBE97" w14:textId="77777777" w:rsidR="001D2E87" w:rsidRPr="00BF5B7F" w:rsidRDefault="001D2E87" w:rsidP="00BF5B7F">
      <w:pPr>
        <w:contextualSpacing/>
        <w:rPr>
          <w:sz w:val="24"/>
        </w:rPr>
      </w:pPr>
      <w:r w:rsidRPr="00BF5B7F">
        <w:rPr>
          <w:sz w:val="24"/>
        </w:rPr>
        <w:t>The services which support Children and Young People include assessment, treatment and ongoing support for those with a range of mental health problems and learning disabilities aged from 0 to 18 years.</w:t>
      </w:r>
    </w:p>
    <w:p w14:paraId="78C89A51" w14:textId="77777777" w:rsidR="001D2E87" w:rsidRPr="00BF5B7F" w:rsidRDefault="001D2E87" w:rsidP="00BF5B7F">
      <w:pPr>
        <w:contextualSpacing/>
        <w:rPr>
          <w:sz w:val="24"/>
        </w:rPr>
      </w:pPr>
      <w:r w:rsidRPr="00BF5B7F">
        <w:rPr>
          <w:sz w:val="24"/>
        </w:rPr>
        <w:t xml:space="preserve">The Trust’s services are provided on a community basis (tier 3) and on a specialist basis (tier 4) to all </w:t>
      </w:r>
      <w:proofErr w:type="gramStart"/>
      <w:r w:rsidRPr="00BF5B7F">
        <w:rPr>
          <w:sz w:val="24"/>
        </w:rPr>
        <w:t>CCG’s</w:t>
      </w:r>
      <w:proofErr w:type="gramEnd"/>
      <w:r w:rsidRPr="00BF5B7F">
        <w:rPr>
          <w:sz w:val="24"/>
        </w:rPr>
        <w:t xml:space="preserve"> within the region and to others across the country on a cost per case basis. The tier 4 provision involves working with children and young people who have highly specific and complex issues requiring intensive outpatient, outreach, day patients and inpatient care. </w:t>
      </w:r>
    </w:p>
    <w:p w14:paraId="33CFD583" w14:textId="77777777" w:rsidR="00DB469D" w:rsidRDefault="00DB469D" w:rsidP="00BF5B7F">
      <w:pPr>
        <w:contextualSpacing/>
        <w:rPr>
          <w:sz w:val="24"/>
        </w:rPr>
      </w:pPr>
    </w:p>
    <w:p w14:paraId="42D5121B" w14:textId="4DC258A7" w:rsidR="001D2E87" w:rsidRPr="00BF5B7F" w:rsidRDefault="001D2E87" w:rsidP="00BF5B7F">
      <w:pPr>
        <w:contextualSpacing/>
        <w:rPr>
          <w:sz w:val="24"/>
        </w:rPr>
      </w:pPr>
      <w:r w:rsidRPr="00BF5B7F">
        <w:rPr>
          <w:sz w:val="24"/>
        </w:rPr>
        <w:t xml:space="preserve">The Trust’s services also include medium and low secure services for those children and young people who have mental health problems and learning disabilities who are in contact with the criminal justice system or who display serious offending behaviour. </w:t>
      </w:r>
    </w:p>
    <w:p w14:paraId="0324793E" w14:textId="77777777" w:rsidR="001D2E87" w:rsidRPr="00BF5B7F" w:rsidRDefault="001D2E87" w:rsidP="00BF5B7F">
      <w:pPr>
        <w:contextualSpacing/>
        <w:rPr>
          <w:sz w:val="24"/>
        </w:rPr>
      </w:pPr>
      <w:r w:rsidRPr="00BF5B7F">
        <w:rPr>
          <w:sz w:val="24"/>
        </w:rPr>
        <w:t>Forensic provision includes the Alnwood and Lennox Units at St Nicholas Hospital which are commissioned via the National Commissioning Group. The Lennox Unit is the only NHS service in the country to offer care to adolescent men with a learning disability in a medium secure environment.</w:t>
      </w:r>
    </w:p>
    <w:p w14:paraId="1F82F575" w14:textId="77777777" w:rsidR="00BF5B7F" w:rsidRDefault="00BF5B7F" w:rsidP="00BF5B7F">
      <w:pPr>
        <w:ind w:left="720"/>
        <w:contextualSpacing/>
        <w:rPr>
          <w:rFonts w:eastAsia="Arial"/>
          <w:b/>
          <w:bCs/>
          <w:color w:val="1F497D" w:themeColor="text2"/>
          <w:sz w:val="24"/>
        </w:rPr>
      </w:pPr>
    </w:p>
    <w:p w14:paraId="294BF46D" w14:textId="74C75E8B" w:rsidR="001D2E87" w:rsidRPr="00C81228" w:rsidRDefault="001D2E87" w:rsidP="00BF5B7F">
      <w:pPr>
        <w:contextualSpacing/>
        <w:rPr>
          <w:rFonts w:eastAsia="Arial"/>
          <w:b/>
          <w:bCs/>
          <w:color w:val="0070C0"/>
          <w:sz w:val="24"/>
        </w:rPr>
      </w:pPr>
      <w:r w:rsidRPr="00C81228">
        <w:rPr>
          <w:rFonts w:eastAsia="Arial"/>
          <w:b/>
          <w:bCs/>
          <w:color w:val="0070C0"/>
          <w:sz w:val="24"/>
        </w:rPr>
        <w:lastRenderedPageBreak/>
        <w:t>Specialist Adult Services- Secure Care and Neurological Services</w:t>
      </w:r>
    </w:p>
    <w:p w14:paraId="164FDA6F" w14:textId="77777777" w:rsidR="00C81228" w:rsidRPr="00BF5B7F" w:rsidRDefault="00C81228" w:rsidP="00BF5B7F">
      <w:pPr>
        <w:contextualSpacing/>
        <w:rPr>
          <w:rFonts w:eastAsia="Arial"/>
          <w:b/>
          <w:bCs/>
          <w:color w:val="1F497D" w:themeColor="text2"/>
          <w:sz w:val="24"/>
        </w:rPr>
      </w:pPr>
    </w:p>
    <w:p w14:paraId="61ECB637" w14:textId="77777777" w:rsidR="001D2E87" w:rsidRPr="00BF5B7F" w:rsidRDefault="001D2E87" w:rsidP="00BF5B7F">
      <w:pPr>
        <w:contextualSpacing/>
        <w:rPr>
          <w:sz w:val="24"/>
        </w:rPr>
      </w:pPr>
      <w:r w:rsidRPr="00BF5B7F">
        <w:rPr>
          <w:sz w:val="24"/>
        </w:rPr>
        <w:t>Specialist Adult Services predominantly consists of two specialities – Neurological Services and Secure Care Services.</w:t>
      </w:r>
    </w:p>
    <w:p w14:paraId="053EB813" w14:textId="77777777" w:rsidR="00DB469D" w:rsidRDefault="00DB469D" w:rsidP="00BF5B7F">
      <w:pPr>
        <w:contextualSpacing/>
        <w:rPr>
          <w:sz w:val="24"/>
        </w:rPr>
      </w:pPr>
    </w:p>
    <w:p w14:paraId="51174ACC" w14:textId="419B7E07" w:rsidR="001D2E87" w:rsidRPr="00BF5B7F" w:rsidRDefault="001D2E87" w:rsidP="00BF5B7F">
      <w:pPr>
        <w:contextualSpacing/>
        <w:rPr>
          <w:sz w:val="24"/>
        </w:rPr>
      </w:pPr>
      <w:r w:rsidRPr="00BF5B7F">
        <w:rPr>
          <w:sz w:val="24"/>
        </w:rPr>
        <w:t xml:space="preserve">Neurological Services provides a range of assessment, treatment and rehabilitation interventions on an inpatient, outpatient, day hospital and community basis to patients who have mental health and/or physical health needs. </w:t>
      </w:r>
      <w:proofErr w:type="gramStart"/>
      <w:r w:rsidRPr="00BF5B7F">
        <w:rPr>
          <w:sz w:val="24"/>
        </w:rPr>
        <w:t>The majority of</w:t>
      </w:r>
      <w:proofErr w:type="gramEnd"/>
      <w:r w:rsidRPr="00BF5B7F">
        <w:rPr>
          <w:sz w:val="24"/>
        </w:rPr>
        <w:t xml:space="preserve"> the inpatient care is provided from Walkergate Park.</w:t>
      </w:r>
    </w:p>
    <w:p w14:paraId="4EDAF951" w14:textId="77777777" w:rsidR="00DB469D" w:rsidRDefault="00DB469D" w:rsidP="00BF5B7F">
      <w:pPr>
        <w:contextualSpacing/>
        <w:rPr>
          <w:sz w:val="24"/>
        </w:rPr>
      </w:pPr>
    </w:p>
    <w:p w14:paraId="059D66C1" w14:textId="56264DF2" w:rsidR="001D2E87" w:rsidRPr="00BF5B7F" w:rsidRDefault="001D2E87" w:rsidP="00BF5B7F">
      <w:pPr>
        <w:contextualSpacing/>
        <w:rPr>
          <w:sz w:val="24"/>
        </w:rPr>
      </w:pPr>
      <w:r w:rsidRPr="00BF5B7F">
        <w:rPr>
          <w:sz w:val="24"/>
        </w:rPr>
        <w:t xml:space="preserve">The Adult Forensic Services provides a range of assessment, treatment and rehabilitation services at medium and low levels of security. These are supported by </w:t>
      </w:r>
      <w:r w:rsidR="002D27B6" w:rsidRPr="00BF5B7F">
        <w:rPr>
          <w:sz w:val="24"/>
        </w:rPr>
        <w:t>community-based</w:t>
      </w:r>
      <w:r w:rsidRPr="00BF5B7F">
        <w:rPr>
          <w:sz w:val="24"/>
        </w:rPr>
        <w:t xml:space="preserve"> services. The patient group comprises individuals with a range of mental disorders including those with learning disabilities, mental illness and personality disorder, and who have committed serious offences or who are at risk of doing so. </w:t>
      </w:r>
    </w:p>
    <w:p w14:paraId="57C489EA" w14:textId="35FC7DB8" w:rsidR="00CE240B" w:rsidRDefault="001D2E87" w:rsidP="00BF5B7F">
      <w:pPr>
        <w:contextualSpacing/>
      </w:pPr>
      <w:r w:rsidRPr="00BF5B7F">
        <w:rPr>
          <w:sz w:val="24"/>
        </w:rPr>
        <w:t xml:space="preserve">In addition to the Neurological Services and Forensic services, </w:t>
      </w:r>
      <w:r w:rsidR="002D27B6" w:rsidRPr="00BF5B7F">
        <w:rPr>
          <w:sz w:val="24"/>
        </w:rPr>
        <w:t>hospital-based</w:t>
      </w:r>
      <w:r w:rsidRPr="00BF5B7F">
        <w:rPr>
          <w:sz w:val="24"/>
        </w:rPr>
        <w:t xml:space="preserve"> assessment and treatment services are also provided within specialist care services to adults with a learning disability who have been diagnosed with autistic spectrum disorders who require intensive support, as well as </w:t>
      </w:r>
      <w:r w:rsidR="00084AD8" w:rsidRPr="00BF5B7F">
        <w:rPr>
          <w:sz w:val="24"/>
        </w:rPr>
        <w:t>bed-based</w:t>
      </w:r>
      <w:r w:rsidRPr="00BF5B7F">
        <w:rPr>
          <w:sz w:val="24"/>
        </w:rPr>
        <w:t xml:space="preserve"> services for eating and affective</w:t>
      </w:r>
      <w:r>
        <w:t xml:space="preserve"> disorders.</w:t>
      </w:r>
      <w:r w:rsidR="00BF5B7F">
        <w:t xml:space="preserve">  </w:t>
      </w:r>
    </w:p>
    <w:p w14:paraId="54C2871A" w14:textId="77777777" w:rsidR="00CE240B" w:rsidRDefault="00CE240B" w:rsidP="00BF5B7F">
      <w:pPr>
        <w:contextualSpacing/>
      </w:pPr>
    </w:p>
    <w:p w14:paraId="5D3B117A" w14:textId="29EBC3C8" w:rsidR="001D2E87" w:rsidRPr="00C81228" w:rsidRDefault="001D2E87" w:rsidP="00BF5B7F">
      <w:pPr>
        <w:contextualSpacing/>
        <w:rPr>
          <w:rFonts w:eastAsia="Arial"/>
          <w:b/>
          <w:bCs/>
          <w:color w:val="0070C0"/>
        </w:rPr>
      </w:pPr>
      <w:r w:rsidRPr="00C81228">
        <w:rPr>
          <w:rFonts w:eastAsia="Arial"/>
          <w:b/>
          <w:bCs/>
          <w:color w:val="0070C0"/>
        </w:rPr>
        <w:t>In-patients</w:t>
      </w:r>
    </w:p>
    <w:p w14:paraId="6DD937DC" w14:textId="77777777" w:rsidR="00C81228" w:rsidRDefault="00C81228" w:rsidP="00BF5B7F">
      <w:pPr>
        <w:contextualSpacing/>
        <w:rPr>
          <w:rFonts w:eastAsia="Arial"/>
          <w:b/>
          <w:bCs/>
          <w:color w:val="1F497D" w:themeColor="text2"/>
        </w:rPr>
      </w:pPr>
    </w:p>
    <w:p w14:paraId="3E1A4C77" w14:textId="77777777" w:rsidR="001D2E87" w:rsidRPr="00CE240B" w:rsidRDefault="001D2E87" w:rsidP="00CE240B">
      <w:pPr>
        <w:rPr>
          <w:sz w:val="24"/>
        </w:rPr>
      </w:pPr>
      <w:r w:rsidRPr="00CE240B">
        <w:rPr>
          <w:sz w:val="24"/>
        </w:rPr>
        <w:t xml:space="preserve">Inpatient Services are covered by each of the four CBU’s and include all in-patient beds </w:t>
      </w:r>
      <w:proofErr w:type="gramStart"/>
      <w:r w:rsidRPr="00CE240B">
        <w:rPr>
          <w:sz w:val="24"/>
        </w:rPr>
        <w:t>with the exception of</w:t>
      </w:r>
      <w:proofErr w:type="gramEnd"/>
      <w:r w:rsidRPr="00CE240B">
        <w:rPr>
          <w:sz w:val="24"/>
        </w:rPr>
        <w:t xml:space="preserve"> those listed under specialist services. The services for adults are primarily provided to people aged over 18, who have a range of mental health or LD conditions ranging from moderate to severe, complex and enduring. </w:t>
      </w:r>
    </w:p>
    <w:p w14:paraId="7354C6C3" w14:textId="77777777" w:rsidR="00DB469D" w:rsidRDefault="00DB469D" w:rsidP="00CE240B">
      <w:pPr>
        <w:rPr>
          <w:sz w:val="24"/>
        </w:rPr>
      </w:pPr>
    </w:p>
    <w:p w14:paraId="11F4453A" w14:textId="1E6E3F70" w:rsidR="001D2E87" w:rsidRPr="00CE240B" w:rsidRDefault="001D2E87" w:rsidP="00CE240B">
      <w:pPr>
        <w:rPr>
          <w:sz w:val="24"/>
        </w:rPr>
      </w:pPr>
      <w:r w:rsidRPr="00CE240B">
        <w:rPr>
          <w:sz w:val="24"/>
        </w:rPr>
        <w:t xml:space="preserve">The focus of the inpatient and crisis services has been aligned to the continued development of more specialist </w:t>
      </w:r>
      <w:r w:rsidR="002D27B6" w:rsidRPr="00CE240B">
        <w:rPr>
          <w:sz w:val="24"/>
        </w:rPr>
        <w:t>community-based</w:t>
      </w:r>
      <w:r w:rsidRPr="00CE240B">
        <w:rPr>
          <w:sz w:val="24"/>
        </w:rPr>
        <w:t xml:space="preserve"> provision with the aim of reducing reliance on inpatient care, focussing on the development of integrated pathways of care that provide a seamless route to recovery.</w:t>
      </w:r>
    </w:p>
    <w:p w14:paraId="171DB646" w14:textId="77777777" w:rsidR="00DB469D" w:rsidRDefault="00DB469D" w:rsidP="00CE240B">
      <w:pPr>
        <w:rPr>
          <w:sz w:val="24"/>
        </w:rPr>
      </w:pPr>
    </w:p>
    <w:p w14:paraId="63108D4C" w14:textId="165A0926" w:rsidR="001D2E87" w:rsidRPr="00CE240B" w:rsidRDefault="001D2E87" w:rsidP="00CE240B">
      <w:pPr>
        <w:rPr>
          <w:sz w:val="24"/>
        </w:rPr>
      </w:pPr>
      <w:r w:rsidRPr="00CE240B">
        <w:rPr>
          <w:sz w:val="24"/>
        </w:rPr>
        <w:t xml:space="preserve">To support this, the Trust has invested in the development of facilities for Psychiatric Intensive Care and Section 136 Place of Safety accommodation. </w:t>
      </w:r>
      <w:proofErr w:type="gramStart"/>
      <w:r w:rsidRPr="00CE240B">
        <w:rPr>
          <w:sz w:val="24"/>
        </w:rPr>
        <w:t>A number of</w:t>
      </w:r>
      <w:proofErr w:type="gramEnd"/>
      <w:r w:rsidRPr="00CE240B">
        <w:rPr>
          <w:sz w:val="24"/>
        </w:rPr>
        <w:t xml:space="preserve"> quality improvement initiatives have also taken place which involved staff, service users and external organisations. These include work with the Royal College of Psychiatrists programme for the Accreditation of Inpatient Mental Health Services (AIMS).</w:t>
      </w:r>
    </w:p>
    <w:p w14:paraId="0D09848A" w14:textId="1F54DF28" w:rsidR="001D2E87" w:rsidRPr="00CE240B" w:rsidRDefault="001D2E87" w:rsidP="00CE240B">
      <w:pPr>
        <w:rPr>
          <w:sz w:val="24"/>
        </w:rPr>
      </w:pPr>
      <w:r w:rsidRPr="00CE240B">
        <w:rPr>
          <w:sz w:val="24"/>
        </w:rPr>
        <w:t xml:space="preserve">In-patient Services for older people </w:t>
      </w:r>
      <w:r w:rsidR="002D27B6" w:rsidRPr="00CE240B">
        <w:rPr>
          <w:sz w:val="24"/>
        </w:rPr>
        <w:t>aim</w:t>
      </w:r>
      <w:r w:rsidRPr="00CE240B">
        <w:rPr>
          <w:sz w:val="24"/>
        </w:rPr>
        <w:t xml:space="preserve"> to offer a timely and appropriate admission to hospital for the purpose of assessment and treatment for individuals generally over the age of 65 with a mental health need where such assessment and treatment cannot be managed effectively in the community. Inpatient Services for older people provide specialist mental health assessment and treatment in hospital for two main groups:</w:t>
      </w:r>
    </w:p>
    <w:p w14:paraId="412E5323" w14:textId="77777777" w:rsidR="001D2E87" w:rsidRPr="00CE240B" w:rsidRDefault="001D2E87" w:rsidP="002867BC">
      <w:pPr>
        <w:pStyle w:val="ListParagraph"/>
        <w:numPr>
          <w:ilvl w:val="0"/>
          <w:numId w:val="20"/>
        </w:numPr>
        <w:spacing w:before="120" w:after="120" w:line="320" w:lineRule="exact"/>
        <w:ind w:left="1100" w:right="340"/>
        <w:jc w:val="both"/>
        <w:rPr>
          <w:sz w:val="24"/>
        </w:rPr>
      </w:pPr>
      <w:r w:rsidRPr="00CE240B">
        <w:rPr>
          <w:sz w:val="24"/>
        </w:rPr>
        <w:t>Functional mental health - conditions such as depression, anxiety or psychosis</w:t>
      </w:r>
    </w:p>
    <w:p w14:paraId="2938379D" w14:textId="77777777" w:rsidR="001D2E87" w:rsidRPr="00CE240B" w:rsidRDefault="001D2E87" w:rsidP="002867BC">
      <w:pPr>
        <w:pStyle w:val="ListParagraph"/>
        <w:numPr>
          <w:ilvl w:val="0"/>
          <w:numId w:val="20"/>
        </w:numPr>
        <w:spacing w:before="120" w:after="120" w:line="320" w:lineRule="exact"/>
        <w:ind w:left="1100" w:right="340"/>
        <w:jc w:val="both"/>
        <w:rPr>
          <w:sz w:val="24"/>
        </w:rPr>
      </w:pPr>
      <w:r w:rsidRPr="00CE240B">
        <w:rPr>
          <w:sz w:val="24"/>
        </w:rPr>
        <w:t>Organic mental health - with progressive conditions such as dementia</w:t>
      </w:r>
    </w:p>
    <w:p w14:paraId="6CBA49F7" w14:textId="77777777" w:rsidR="001D2E87" w:rsidRPr="0013178A" w:rsidRDefault="001D2E87" w:rsidP="0013178A">
      <w:pPr>
        <w:pStyle w:val="ListParagraph"/>
        <w:rPr>
          <w:rFonts w:eastAsia="Arial"/>
          <w:b/>
          <w:bCs/>
          <w:color w:val="1F497D" w:themeColor="text2"/>
        </w:rPr>
      </w:pPr>
    </w:p>
    <w:p w14:paraId="41B470F5" w14:textId="77777777" w:rsidR="001D2E87" w:rsidRPr="00C81228" w:rsidRDefault="001D2E87" w:rsidP="00CE240B">
      <w:pPr>
        <w:rPr>
          <w:rFonts w:eastAsia="Arial"/>
          <w:b/>
          <w:bCs/>
          <w:color w:val="0070C0"/>
          <w:sz w:val="24"/>
        </w:rPr>
      </w:pPr>
      <w:r w:rsidRPr="00C81228">
        <w:rPr>
          <w:rFonts w:eastAsia="Arial"/>
          <w:b/>
          <w:bCs/>
          <w:color w:val="0070C0"/>
          <w:sz w:val="24"/>
        </w:rPr>
        <w:t>Community Services</w:t>
      </w:r>
    </w:p>
    <w:p w14:paraId="6F637658" w14:textId="77777777" w:rsidR="00C81228" w:rsidRPr="00CE240B" w:rsidRDefault="00C81228" w:rsidP="00CE240B">
      <w:pPr>
        <w:rPr>
          <w:rFonts w:eastAsia="Arial"/>
          <w:b/>
          <w:bCs/>
          <w:color w:val="1F497D" w:themeColor="text2"/>
          <w:sz w:val="24"/>
        </w:rPr>
      </w:pPr>
    </w:p>
    <w:p w14:paraId="425E33F5" w14:textId="77777777" w:rsidR="001D2E87" w:rsidRPr="00CE240B" w:rsidRDefault="001D2E87" w:rsidP="00CE240B">
      <w:pPr>
        <w:contextualSpacing/>
        <w:rPr>
          <w:color w:val="FF0000"/>
          <w:sz w:val="24"/>
        </w:rPr>
      </w:pPr>
      <w:r w:rsidRPr="00CE240B">
        <w:rPr>
          <w:sz w:val="24"/>
        </w:rPr>
        <w:t xml:space="preserve">Community services are covered by four CBU’s located across the geographical areas with the community team merged with the access services in the North Cumbria CBU. The community CBU’s incorporate a range of services including IAPT, Primary Care support, Community Mental Health Teams and day care services. The Community teams operate from a range of premises and in different settings ach </w:t>
      </w:r>
    </w:p>
    <w:p w14:paraId="7ACFCBB2" w14:textId="77777777" w:rsidR="00CE240B" w:rsidRDefault="00CE240B" w:rsidP="00CE240B">
      <w:pPr>
        <w:ind w:left="720"/>
        <w:contextualSpacing/>
        <w:rPr>
          <w:rFonts w:eastAsia="Arial"/>
          <w:b/>
          <w:bCs/>
          <w:color w:val="1F497D" w:themeColor="text2"/>
          <w:sz w:val="24"/>
        </w:rPr>
      </w:pPr>
    </w:p>
    <w:p w14:paraId="32FC0663" w14:textId="1E4FE9FA" w:rsidR="001D2E87" w:rsidRPr="00C81228" w:rsidRDefault="001D2E87" w:rsidP="00CE240B">
      <w:pPr>
        <w:contextualSpacing/>
        <w:rPr>
          <w:rFonts w:eastAsia="Arial"/>
          <w:b/>
          <w:bCs/>
          <w:color w:val="0070C0"/>
          <w:sz w:val="24"/>
        </w:rPr>
      </w:pPr>
      <w:r w:rsidRPr="00C81228">
        <w:rPr>
          <w:rFonts w:eastAsia="Arial"/>
          <w:b/>
          <w:bCs/>
          <w:color w:val="0070C0"/>
          <w:sz w:val="24"/>
        </w:rPr>
        <w:t>Access Services</w:t>
      </w:r>
    </w:p>
    <w:p w14:paraId="4165BCE8" w14:textId="77777777" w:rsidR="00C81228" w:rsidRPr="00CE240B" w:rsidRDefault="00C81228" w:rsidP="00CE240B">
      <w:pPr>
        <w:contextualSpacing/>
        <w:rPr>
          <w:rFonts w:eastAsia="Arial"/>
          <w:b/>
          <w:bCs/>
          <w:color w:val="1F497D" w:themeColor="text2"/>
          <w:sz w:val="24"/>
        </w:rPr>
      </w:pPr>
    </w:p>
    <w:p w14:paraId="098DC947" w14:textId="510EC342" w:rsidR="001D2E87" w:rsidRPr="00CE240B" w:rsidRDefault="001D2E87" w:rsidP="00CE240B">
      <w:pPr>
        <w:rPr>
          <w:rFonts w:eastAsia="Calibri"/>
          <w:b/>
          <w:bCs/>
          <w:sz w:val="24"/>
        </w:rPr>
      </w:pPr>
      <w:r w:rsidRPr="00CE240B">
        <w:rPr>
          <w:rFonts w:eastAsia="Calibri"/>
          <w:sz w:val="24"/>
        </w:rPr>
        <w:t>The Access services are provided by four CBU’s located across the geographical areas with the</w:t>
      </w:r>
      <w:r w:rsidR="00CE240B" w:rsidRPr="00CE240B">
        <w:rPr>
          <w:rFonts w:eastAsia="Calibri"/>
          <w:b/>
          <w:bCs/>
          <w:sz w:val="24"/>
        </w:rPr>
        <w:t xml:space="preserve"> </w:t>
      </w:r>
      <w:r w:rsidRPr="00CE240B">
        <w:rPr>
          <w:rFonts w:eastAsia="Calibri"/>
          <w:sz w:val="24"/>
        </w:rPr>
        <w:t xml:space="preserve">access services team merged with the community services in the North Cumbria CBU. The Access CBU’s incorporate a range of services including IRS, IRT, Crisis Teams, Street Triage Section 136 services, addictions services, liasion and Military Veterans services. The aim of the access services is to facilitate access into the services provided by the Trust. </w:t>
      </w:r>
    </w:p>
    <w:p w14:paraId="1F6F5CF2" w14:textId="77777777" w:rsidR="001D2E87" w:rsidRPr="00CE240B" w:rsidRDefault="001D2E87" w:rsidP="00CE240B">
      <w:pPr>
        <w:rPr>
          <w:sz w:val="24"/>
        </w:rPr>
      </w:pPr>
    </w:p>
    <w:p w14:paraId="59FDC2C5" w14:textId="77777777" w:rsidR="001D2E87" w:rsidRDefault="001D2E87" w:rsidP="00C81228">
      <w:pPr>
        <w:pStyle w:val="Heading4"/>
        <w:spacing w:line="240" w:lineRule="auto"/>
        <w:ind w:left="0" w:firstLine="0"/>
        <w:contextualSpacing/>
        <w:rPr>
          <w:rFonts w:ascii="Arial" w:hAnsi="Arial" w:cs="Arial"/>
          <w:noProof w:val="0"/>
          <w:color w:val="0070C0"/>
          <w:sz w:val="24"/>
          <w:lang w:eastAsia="en-US"/>
        </w:rPr>
      </w:pPr>
      <w:r w:rsidRPr="00C81228">
        <w:rPr>
          <w:rFonts w:ascii="Arial" w:hAnsi="Arial" w:cs="Arial"/>
          <w:noProof w:val="0"/>
          <w:color w:val="0070C0"/>
          <w:sz w:val="24"/>
          <w:lang w:eastAsia="en-US"/>
        </w:rPr>
        <w:t>3.2.2</w:t>
      </w:r>
      <w:r w:rsidRPr="00C81228">
        <w:rPr>
          <w:rFonts w:ascii="Arial" w:hAnsi="Arial" w:cs="Arial"/>
          <w:noProof w:val="0"/>
          <w:color w:val="0070C0"/>
          <w:sz w:val="24"/>
          <w:lang w:eastAsia="en-US"/>
        </w:rPr>
        <w:tab/>
        <w:t>Trust Vision, Values, Quality Goals, and Strategic Ambition</w:t>
      </w:r>
    </w:p>
    <w:p w14:paraId="42BE389E" w14:textId="77777777" w:rsidR="00C81228" w:rsidRPr="00C81228" w:rsidRDefault="00C81228" w:rsidP="00C81228"/>
    <w:p w14:paraId="7725F859" w14:textId="77777777" w:rsidR="001D2E87" w:rsidRPr="00CE240B" w:rsidRDefault="001D2E87" w:rsidP="00CE240B">
      <w:pPr>
        <w:contextualSpacing/>
        <w:rPr>
          <w:sz w:val="24"/>
        </w:rPr>
      </w:pPr>
      <w:r w:rsidRPr="00CE240B">
        <w:rPr>
          <w:sz w:val="24"/>
        </w:rPr>
        <w:t xml:space="preserve">At the time of writing this strategy the Trust is in the process of updating its overarching strategy and this will be known as “We are CNTW”. As such a future revision of the </w:t>
      </w:r>
      <w:proofErr w:type="gramStart"/>
      <w:r w:rsidRPr="00CE240B">
        <w:rPr>
          <w:sz w:val="24"/>
        </w:rPr>
        <w:t>estates</w:t>
      </w:r>
      <w:proofErr w:type="gramEnd"/>
      <w:r w:rsidRPr="00CE240B">
        <w:rPr>
          <w:sz w:val="24"/>
        </w:rPr>
        <w:t xml:space="preserve"> strategy may be required </w:t>
      </w:r>
      <w:proofErr w:type="gramStart"/>
      <w:r w:rsidRPr="00CE240B">
        <w:rPr>
          <w:sz w:val="24"/>
        </w:rPr>
        <w:t>in order to</w:t>
      </w:r>
      <w:proofErr w:type="gramEnd"/>
      <w:r w:rsidRPr="00CE240B">
        <w:rPr>
          <w:sz w:val="24"/>
        </w:rPr>
        <w:t xml:space="preserve"> reflect any significant changes. </w:t>
      </w:r>
    </w:p>
    <w:p w14:paraId="1E59E5EC" w14:textId="77777777" w:rsidR="007E7D73" w:rsidRDefault="007E7D73" w:rsidP="00CE240B">
      <w:pPr>
        <w:contextualSpacing/>
        <w:rPr>
          <w:sz w:val="24"/>
        </w:rPr>
      </w:pPr>
    </w:p>
    <w:p w14:paraId="06B5670C" w14:textId="7AE42B31" w:rsidR="001D2E87" w:rsidRPr="00CE240B" w:rsidRDefault="001D2E87" w:rsidP="00CE240B">
      <w:pPr>
        <w:contextualSpacing/>
        <w:rPr>
          <w:sz w:val="24"/>
        </w:rPr>
      </w:pPr>
      <w:r w:rsidRPr="00CE240B">
        <w:rPr>
          <w:sz w:val="24"/>
        </w:rPr>
        <w:t xml:space="preserve">The current strategy was set out in its </w:t>
      </w:r>
      <w:r w:rsidRPr="00CE240B">
        <w:rPr>
          <w:b/>
          <w:sz w:val="24"/>
        </w:rPr>
        <w:t xml:space="preserve">Caring, discovering, growing: </w:t>
      </w:r>
      <w:proofErr w:type="gramStart"/>
      <w:r w:rsidRPr="00CE240B">
        <w:rPr>
          <w:b/>
          <w:sz w:val="24"/>
        </w:rPr>
        <w:t>Together,  Northumberland</w:t>
      </w:r>
      <w:proofErr w:type="gramEnd"/>
      <w:r w:rsidRPr="00CE240B">
        <w:rPr>
          <w:b/>
          <w:sz w:val="24"/>
        </w:rPr>
        <w:t>, Tyne and Wear NHS Foundation Trust Strategy 2017 – 2022,</w:t>
      </w:r>
      <w:r w:rsidRPr="00CE240B">
        <w:rPr>
          <w:sz w:val="24"/>
        </w:rPr>
        <w:t xml:space="preserve"> which set out the vision, values, quality goals and strategic ambition. </w:t>
      </w:r>
    </w:p>
    <w:p w14:paraId="783EDC72" w14:textId="77777777" w:rsidR="001D2E87" w:rsidRPr="00CE240B" w:rsidRDefault="001D2E87" w:rsidP="00CE240B">
      <w:pPr>
        <w:contextualSpacing/>
        <w:rPr>
          <w:sz w:val="24"/>
        </w:rPr>
      </w:pPr>
      <w:r w:rsidRPr="00CE240B">
        <w:rPr>
          <w:sz w:val="24"/>
        </w:rPr>
        <w:t xml:space="preserve">The </w:t>
      </w:r>
      <w:r w:rsidRPr="00CE240B">
        <w:rPr>
          <w:b/>
          <w:sz w:val="24"/>
        </w:rPr>
        <w:t>vision</w:t>
      </w:r>
      <w:r w:rsidRPr="00CE240B">
        <w:rPr>
          <w:sz w:val="24"/>
        </w:rPr>
        <w:t xml:space="preserve"> set out by the Trust is: </w:t>
      </w:r>
    </w:p>
    <w:p w14:paraId="1E9BFE3F" w14:textId="5C83C8A3" w:rsidR="001D2E87" w:rsidRPr="00CE240B" w:rsidRDefault="001D2E87" w:rsidP="00CE240B">
      <w:pPr>
        <w:ind w:left="720"/>
        <w:contextualSpacing/>
        <w:rPr>
          <w:sz w:val="24"/>
        </w:rPr>
      </w:pPr>
      <w:r w:rsidRPr="00CE240B">
        <w:rPr>
          <w:sz w:val="24"/>
        </w:rPr>
        <w:t xml:space="preserve">“To be a leader in the delivery of </w:t>
      </w:r>
      <w:r w:rsidR="002D27B6" w:rsidRPr="00CE240B">
        <w:rPr>
          <w:sz w:val="24"/>
        </w:rPr>
        <w:t>high-quality</w:t>
      </w:r>
      <w:r w:rsidRPr="00CE240B">
        <w:rPr>
          <w:sz w:val="24"/>
        </w:rPr>
        <w:t xml:space="preserve"> care and a champion for those we serve” </w:t>
      </w:r>
    </w:p>
    <w:p w14:paraId="2DDECA76" w14:textId="77777777" w:rsidR="007E7D73" w:rsidRDefault="007E7D73" w:rsidP="00CE240B">
      <w:pPr>
        <w:contextualSpacing/>
        <w:rPr>
          <w:sz w:val="24"/>
        </w:rPr>
      </w:pPr>
    </w:p>
    <w:p w14:paraId="6175820A" w14:textId="79D65098" w:rsidR="001D2E87" w:rsidRPr="00CE240B" w:rsidRDefault="001D2E87" w:rsidP="00CE240B">
      <w:pPr>
        <w:contextualSpacing/>
        <w:rPr>
          <w:sz w:val="24"/>
        </w:rPr>
      </w:pPr>
      <w:r w:rsidRPr="00CE240B">
        <w:rPr>
          <w:sz w:val="24"/>
        </w:rPr>
        <w:t xml:space="preserve">The vision is underpinned by a set of </w:t>
      </w:r>
      <w:r w:rsidRPr="00CE240B">
        <w:rPr>
          <w:b/>
          <w:sz w:val="24"/>
        </w:rPr>
        <w:t>core values and quality goals.</w:t>
      </w:r>
      <w:r w:rsidRPr="00CE240B">
        <w:rPr>
          <w:sz w:val="24"/>
        </w:rPr>
        <w:t xml:space="preserve"> The values aim to provide the best care, delivered by the best people, to achieve the best outcomes and the quality goals to help the Trust achieve its vision by providing an overarching framework to its strategy. The three quality priorities for 2022-23 are:</w:t>
      </w:r>
    </w:p>
    <w:p w14:paraId="740A9A96" w14:textId="77777777" w:rsidR="001D2E87" w:rsidRDefault="001D2E87" w:rsidP="00CD3120">
      <w:pPr>
        <w:pStyle w:val="NoSpacing"/>
        <w:jc w:val="center"/>
      </w:pPr>
      <w:r>
        <w:drawing>
          <wp:inline distT="0" distB="0" distL="0" distR="0" wp14:anchorId="3FE096A1" wp14:editId="25FF6D51">
            <wp:extent cx="3124800" cy="2604107"/>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46457" cy="2622155"/>
                    </a:xfrm>
                    <a:prstGeom prst="rect">
                      <a:avLst/>
                    </a:prstGeom>
                  </pic:spPr>
                </pic:pic>
              </a:graphicData>
            </a:graphic>
          </wp:inline>
        </w:drawing>
      </w:r>
    </w:p>
    <w:p w14:paraId="55D96E58" w14:textId="77777777" w:rsidR="001D2E87" w:rsidRDefault="001D2E87" w:rsidP="00BE4E5A">
      <w:pPr>
        <w:jc w:val="center"/>
      </w:pPr>
      <w:r>
        <w:t>Figure 4 Quality Goals</w:t>
      </w:r>
    </w:p>
    <w:p w14:paraId="2EDA9D54" w14:textId="77777777" w:rsidR="007E7D73" w:rsidRDefault="007E7D73" w:rsidP="00674618"/>
    <w:p w14:paraId="116AF792" w14:textId="5709D26E" w:rsidR="001D2E87" w:rsidRDefault="001D2E87" w:rsidP="00674618">
      <w:r>
        <w:t xml:space="preserve">The six </w:t>
      </w:r>
      <w:r w:rsidRPr="00FD4729">
        <w:rPr>
          <w:b/>
        </w:rPr>
        <w:t>strategic ambitions</w:t>
      </w:r>
      <w:r>
        <w:rPr>
          <w:b/>
        </w:rPr>
        <w:t xml:space="preserve"> </w:t>
      </w:r>
      <w:r w:rsidRPr="00FD4729">
        <w:t>of the Trust are:</w:t>
      </w:r>
    </w:p>
    <w:p w14:paraId="4FA84819" w14:textId="77777777" w:rsidR="001D2E87" w:rsidRDefault="001D2E87" w:rsidP="00FC7FCE">
      <w:pPr>
        <w:ind w:left="720"/>
      </w:pPr>
      <w:r>
        <w:t>1. Working together with service users and carers we will provide excellent care, supporting people on their personal journey to wellbeing.</w:t>
      </w:r>
    </w:p>
    <w:p w14:paraId="05E2B96F" w14:textId="77777777" w:rsidR="001D2E87" w:rsidRDefault="001D2E87" w:rsidP="00FC7FCE">
      <w:pPr>
        <w:ind w:left="720"/>
      </w:pPr>
      <w:r>
        <w:t xml:space="preserve"> 2. With people, communities and partners, together we will promote prevention, early intervention and resilience.</w:t>
      </w:r>
    </w:p>
    <w:p w14:paraId="65F07C56" w14:textId="77777777" w:rsidR="001D2E87" w:rsidRDefault="001D2E87" w:rsidP="00FC7FCE">
      <w:pPr>
        <w:ind w:left="720"/>
      </w:pPr>
      <w:r>
        <w:t xml:space="preserve"> 3. Working with partners there will be “no health without mental health” and services will be “joined up”. </w:t>
      </w:r>
    </w:p>
    <w:p w14:paraId="55DEE51A" w14:textId="77777777" w:rsidR="001D2E87" w:rsidRDefault="001D2E87" w:rsidP="00FC7FCE">
      <w:pPr>
        <w:ind w:left="720"/>
      </w:pPr>
      <w:r>
        <w:t>4. The Trust’s mental health and disability services will be sustainable and deliver real value to the people who use them.</w:t>
      </w:r>
    </w:p>
    <w:p w14:paraId="63080BEE" w14:textId="77777777" w:rsidR="001D2E87" w:rsidRDefault="001D2E87" w:rsidP="00FC7FCE">
      <w:pPr>
        <w:ind w:left="720"/>
      </w:pPr>
      <w:r>
        <w:t xml:space="preserve"> 5. The Trust will be a centre of excellence for mental health and disability. </w:t>
      </w:r>
    </w:p>
    <w:p w14:paraId="46BEA278" w14:textId="77777777" w:rsidR="001D2E87" w:rsidRDefault="001D2E87" w:rsidP="00FC7FCE">
      <w:pPr>
        <w:ind w:left="720"/>
      </w:pPr>
      <w:r>
        <w:t>6. The Trust will be regarded as a great place to work.</w:t>
      </w:r>
    </w:p>
    <w:p w14:paraId="20A4ACE3" w14:textId="77777777" w:rsidR="0043588B" w:rsidRDefault="0043588B" w:rsidP="00FC7FCE">
      <w:pPr>
        <w:ind w:left="720"/>
      </w:pPr>
    </w:p>
    <w:p w14:paraId="1A6BBCD9" w14:textId="77777777" w:rsidR="001D2E87" w:rsidRPr="007E7D73" w:rsidRDefault="001D2E87" w:rsidP="00CE240B">
      <w:pPr>
        <w:pStyle w:val="Heading2"/>
        <w:ind w:left="0"/>
        <w:rPr>
          <w:color w:val="0070C0"/>
        </w:rPr>
      </w:pPr>
      <w:r w:rsidRPr="007E7D73">
        <w:rPr>
          <w:color w:val="0070C0"/>
        </w:rPr>
        <w:t>3.3</w:t>
      </w:r>
      <w:r w:rsidRPr="007E7D73">
        <w:rPr>
          <w:color w:val="0070C0"/>
        </w:rPr>
        <w:tab/>
        <w:t xml:space="preserve">Delivery of the previous Estates Strategy </w:t>
      </w:r>
    </w:p>
    <w:p w14:paraId="20D45DAB" w14:textId="77777777" w:rsidR="00CE240B" w:rsidRDefault="00CE240B" w:rsidP="000F483B"/>
    <w:p w14:paraId="32388FD9" w14:textId="26BC7854" w:rsidR="001D2E87" w:rsidRPr="00CE240B" w:rsidRDefault="001D2E87" w:rsidP="00CE240B">
      <w:pPr>
        <w:contextualSpacing/>
        <w:rPr>
          <w:sz w:val="24"/>
        </w:rPr>
      </w:pPr>
      <w:r w:rsidRPr="00CE240B">
        <w:rPr>
          <w:sz w:val="24"/>
        </w:rPr>
        <w:t xml:space="preserve">The Trust Board agreed a </w:t>
      </w:r>
      <w:r w:rsidR="002D27B6" w:rsidRPr="00CE240B">
        <w:rPr>
          <w:sz w:val="24"/>
        </w:rPr>
        <w:t>five-year</w:t>
      </w:r>
      <w:r w:rsidRPr="00CE240B">
        <w:rPr>
          <w:sz w:val="24"/>
        </w:rPr>
        <w:t xml:space="preserve"> Estate Strategy which focused on a range of key priorities including:</w:t>
      </w:r>
    </w:p>
    <w:p w14:paraId="3EF34875" w14:textId="77777777" w:rsidR="001D2E87" w:rsidRPr="00CE240B" w:rsidRDefault="001D2E87" w:rsidP="002867BC">
      <w:pPr>
        <w:pStyle w:val="ListParagraph"/>
        <w:numPr>
          <w:ilvl w:val="0"/>
          <w:numId w:val="18"/>
        </w:numPr>
        <w:spacing w:before="120" w:after="120"/>
        <w:ind w:right="340"/>
        <w:jc w:val="both"/>
        <w:rPr>
          <w:sz w:val="24"/>
        </w:rPr>
      </w:pPr>
      <w:r w:rsidRPr="00CE240B">
        <w:rPr>
          <w:sz w:val="24"/>
        </w:rPr>
        <w:t>Reprovision of facilities to replace poor quality accommodation</w:t>
      </w:r>
    </w:p>
    <w:p w14:paraId="162F7511" w14:textId="77777777" w:rsidR="001D2E87" w:rsidRPr="00CE240B" w:rsidRDefault="001D2E87" w:rsidP="002867BC">
      <w:pPr>
        <w:pStyle w:val="ListParagraph"/>
        <w:numPr>
          <w:ilvl w:val="0"/>
          <w:numId w:val="18"/>
        </w:numPr>
        <w:spacing w:before="120" w:after="120"/>
        <w:ind w:right="340"/>
        <w:jc w:val="both"/>
        <w:rPr>
          <w:sz w:val="24"/>
        </w:rPr>
      </w:pPr>
      <w:r w:rsidRPr="00CE240B">
        <w:rPr>
          <w:sz w:val="24"/>
        </w:rPr>
        <w:t>Manage backlog maintenance</w:t>
      </w:r>
    </w:p>
    <w:p w14:paraId="35AAC85F" w14:textId="77777777" w:rsidR="001D2E87" w:rsidRPr="00CE240B" w:rsidRDefault="001D2E87" w:rsidP="002867BC">
      <w:pPr>
        <w:pStyle w:val="ListParagraph"/>
        <w:numPr>
          <w:ilvl w:val="0"/>
          <w:numId w:val="18"/>
        </w:numPr>
        <w:spacing w:before="120" w:after="120"/>
        <w:ind w:right="340"/>
        <w:jc w:val="both"/>
        <w:rPr>
          <w:sz w:val="24"/>
        </w:rPr>
      </w:pPr>
      <w:r w:rsidRPr="00CE240B">
        <w:rPr>
          <w:sz w:val="24"/>
        </w:rPr>
        <w:t>Optimisation of the estate; right size, place, cost effective and meeting user needs</w:t>
      </w:r>
    </w:p>
    <w:p w14:paraId="73D5AB04" w14:textId="77777777" w:rsidR="001D2E87" w:rsidRPr="00CE240B" w:rsidRDefault="001D2E87" w:rsidP="002867BC">
      <w:pPr>
        <w:pStyle w:val="ListParagraph"/>
        <w:numPr>
          <w:ilvl w:val="0"/>
          <w:numId w:val="18"/>
        </w:numPr>
        <w:spacing w:before="120" w:after="120"/>
        <w:ind w:right="340"/>
        <w:jc w:val="both"/>
        <w:rPr>
          <w:sz w:val="24"/>
        </w:rPr>
      </w:pPr>
      <w:r w:rsidRPr="00CE240B">
        <w:rPr>
          <w:sz w:val="24"/>
        </w:rPr>
        <w:t>Ensuring the patient environment is at an acceptable level across the Trust estate.</w:t>
      </w:r>
    </w:p>
    <w:p w14:paraId="670EB5BB" w14:textId="77777777" w:rsidR="001D2E87" w:rsidRPr="00CE240B" w:rsidRDefault="001D2E87" w:rsidP="00CE240B">
      <w:pPr>
        <w:contextualSpacing/>
        <w:rPr>
          <w:sz w:val="24"/>
        </w:rPr>
      </w:pPr>
      <w:r w:rsidRPr="00CE240B">
        <w:rPr>
          <w:sz w:val="24"/>
        </w:rPr>
        <w:t xml:space="preserve">The above priorities were addressed through </w:t>
      </w:r>
      <w:proofErr w:type="gramStart"/>
      <w:r w:rsidRPr="00CE240B">
        <w:rPr>
          <w:sz w:val="24"/>
        </w:rPr>
        <w:t>a number of</w:t>
      </w:r>
      <w:proofErr w:type="gramEnd"/>
      <w:r w:rsidRPr="00CE240B">
        <w:rPr>
          <w:sz w:val="24"/>
        </w:rPr>
        <w:t xml:space="preserve"> projects / initiatives in particular: </w:t>
      </w:r>
    </w:p>
    <w:p w14:paraId="3A5EBBBF" w14:textId="755D709F" w:rsidR="001D2E87" w:rsidRPr="00CE240B" w:rsidRDefault="001D2E87" w:rsidP="002867BC">
      <w:pPr>
        <w:pStyle w:val="ListParagraph"/>
        <w:numPr>
          <w:ilvl w:val="0"/>
          <w:numId w:val="19"/>
        </w:numPr>
        <w:spacing w:before="120" w:after="120"/>
        <w:ind w:right="340"/>
        <w:jc w:val="both"/>
        <w:rPr>
          <w:sz w:val="24"/>
        </w:rPr>
      </w:pPr>
      <w:r w:rsidRPr="00CE240B">
        <w:rPr>
          <w:sz w:val="24"/>
        </w:rPr>
        <w:t xml:space="preserve">Deliver the PRIDE project, replacing Cherry Knowle and delivery of the Dementia Unit / Older </w:t>
      </w:r>
      <w:r w:rsidR="002D27B6" w:rsidRPr="00CE240B">
        <w:rPr>
          <w:sz w:val="24"/>
        </w:rPr>
        <w:t>peoples’</w:t>
      </w:r>
      <w:r w:rsidRPr="00CE240B">
        <w:rPr>
          <w:sz w:val="24"/>
        </w:rPr>
        <w:t xml:space="preserve"> re-provision</w:t>
      </w:r>
    </w:p>
    <w:p w14:paraId="5F556F0B"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Long Term Low Secure re-provision (Villa 19 Replacement, Northgate Site)</w:t>
      </w:r>
    </w:p>
    <w:p w14:paraId="6B91DEF9"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Alnwood improvements</w:t>
      </w:r>
    </w:p>
    <w:p w14:paraId="5623D876" w14:textId="2167471A" w:rsidR="001D2E87" w:rsidRPr="00CE240B" w:rsidRDefault="001D2E87" w:rsidP="002867BC">
      <w:pPr>
        <w:pStyle w:val="ListParagraph"/>
        <w:numPr>
          <w:ilvl w:val="0"/>
          <w:numId w:val="19"/>
        </w:numPr>
        <w:spacing w:before="120" w:after="120"/>
        <w:ind w:right="340"/>
        <w:jc w:val="both"/>
        <w:rPr>
          <w:sz w:val="24"/>
        </w:rPr>
      </w:pPr>
      <w:r w:rsidRPr="00CE240B">
        <w:rPr>
          <w:sz w:val="24"/>
        </w:rPr>
        <w:t xml:space="preserve">Replace Villa’s 11 and 16 at  Northgate with a </w:t>
      </w:r>
      <w:r w:rsidR="002D27B6" w:rsidRPr="00CE240B">
        <w:rPr>
          <w:sz w:val="24"/>
        </w:rPr>
        <w:t>purpose-built</w:t>
      </w:r>
      <w:r w:rsidRPr="00CE240B">
        <w:rPr>
          <w:sz w:val="24"/>
        </w:rPr>
        <w:t xml:space="preserve">  Autism Unit</w:t>
      </w:r>
    </w:p>
    <w:p w14:paraId="3834172F"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 xml:space="preserve">Re-provision of Ward 21 based on the North Tyneside General Hospital site </w:t>
      </w:r>
    </w:p>
    <w:p w14:paraId="416A4AA1"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Reduced reliance on in-patient beds</w:t>
      </w:r>
    </w:p>
    <w:p w14:paraId="25BDD330"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Community transformation project</w:t>
      </w:r>
    </w:p>
    <w:p w14:paraId="7E5BA3F6"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Backlog maintenance reduction of £4.2M</w:t>
      </w:r>
    </w:p>
    <w:p w14:paraId="1CAE182B" w14:textId="77777777" w:rsidR="001D2E87" w:rsidRPr="00CE240B" w:rsidRDefault="001D2E87" w:rsidP="002867BC">
      <w:pPr>
        <w:pStyle w:val="ListParagraph"/>
        <w:numPr>
          <w:ilvl w:val="0"/>
          <w:numId w:val="19"/>
        </w:numPr>
        <w:spacing w:before="120" w:after="120"/>
        <w:ind w:right="340"/>
        <w:jc w:val="both"/>
        <w:rPr>
          <w:sz w:val="24"/>
        </w:rPr>
      </w:pPr>
      <w:r w:rsidRPr="00CE240B">
        <w:rPr>
          <w:sz w:val="24"/>
        </w:rPr>
        <w:t>Asset Realisation £20M</w:t>
      </w:r>
    </w:p>
    <w:p w14:paraId="5DE1F094" w14:textId="4300B57A" w:rsidR="001D2E87" w:rsidRDefault="001D2E87" w:rsidP="00CE240B">
      <w:pPr>
        <w:contextualSpacing/>
        <w:rPr>
          <w:sz w:val="24"/>
        </w:rPr>
      </w:pPr>
      <w:r w:rsidRPr="00CE240B">
        <w:rPr>
          <w:sz w:val="24"/>
        </w:rPr>
        <w:t xml:space="preserve">The following details a selection of some of the key estate developments that have been delivered over the last 10 years and were identified as key developments. </w:t>
      </w:r>
    </w:p>
    <w:p w14:paraId="0D3EDAC5" w14:textId="77777777" w:rsidR="00CE240B" w:rsidRPr="00CE240B" w:rsidRDefault="00CE240B" w:rsidP="00CE240B">
      <w:pPr>
        <w:contextualSpacing/>
        <w:rPr>
          <w:sz w:val="24"/>
        </w:rPr>
      </w:pPr>
    </w:p>
    <w:p w14:paraId="3FD73821" w14:textId="77777777" w:rsidR="001D2E87" w:rsidRPr="007E7D73" w:rsidRDefault="001D2E87" w:rsidP="00CE240B">
      <w:pPr>
        <w:contextualSpacing/>
        <w:rPr>
          <w:rFonts w:eastAsia="Arial"/>
          <w:b/>
          <w:bCs/>
          <w:color w:val="0070C0"/>
          <w:sz w:val="24"/>
        </w:rPr>
      </w:pPr>
      <w:r w:rsidRPr="007E7D73">
        <w:rPr>
          <w:rFonts w:eastAsia="Arial"/>
          <w:b/>
          <w:bCs/>
          <w:color w:val="0070C0"/>
          <w:sz w:val="24"/>
        </w:rPr>
        <w:t>Ferndene</w:t>
      </w:r>
    </w:p>
    <w:p w14:paraId="0B55B771" w14:textId="77777777" w:rsidR="007E7D73" w:rsidRPr="00CE240B" w:rsidRDefault="007E7D73" w:rsidP="00CE240B">
      <w:pPr>
        <w:contextualSpacing/>
        <w:rPr>
          <w:rFonts w:eastAsia="Arial"/>
          <w:b/>
          <w:bCs/>
          <w:color w:val="1F497D" w:themeColor="text2"/>
          <w:sz w:val="24"/>
        </w:rPr>
      </w:pPr>
    </w:p>
    <w:p w14:paraId="3E912613" w14:textId="77777777" w:rsidR="001D2E87" w:rsidRPr="00CE240B" w:rsidRDefault="001D2E87" w:rsidP="00CE240B">
      <w:pPr>
        <w:contextualSpacing/>
        <w:rPr>
          <w:rFonts w:eastAsia="Arial"/>
          <w:sz w:val="24"/>
          <w:highlight w:val="yellow"/>
        </w:rPr>
      </w:pPr>
      <w:r w:rsidRPr="00CE240B">
        <w:rPr>
          <w:b/>
          <w:noProof/>
          <w:sz w:val="24"/>
        </w:rPr>
        <w:drawing>
          <wp:anchor distT="0" distB="0" distL="114300" distR="114300" simplePos="0" relativeHeight="251664384" behindDoc="0" locked="0" layoutInCell="1" allowOverlap="1" wp14:anchorId="53117333" wp14:editId="5F7D3CE6">
            <wp:simplePos x="0" y="0"/>
            <wp:positionH relativeFrom="column">
              <wp:posOffset>2226945</wp:posOffset>
            </wp:positionH>
            <wp:positionV relativeFrom="paragraph">
              <wp:posOffset>85725</wp:posOffset>
            </wp:positionV>
            <wp:extent cx="3959225" cy="2571750"/>
            <wp:effectExtent l="0" t="0" r="317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59225" cy="2571750"/>
                    </a:xfrm>
                    <a:prstGeom prst="rect">
                      <a:avLst/>
                    </a:prstGeom>
                    <a:noFill/>
                  </pic:spPr>
                </pic:pic>
              </a:graphicData>
            </a:graphic>
            <wp14:sizeRelH relativeFrom="margin">
              <wp14:pctWidth>0</wp14:pctWidth>
            </wp14:sizeRelH>
            <wp14:sizeRelV relativeFrom="margin">
              <wp14:pctHeight>0</wp14:pctHeight>
            </wp14:sizeRelV>
          </wp:anchor>
        </w:drawing>
      </w:r>
      <w:r w:rsidRPr="00CE240B">
        <w:rPr>
          <w:sz w:val="24"/>
        </w:rPr>
        <w:t>Ferndene, the Trust’s £27 million facility located on the Prudhoe Hospital site combines learning disability and mental health care for children and young people and is the first such integrated service of its kind in the country.</w:t>
      </w:r>
      <w:r w:rsidRPr="00CE240B">
        <w:rPr>
          <w:rFonts w:eastAsia="Arial"/>
          <w:sz w:val="24"/>
          <w:highlight w:val="yellow"/>
        </w:rPr>
        <w:t xml:space="preserve"> </w:t>
      </w:r>
    </w:p>
    <w:p w14:paraId="616E89CE" w14:textId="77777777" w:rsidR="001D2E87" w:rsidRPr="00CE240B" w:rsidRDefault="001D2E87" w:rsidP="00CE240B">
      <w:pPr>
        <w:contextualSpacing/>
        <w:rPr>
          <w:sz w:val="24"/>
        </w:rPr>
      </w:pPr>
      <w:r w:rsidRPr="00CE240B">
        <w:rPr>
          <w:sz w:val="24"/>
        </w:rPr>
        <w:t xml:space="preserve">The modern facilities provide accommodation for children and young people from the </w:t>
      </w:r>
      <w:proofErr w:type="gramStart"/>
      <w:r w:rsidRPr="00CE240B">
        <w:rPr>
          <w:sz w:val="24"/>
        </w:rPr>
        <w:t>north east</w:t>
      </w:r>
      <w:proofErr w:type="gramEnd"/>
      <w:r w:rsidRPr="00CE240B">
        <w:rPr>
          <w:sz w:val="24"/>
        </w:rPr>
        <w:t xml:space="preserve"> of England and Cumbria.  </w:t>
      </w:r>
    </w:p>
    <w:p w14:paraId="68A99B0B" w14:textId="77777777" w:rsidR="001D2E87" w:rsidRPr="00CE240B" w:rsidRDefault="001D2E87" w:rsidP="00CE240B">
      <w:pPr>
        <w:contextualSpacing/>
        <w:rPr>
          <w:sz w:val="24"/>
        </w:rPr>
      </w:pPr>
      <w:r w:rsidRPr="00CE240B">
        <w:rPr>
          <w:sz w:val="24"/>
        </w:rPr>
        <w:t>The unit has 40 beds in four different wards with en-suite facilities.  A wide range of therapy, educational, social and recreational facilities are available as well as accommodation for visiting families and office accommodation for staff.</w:t>
      </w:r>
    </w:p>
    <w:p w14:paraId="4DADF4D3" w14:textId="77777777" w:rsidR="001D2E87" w:rsidRPr="00CE240B" w:rsidRDefault="001D2E87" w:rsidP="00CE240B">
      <w:pPr>
        <w:contextualSpacing/>
        <w:rPr>
          <w:sz w:val="24"/>
        </w:rPr>
      </w:pPr>
      <w:r w:rsidRPr="00CE240B">
        <w:rPr>
          <w:sz w:val="24"/>
        </w:rPr>
        <w:t>The design of the new unit was developed in conjunction with the young patients with regular meetings with staff, the architects and construction partners throughout the process.</w:t>
      </w:r>
    </w:p>
    <w:p w14:paraId="33B2D950" w14:textId="77777777" w:rsidR="00CE240B" w:rsidRDefault="00CE240B" w:rsidP="00CE240B">
      <w:pPr>
        <w:contextualSpacing/>
        <w:rPr>
          <w:rFonts w:eastAsia="Arial"/>
          <w:b/>
          <w:bCs/>
          <w:color w:val="1F497D" w:themeColor="text2"/>
          <w:sz w:val="24"/>
        </w:rPr>
      </w:pPr>
    </w:p>
    <w:p w14:paraId="259617D9" w14:textId="3F5B7C0D" w:rsidR="001D2E87" w:rsidRDefault="001D2E87" w:rsidP="00CE240B">
      <w:pPr>
        <w:contextualSpacing/>
        <w:rPr>
          <w:rFonts w:eastAsia="Arial"/>
          <w:b/>
          <w:bCs/>
          <w:color w:val="0070C0"/>
          <w:sz w:val="24"/>
        </w:rPr>
      </w:pPr>
      <w:r w:rsidRPr="007E7D73">
        <w:rPr>
          <w:rFonts w:eastAsia="Arial"/>
          <w:b/>
          <w:bCs/>
          <w:color w:val="0070C0"/>
          <w:sz w:val="24"/>
        </w:rPr>
        <w:t>Hopewood Park</w:t>
      </w:r>
    </w:p>
    <w:p w14:paraId="14807CE3" w14:textId="77777777" w:rsidR="007E7D73" w:rsidRPr="007E7D73" w:rsidRDefault="007E7D73" w:rsidP="00CE240B">
      <w:pPr>
        <w:contextualSpacing/>
        <w:rPr>
          <w:rFonts w:eastAsia="Arial"/>
          <w:b/>
          <w:bCs/>
          <w:color w:val="0070C0"/>
          <w:sz w:val="24"/>
        </w:rPr>
      </w:pPr>
    </w:p>
    <w:p w14:paraId="0A1DA778" w14:textId="77777777" w:rsidR="001D2E87" w:rsidRPr="00CE240B" w:rsidRDefault="001D2E87" w:rsidP="00CE240B">
      <w:pPr>
        <w:contextualSpacing/>
        <w:rPr>
          <w:sz w:val="24"/>
        </w:rPr>
      </w:pPr>
      <w:r w:rsidRPr="00CE240B">
        <w:rPr>
          <w:sz w:val="24"/>
        </w:rPr>
        <w:t>Hopewood Park, opened in 2014, is an assessment and treatment centre providing adult psychiatric intensive care.  The hospital also delivers a ‘moving on’ service for people with complex care needs who require short term intensive rehabilitation.</w:t>
      </w:r>
    </w:p>
    <w:p w14:paraId="2EAE4C95" w14:textId="77777777" w:rsidR="001D2E87" w:rsidRPr="00CE240B" w:rsidRDefault="001D2E87" w:rsidP="00CE240B">
      <w:pPr>
        <w:contextualSpacing/>
        <w:rPr>
          <w:sz w:val="24"/>
        </w:rPr>
      </w:pPr>
      <w:r w:rsidRPr="00CE240B">
        <w:rPr>
          <w:noProof/>
          <w:sz w:val="24"/>
        </w:rPr>
        <w:drawing>
          <wp:anchor distT="0" distB="0" distL="114300" distR="114300" simplePos="0" relativeHeight="251667456" behindDoc="1" locked="0" layoutInCell="1" allowOverlap="1" wp14:anchorId="6296276F" wp14:editId="3573AC09">
            <wp:simplePos x="0" y="0"/>
            <wp:positionH relativeFrom="column">
              <wp:posOffset>264160</wp:posOffset>
            </wp:positionH>
            <wp:positionV relativeFrom="paragraph">
              <wp:posOffset>-635</wp:posOffset>
            </wp:positionV>
            <wp:extent cx="2914015" cy="2738755"/>
            <wp:effectExtent l="0" t="0" r="635" b="4445"/>
            <wp:wrapTight wrapText="bothSides">
              <wp:wrapPolygon edited="0">
                <wp:start x="0" y="0"/>
                <wp:lineTo x="0" y="21485"/>
                <wp:lineTo x="21463" y="21485"/>
                <wp:lineTo x="2146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0138"/>
                    <a:stretch/>
                  </pic:blipFill>
                  <pic:spPr bwMode="auto">
                    <a:xfrm>
                      <a:off x="0" y="0"/>
                      <a:ext cx="2914015" cy="273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240B">
        <w:rPr>
          <w:sz w:val="24"/>
        </w:rPr>
        <w:t>As well as providing inpatient and community care the hospital is also home to the Street Triage team which is delivered in partnership with Northumbria Police, a carers’ information hub, and the Initial Response Service for Sunderland and the South of Tyne. </w:t>
      </w:r>
    </w:p>
    <w:p w14:paraId="6FBCCD7D" w14:textId="77777777" w:rsidR="001D2E87" w:rsidRPr="00CE240B" w:rsidRDefault="001D2E87" w:rsidP="00CE240B">
      <w:pPr>
        <w:contextualSpacing/>
        <w:rPr>
          <w:sz w:val="24"/>
        </w:rPr>
      </w:pPr>
      <w:r w:rsidRPr="00CE240B">
        <w:rPr>
          <w:sz w:val="24"/>
        </w:rPr>
        <w:t>Service users and their carers are supported by around 390 staff working in nursing, occupational therapy, peer support, catering and in community service</w:t>
      </w:r>
    </w:p>
    <w:p w14:paraId="39241AB0" w14:textId="77777777" w:rsidR="001D2E87" w:rsidRPr="00CE240B" w:rsidRDefault="001D2E87" w:rsidP="00CE240B">
      <w:pPr>
        <w:contextualSpacing/>
        <w:rPr>
          <w:sz w:val="24"/>
        </w:rPr>
      </w:pPr>
    </w:p>
    <w:p w14:paraId="3920A988" w14:textId="77777777" w:rsidR="001D2E87" w:rsidRPr="00CE240B" w:rsidRDefault="001D2E87" w:rsidP="00CE240B">
      <w:pPr>
        <w:contextualSpacing/>
        <w:rPr>
          <w:rFonts w:eastAsia="Arial"/>
          <w:b/>
          <w:bCs/>
          <w:color w:val="1F497D" w:themeColor="text2"/>
          <w:sz w:val="24"/>
        </w:rPr>
      </w:pPr>
    </w:p>
    <w:p w14:paraId="295308D8" w14:textId="77777777" w:rsidR="00CE240B" w:rsidRDefault="00CE240B" w:rsidP="00CE240B">
      <w:pPr>
        <w:contextualSpacing/>
        <w:rPr>
          <w:rFonts w:eastAsia="Arial"/>
          <w:b/>
          <w:bCs/>
          <w:color w:val="1F497D" w:themeColor="text2"/>
          <w:sz w:val="24"/>
        </w:rPr>
      </w:pPr>
    </w:p>
    <w:p w14:paraId="66C455D2" w14:textId="77777777" w:rsidR="00CE240B" w:rsidRDefault="00CE240B" w:rsidP="00CE240B">
      <w:pPr>
        <w:contextualSpacing/>
        <w:rPr>
          <w:rFonts w:eastAsia="Arial"/>
          <w:b/>
          <w:bCs/>
          <w:color w:val="1F497D" w:themeColor="text2"/>
          <w:sz w:val="24"/>
        </w:rPr>
      </w:pPr>
    </w:p>
    <w:p w14:paraId="351486D8" w14:textId="71871883" w:rsidR="001D2E87" w:rsidRPr="007E7D73" w:rsidRDefault="001D2E87" w:rsidP="00CE240B">
      <w:pPr>
        <w:contextualSpacing/>
        <w:rPr>
          <w:rFonts w:eastAsia="Arial"/>
          <w:b/>
          <w:bCs/>
          <w:color w:val="0070C0"/>
          <w:sz w:val="24"/>
        </w:rPr>
      </w:pPr>
      <w:r w:rsidRPr="007E7D73">
        <w:rPr>
          <w:rFonts w:eastAsia="Arial"/>
          <w:b/>
          <w:bCs/>
          <w:color w:val="0070C0"/>
          <w:sz w:val="24"/>
        </w:rPr>
        <w:t>Tyne</w:t>
      </w:r>
      <w:r w:rsidRPr="007E7D73">
        <w:rPr>
          <w:noProof/>
          <w:color w:val="0070C0"/>
          <w:sz w:val="24"/>
        </w:rPr>
        <w:drawing>
          <wp:anchor distT="0" distB="0" distL="114300" distR="114300" simplePos="0" relativeHeight="251666432" behindDoc="1" locked="0" layoutInCell="1" allowOverlap="1" wp14:anchorId="319B9F86" wp14:editId="3A43B1BF">
            <wp:simplePos x="0" y="0"/>
            <wp:positionH relativeFrom="column">
              <wp:posOffset>2783645</wp:posOffset>
            </wp:positionH>
            <wp:positionV relativeFrom="paragraph">
              <wp:posOffset>307291</wp:posOffset>
            </wp:positionV>
            <wp:extent cx="3239135" cy="2483485"/>
            <wp:effectExtent l="0" t="0" r="0" b="0"/>
            <wp:wrapTight wrapText="bothSides">
              <wp:wrapPolygon edited="0">
                <wp:start x="0" y="0"/>
                <wp:lineTo x="0" y="21374"/>
                <wp:lineTo x="21469" y="21374"/>
                <wp:lineTo x="21469" y="0"/>
                <wp:lineTo x="0" y="0"/>
              </wp:wrapPolygon>
            </wp:wrapTight>
            <wp:docPr id="3" name="Picture 3" descr="G:\Estates &amp; Property Management\Estates Strategy\Estates Strategy 2018\Tyne-Jill-Tate-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states &amp; Property Management\Estates Strategy\Estates Strategy 2018\Tyne-Jill-Tate-7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9135" cy="2483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7D73">
        <w:rPr>
          <w:rFonts w:eastAsia="Arial"/>
          <w:b/>
          <w:bCs/>
          <w:color w:val="0070C0"/>
          <w:sz w:val="24"/>
        </w:rPr>
        <w:t xml:space="preserve"> </w:t>
      </w:r>
    </w:p>
    <w:p w14:paraId="64DD2DE8" w14:textId="77777777" w:rsidR="007E7D73" w:rsidRPr="00CE240B" w:rsidRDefault="007E7D73" w:rsidP="00CE240B">
      <w:pPr>
        <w:contextualSpacing/>
        <w:rPr>
          <w:rFonts w:eastAsia="Arial"/>
          <w:b/>
          <w:bCs/>
          <w:color w:val="1F497D" w:themeColor="text2"/>
          <w:sz w:val="24"/>
        </w:rPr>
      </w:pPr>
    </w:p>
    <w:p w14:paraId="6F85EE66" w14:textId="77777777" w:rsidR="001D2E87" w:rsidRPr="00CE240B" w:rsidRDefault="001D2E87" w:rsidP="00CE240B">
      <w:pPr>
        <w:contextualSpacing/>
        <w:rPr>
          <w:rFonts w:eastAsia="Arial"/>
          <w:b/>
          <w:bCs/>
          <w:color w:val="1F497D" w:themeColor="text2"/>
          <w:sz w:val="24"/>
        </w:rPr>
      </w:pPr>
      <w:r w:rsidRPr="00CE240B">
        <w:rPr>
          <w:sz w:val="24"/>
        </w:rPr>
        <w:t xml:space="preserve">The Tyne Unit, on Northgate Hospital site in Morpeth is a 24-bed ward which provides locked forensic rehabilitation services exclusively for male patients over 40 years old with learning disabilities. </w:t>
      </w:r>
    </w:p>
    <w:p w14:paraId="0017A868" w14:textId="77777777" w:rsidR="001D2E87" w:rsidRPr="00CE240B" w:rsidRDefault="001D2E87" w:rsidP="00CE240B">
      <w:pPr>
        <w:contextualSpacing/>
        <w:rPr>
          <w:sz w:val="24"/>
        </w:rPr>
      </w:pPr>
      <w:r w:rsidRPr="00CE240B">
        <w:rPr>
          <w:sz w:val="24"/>
        </w:rPr>
        <w:t xml:space="preserve">The ward is split into four flats, each with six en-suite bedrooms, a living room, dining area, training kitchen, treatment rooms </w:t>
      </w:r>
      <w:proofErr w:type="gramStart"/>
      <w:r w:rsidRPr="00CE240B">
        <w:rPr>
          <w:sz w:val="24"/>
        </w:rPr>
        <w:t>and also</w:t>
      </w:r>
      <w:proofErr w:type="gramEnd"/>
      <w:r w:rsidRPr="00CE240B">
        <w:rPr>
          <w:sz w:val="24"/>
        </w:rPr>
        <w:t xml:space="preserve"> group and activity rooms.</w:t>
      </w:r>
    </w:p>
    <w:p w14:paraId="26A4603F" w14:textId="77777777" w:rsidR="001D2E87" w:rsidRPr="00CE240B" w:rsidRDefault="001D2E87" w:rsidP="00CE240B">
      <w:pPr>
        <w:contextualSpacing/>
        <w:rPr>
          <w:sz w:val="24"/>
        </w:rPr>
      </w:pPr>
      <w:r w:rsidRPr="00CE240B">
        <w:rPr>
          <w:sz w:val="24"/>
        </w:rPr>
        <w:t>Tyne Unit forms part of the wider forensic Learning Disability service and provides specialist multidisciplinary care and treatment for men who are vulnerable and or at risk to themselves or others, and offers a comprehensive treatment programme, incorporating a wide range of needs based individual and group treatments.</w:t>
      </w:r>
    </w:p>
    <w:p w14:paraId="0B0D08CA" w14:textId="77777777" w:rsidR="001D2E87" w:rsidRPr="00CE240B" w:rsidRDefault="001D2E87" w:rsidP="00CE240B">
      <w:pPr>
        <w:contextualSpacing/>
        <w:rPr>
          <w:rFonts w:eastAsia="Arial"/>
          <w:b/>
          <w:bCs/>
          <w:color w:val="1F497D" w:themeColor="text2"/>
          <w:sz w:val="24"/>
        </w:rPr>
      </w:pPr>
    </w:p>
    <w:p w14:paraId="3428F14D" w14:textId="723ACD99" w:rsidR="001D2E87" w:rsidRPr="007E7D73" w:rsidRDefault="001D2E87" w:rsidP="00CE240B">
      <w:pPr>
        <w:contextualSpacing/>
        <w:rPr>
          <w:rFonts w:eastAsia="Arial"/>
          <w:b/>
          <w:bCs/>
          <w:color w:val="0070C0"/>
          <w:sz w:val="24"/>
        </w:rPr>
      </w:pPr>
      <w:r w:rsidRPr="007E7D73">
        <w:rPr>
          <w:rFonts w:eastAsia="Arial"/>
          <w:b/>
          <w:bCs/>
          <w:color w:val="0070C0"/>
          <w:sz w:val="24"/>
        </w:rPr>
        <w:t>Mitford Unit</w:t>
      </w:r>
    </w:p>
    <w:p w14:paraId="21BDD3BE"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68480" behindDoc="1" locked="0" layoutInCell="1" allowOverlap="1" wp14:anchorId="5206AC99" wp14:editId="65185CF8">
            <wp:simplePos x="0" y="0"/>
            <wp:positionH relativeFrom="column">
              <wp:posOffset>232410</wp:posOffset>
            </wp:positionH>
            <wp:positionV relativeFrom="paragraph">
              <wp:posOffset>106045</wp:posOffset>
            </wp:positionV>
            <wp:extent cx="3181057" cy="2160000"/>
            <wp:effectExtent l="0" t="0" r="635" b="0"/>
            <wp:wrapTight wrapText="bothSides">
              <wp:wrapPolygon edited="0">
                <wp:start x="0" y="0"/>
                <wp:lineTo x="0" y="21340"/>
                <wp:lineTo x="21475" y="21340"/>
                <wp:lineTo x="2147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81057" cy="2160000"/>
                    </a:xfrm>
                    <a:prstGeom prst="rect">
                      <a:avLst/>
                    </a:prstGeom>
                    <a:ln>
                      <a:noFill/>
                    </a:ln>
                  </pic:spPr>
                </pic:pic>
              </a:graphicData>
            </a:graphic>
            <wp14:sizeRelH relativeFrom="margin">
              <wp14:pctWidth>0</wp14:pctWidth>
            </wp14:sizeRelH>
            <wp14:sizeRelV relativeFrom="margin">
              <wp14:pctHeight>0</wp14:pctHeight>
            </wp14:sizeRelV>
          </wp:anchor>
        </w:drawing>
      </w:r>
      <w:r w:rsidRPr="00CE240B">
        <w:rPr>
          <w:sz w:val="24"/>
        </w:rPr>
        <w:t>Mitford Unit on the Northgate site was opened to patients in November 2016. The unit is tailored specifically to be as welcoming as possible to adults with an autism spectrum disorder. It is a bespoke centre designed in partnership with service users, families, and NHS staff to offer time limited support at times of mental ill health.</w:t>
      </w:r>
    </w:p>
    <w:p w14:paraId="0A70DF6B" w14:textId="77777777" w:rsidR="001D2E87" w:rsidRPr="00CE240B" w:rsidRDefault="001D2E87" w:rsidP="00CE240B">
      <w:pPr>
        <w:contextualSpacing/>
        <w:rPr>
          <w:sz w:val="24"/>
        </w:rPr>
      </w:pPr>
      <w:r w:rsidRPr="00CE240B">
        <w:rPr>
          <w:sz w:val="24"/>
        </w:rPr>
        <w:t xml:space="preserve">The unit provides highly personalised inpatient care, should it be needed. At Mitford’s centre is a concentrated focus on working together with service users, families and carers. </w:t>
      </w:r>
    </w:p>
    <w:p w14:paraId="2737B29C" w14:textId="77777777" w:rsidR="001D2E87" w:rsidRPr="00CE240B" w:rsidRDefault="001D2E87" w:rsidP="00CE240B">
      <w:pPr>
        <w:contextualSpacing/>
        <w:rPr>
          <w:sz w:val="24"/>
        </w:rPr>
      </w:pPr>
      <w:r w:rsidRPr="00CE240B">
        <w:rPr>
          <w:sz w:val="24"/>
        </w:rPr>
        <w:t>Areas such as the sensory room, activity room and even the corridors, have all been designed to reduce anxiety and support patients. Specialist features include:</w:t>
      </w:r>
    </w:p>
    <w:p w14:paraId="1ECBE0FE" w14:textId="77777777" w:rsidR="001D2E87" w:rsidRPr="00CE240B" w:rsidRDefault="001D2E87" w:rsidP="002867BC">
      <w:pPr>
        <w:pStyle w:val="ListParagraph"/>
        <w:numPr>
          <w:ilvl w:val="0"/>
          <w:numId w:val="30"/>
        </w:numPr>
        <w:spacing w:before="120" w:after="120"/>
        <w:ind w:right="340"/>
        <w:jc w:val="both"/>
        <w:rPr>
          <w:sz w:val="24"/>
        </w:rPr>
      </w:pPr>
      <w:r w:rsidRPr="00CE240B">
        <w:rPr>
          <w:sz w:val="24"/>
        </w:rPr>
        <w:t xml:space="preserve">Curved walls and seating areas and doors and cupboards that can be hidden into walls to create smooth lines and reduce anxiety. </w:t>
      </w:r>
    </w:p>
    <w:p w14:paraId="0E832D58" w14:textId="77777777" w:rsidR="001D2E87" w:rsidRPr="00CE240B" w:rsidRDefault="001D2E87" w:rsidP="002867BC">
      <w:pPr>
        <w:pStyle w:val="ListParagraph"/>
        <w:numPr>
          <w:ilvl w:val="0"/>
          <w:numId w:val="30"/>
        </w:numPr>
        <w:spacing w:before="120" w:after="120"/>
        <w:ind w:right="340"/>
        <w:jc w:val="both"/>
        <w:rPr>
          <w:sz w:val="24"/>
        </w:rPr>
      </w:pPr>
      <w:r w:rsidRPr="00CE240B">
        <w:rPr>
          <w:sz w:val="24"/>
        </w:rPr>
        <w:t xml:space="preserve">Precise temperature and lighting controls for each living area to adjust the environment depending on patients’ needs. </w:t>
      </w:r>
    </w:p>
    <w:p w14:paraId="596F3DDE" w14:textId="77777777" w:rsidR="001D2E87" w:rsidRPr="00CE240B" w:rsidRDefault="001D2E87" w:rsidP="002867BC">
      <w:pPr>
        <w:pStyle w:val="ListParagraph"/>
        <w:numPr>
          <w:ilvl w:val="0"/>
          <w:numId w:val="30"/>
        </w:numPr>
        <w:spacing w:before="120" w:after="120"/>
        <w:ind w:right="340"/>
        <w:jc w:val="both"/>
        <w:rPr>
          <w:sz w:val="24"/>
        </w:rPr>
      </w:pPr>
      <w:r w:rsidRPr="00CE240B">
        <w:rPr>
          <w:sz w:val="24"/>
        </w:rPr>
        <w:t xml:space="preserve">Sound-proofing throughout the unit to help reduce noise sensitivity. </w:t>
      </w:r>
    </w:p>
    <w:p w14:paraId="1BA550A2" w14:textId="77777777" w:rsidR="001D2E87" w:rsidRPr="00CE240B" w:rsidRDefault="001D2E87" w:rsidP="002867BC">
      <w:pPr>
        <w:pStyle w:val="ListParagraph"/>
        <w:numPr>
          <w:ilvl w:val="0"/>
          <w:numId w:val="30"/>
        </w:numPr>
        <w:spacing w:before="120" w:after="120"/>
        <w:ind w:right="340"/>
        <w:jc w:val="both"/>
        <w:rPr>
          <w:sz w:val="24"/>
        </w:rPr>
      </w:pPr>
      <w:r w:rsidRPr="00CE240B">
        <w:rPr>
          <w:sz w:val="24"/>
        </w:rPr>
        <w:t xml:space="preserve">High ceilings and windows to maximize natural light. </w:t>
      </w:r>
    </w:p>
    <w:p w14:paraId="3DEC7AB2" w14:textId="77777777" w:rsidR="00CE240B" w:rsidRDefault="00CE240B" w:rsidP="00CE240B">
      <w:pPr>
        <w:contextualSpacing/>
        <w:rPr>
          <w:b/>
          <w:sz w:val="24"/>
        </w:rPr>
      </w:pPr>
    </w:p>
    <w:p w14:paraId="3013084E" w14:textId="5623FEA2" w:rsidR="001D2E87" w:rsidRDefault="001D2E87" w:rsidP="00CE240B">
      <w:pPr>
        <w:contextualSpacing/>
        <w:rPr>
          <w:b/>
          <w:color w:val="0070C0"/>
          <w:sz w:val="24"/>
        </w:rPr>
      </w:pPr>
      <w:r w:rsidRPr="007E7D73">
        <w:rPr>
          <w:b/>
          <w:color w:val="0070C0"/>
          <w:sz w:val="24"/>
        </w:rPr>
        <w:t>Cleadon Ward</w:t>
      </w:r>
    </w:p>
    <w:p w14:paraId="1D1717D2" w14:textId="77777777" w:rsidR="007E7D73" w:rsidRPr="007E7D73" w:rsidRDefault="007E7D73" w:rsidP="00CE240B">
      <w:pPr>
        <w:contextualSpacing/>
        <w:rPr>
          <w:b/>
          <w:color w:val="0070C0"/>
          <w:sz w:val="24"/>
        </w:rPr>
      </w:pPr>
    </w:p>
    <w:p w14:paraId="65326DAD" w14:textId="303613F9" w:rsidR="001D2E87" w:rsidRPr="00CE240B" w:rsidRDefault="001D2E87" w:rsidP="00CE240B">
      <w:pPr>
        <w:contextualSpacing/>
        <w:rPr>
          <w:sz w:val="24"/>
        </w:rPr>
      </w:pPr>
      <w:r w:rsidRPr="00CE240B">
        <w:rPr>
          <w:sz w:val="24"/>
        </w:rPr>
        <w:t xml:space="preserve">Cleadon Ward is an </w:t>
      </w:r>
      <w:r w:rsidR="002D27B6" w:rsidRPr="00CE240B">
        <w:rPr>
          <w:sz w:val="24"/>
        </w:rPr>
        <w:t>18-bed</w:t>
      </w:r>
      <w:r w:rsidRPr="00CE240B">
        <w:rPr>
          <w:sz w:val="24"/>
        </w:rPr>
        <w:t xml:space="preserve"> assessment and treatment unit providing modern </w:t>
      </w:r>
      <w:r w:rsidR="00084AD8" w:rsidRPr="00CE240B">
        <w:rPr>
          <w:sz w:val="24"/>
        </w:rPr>
        <w:t>purpose-built</w:t>
      </w:r>
      <w:r w:rsidRPr="00CE240B">
        <w:rPr>
          <w:sz w:val="24"/>
        </w:rPr>
        <w:t xml:space="preserve"> accommodation for older people who primarily are experiencing mental health </w:t>
      </w:r>
      <w:r w:rsidR="00084AD8" w:rsidRPr="00CE240B">
        <w:rPr>
          <w:sz w:val="24"/>
        </w:rPr>
        <w:t>issues but</w:t>
      </w:r>
      <w:r w:rsidRPr="00CE240B">
        <w:rPr>
          <w:sz w:val="24"/>
        </w:rPr>
        <w:t xml:space="preserve"> also have physical frailty. </w:t>
      </w:r>
    </w:p>
    <w:p w14:paraId="5AA681C7" w14:textId="77777777" w:rsidR="001D2E87" w:rsidRPr="00CE240B" w:rsidRDefault="001D2E87" w:rsidP="00CE240B">
      <w:pPr>
        <w:contextualSpacing/>
        <w:rPr>
          <w:sz w:val="24"/>
        </w:rPr>
      </w:pPr>
      <w:r w:rsidRPr="00CE240B">
        <w:rPr>
          <w:rFonts w:eastAsia="Arial"/>
          <w:noProof/>
          <w:sz w:val="24"/>
        </w:rPr>
        <w:drawing>
          <wp:anchor distT="0" distB="0" distL="114300" distR="114300" simplePos="0" relativeHeight="251665408" behindDoc="1" locked="0" layoutInCell="1" allowOverlap="1" wp14:anchorId="72B38BCE" wp14:editId="6D074562">
            <wp:simplePos x="0" y="0"/>
            <wp:positionH relativeFrom="column">
              <wp:posOffset>251460</wp:posOffset>
            </wp:positionH>
            <wp:positionV relativeFrom="paragraph">
              <wp:posOffset>100965</wp:posOffset>
            </wp:positionV>
            <wp:extent cx="2777490" cy="1814195"/>
            <wp:effectExtent l="0" t="0" r="3810" b="0"/>
            <wp:wrapTight wrapText="bothSides">
              <wp:wrapPolygon edited="0">
                <wp:start x="0" y="0"/>
                <wp:lineTo x="0" y="21320"/>
                <wp:lineTo x="21481" y="21320"/>
                <wp:lineTo x="2148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7490" cy="1814195"/>
                    </a:xfrm>
                    <a:prstGeom prst="rect">
                      <a:avLst/>
                    </a:prstGeom>
                    <a:noFill/>
                  </pic:spPr>
                </pic:pic>
              </a:graphicData>
            </a:graphic>
            <wp14:sizeRelH relativeFrom="margin">
              <wp14:pctWidth>0</wp14:pctWidth>
            </wp14:sizeRelH>
            <wp14:sizeRelV relativeFrom="margin">
              <wp14:pctHeight>0</wp14:pctHeight>
            </wp14:sizeRelV>
          </wp:anchor>
        </w:drawing>
      </w:r>
      <w:r w:rsidRPr="00CE240B">
        <w:rPr>
          <w:sz w:val="24"/>
        </w:rPr>
        <w:t>The unit is part of the specialist Older Persons Centre working alongside the dementia units of Mowbray and Roker Ward, and the challenging behaviour unit of Marsden.</w:t>
      </w:r>
    </w:p>
    <w:p w14:paraId="40CD99C4" w14:textId="77777777" w:rsidR="001D2E87" w:rsidRPr="00CE240B" w:rsidRDefault="001D2E87" w:rsidP="00CE240B">
      <w:pPr>
        <w:contextualSpacing/>
        <w:rPr>
          <w:sz w:val="24"/>
        </w:rPr>
      </w:pPr>
      <w:r w:rsidRPr="00CE240B">
        <w:rPr>
          <w:sz w:val="24"/>
        </w:rPr>
        <w:t xml:space="preserve">The bedrooms provide a safe environment for patients encouraging the healing process for people who are physically frail. The attractive outdoor courtyard offers patients the opportunity to indulge in a passion for gardening by tending to the raised flower beds. </w:t>
      </w:r>
    </w:p>
    <w:p w14:paraId="2A90D251" w14:textId="77777777" w:rsidR="001D2E87" w:rsidRPr="00CE240B" w:rsidRDefault="001D2E87" w:rsidP="00CE240B">
      <w:pPr>
        <w:contextualSpacing/>
        <w:rPr>
          <w:sz w:val="24"/>
        </w:rPr>
      </w:pPr>
      <w:r w:rsidRPr="00CE240B">
        <w:rPr>
          <w:sz w:val="24"/>
        </w:rPr>
        <w:t xml:space="preserve">The unit features artwork which was developed with the involvement of staff and patients. It provides a welcoming and pleasant environment and features </w:t>
      </w:r>
      <w:proofErr w:type="gramStart"/>
      <w:r w:rsidRPr="00CE240B">
        <w:rPr>
          <w:sz w:val="24"/>
        </w:rPr>
        <w:t>a number of</w:t>
      </w:r>
      <w:proofErr w:type="gramEnd"/>
      <w:r w:rsidRPr="00CE240B">
        <w:rPr>
          <w:sz w:val="24"/>
        </w:rPr>
        <w:t xml:space="preserve"> bespoke art installations such as artwork windows and wall papers featuring local landmarks.</w:t>
      </w:r>
    </w:p>
    <w:p w14:paraId="0824C068" w14:textId="77777777" w:rsidR="007E7D73" w:rsidRDefault="007E7D73">
      <w:pPr>
        <w:spacing w:after="200" w:line="276" w:lineRule="auto"/>
      </w:pPr>
    </w:p>
    <w:p w14:paraId="10E1264D" w14:textId="745C8101" w:rsidR="001D2E87" w:rsidRDefault="001D2E87" w:rsidP="00CE240B">
      <w:pPr>
        <w:pStyle w:val="Heading2"/>
        <w:ind w:left="0"/>
        <w:rPr>
          <w:color w:val="0070C0"/>
        </w:rPr>
      </w:pPr>
      <w:r w:rsidRPr="007E7D73">
        <w:rPr>
          <w:color w:val="0070C0"/>
        </w:rPr>
        <w:t>3.4</w:t>
      </w:r>
      <w:r w:rsidRPr="007E7D73">
        <w:rPr>
          <w:color w:val="0070C0"/>
        </w:rPr>
        <w:tab/>
        <w:t>The Current Estate</w:t>
      </w:r>
    </w:p>
    <w:p w14:paraId="33255F6C" w14:textId="77777777" w:rsidR="007E7D73" w:rsidRPr="007E7D73" w:rsidRDefault="007E7D73" w:rsidP="007E7D73">
      <w:pPr>
        <w:rPr>
          <w:lang w:eastAsia="en-GB"/>
        </w:rPr>
      </w:pPr>
    </w:p>
    <w:p w14:paraId="28870648" w14:textId="77777777" w:rsidR="001D2E87" w:rsidRPr="00CE240B" w:rsidRDefault="001D2E87" w:rsidP="00CE240B">
      <w:pPr>
        <w:contextualSpacing/>
        <w:rPr>
          <w:sz w:val="24"/>
        </w:rPr>
      </w:pPr>
      <w:r w:rsidRPr="00CE240B">
        <w:rPr>
          <w:sz w:val="24"/>
        </w:rPr>
        <w:t>The Estate covers a large geographical area of over 4800 square miles with an estate portfolio comprising over 260 buildings spread across 9 principal sites and 74 satellite locations. Our services are provided from a wide range of settings, including in-patient sites, community premises, health centres and clinics as well as patient homes.</w:t>
      </w:r>
    </w:p>
    <w:p w14:paraId="5F08B55F" w14:textId="77777777" w:rsidR="001D2E87" w:rsidRPr="00CE240B" w:rsidRDefault="001D2E87" w:rsidP="00CE240B">
      <w:pPr>
        <w:contextualSpacing/>
        <w:rPr>
          <w:sz w:val="24"/>
        </w:rPr>
      </w:pPr>
      <w:r w:rsidRPr="00CE240B">
        <w:rPr>
          <w:sz w:val="24"/>
        </w:rPr>
        <w:lastRenderedPageBreak/>
        <w:t xml:space="preserve">Properties range in age from the 1870’s to the present day and ownership of these properties is mixed, with the Trust occupying space owned or leased by </w:t>
      </w:r>
      <w:proofErr w:type="gramStart"/>
      <w:r w:rsidRPr="00CE240B">
        <w:rPr>
          <w:sz w:val="24"/>
        </w:rPr>
        <w:t>a number of</w:t>
      </w:r>
      <w:proofErr w:type="gramEnd"/>
      <w:r w:rsidRPr="00CE240B">
        <w:rPr>
          <w:sz w:val="24"/>
        </w:rPr>
        <w:t xml:space="preserve"> organisations including:</w:t>
      </w:r>
    </w:p>
    <w:p w14:paraId="6C22E6B5" w14:textId="77777777" w:rsidR="001D2E87" w:rsidRPr="00CE240B" w:rsidRDefault="001D2E87" w:rsidP="002867BC">
      <w:pPr>
        <w:pStyle w:val="ListParagraph"/>
        <w:numPr>
          <w:ilvl w:val="0"/>
          <w:numId w:val="33"/>
        </w:numPr>
        <w:spacing w:before="120" w:after="120"/>
        <w:ind w:right="340"/>
        <w:jc w:val="both"/>
        <w:rPr>
          <w:sz w:val="24"/>
        </w:rPr>
      </w:pPr>
      <w:r w:rsidRPr="00CE240B">
        <w:rPr>
          <w:sz w:val="24"/>
        </w:rPr>
        <w:t>PFI</w:t>
      </w:r>
    </w:p>
    <w:p w14:paraId="11F9AEDC" w14:textId="77777777" w:rsidR="001D2E87" w:rsidRPr="00CE240B" w:rsidRDefault="001D2E87" w:rsidP="002867BC">
      <w:pPr>
        <w:pStyle w:val="ListParagraph"/>
        <w:numPr>
          <w:ilvl w:val="0"/>
          <w:numId w:val="33"/>
        </w:numPr>
        <w:spacing w:before="120" w:after="120"/>
        <w:ind w:right="340"/>
        <w:jc w:val="both"/>
        <w:rPr>
          <w:sz w:val="24"/>
        </w:rPr>
      </w:pPr>
      <w:r w:rsidRPr="00CE240B">
        <w:rPr>
          <w:sz w:val="24"/>
        </w:rPr>
        <w:t>NHS Property Services Ltd</w:t>
      </w:r>
    </w:p>
    <w:p w14:paraId="32B5E033" w14:textId="77777777" w:rsidR="001D2E87" w:rsidRPr="00CE240B" w:rsidRDefault="001D2E87" w:rsidP="002867BC">
      <w:pPr>
        <w:pStyle w:val="ListParagraph"/>
        <w:numPr>
          <w:ilvl w:val="0"/>
          <w:numId w:val="33"/>
        </w:numPr>
        <w:spacing w:before="120" w:after="120"/>
        <w:ind w:right="340"/>
        <w:jc w:val="both"/>
        <w:rPr>
          <w:sz w:val="24"/>
        </w:rPr>
      </w:pPr>
      <w:r w:rsidRPr="00CE240B">
        <w:rPr>
          <w:sz w:val="24"/>
        </w:rPr>
        <w:t>Local Authorities</w:t>
      </w:r>
    </w:p>
    <w:p w14:paraId="0666D9CD" w14:textId="77777777" w:rsidR="001D2E87" w:rsidRPr="00CE240B" w:rsidRDefault="001D2E87" w:rsidP="002867BC">
      <w:pPr>
        <w:pStyle w:val="ListParagraph"/>
        <w:numPr>
          <w:ilvl w:val="0"/>
          <w:numId w:val="33"/>
        </w:numPr>
        <w:spacing w:before="120" w:after="120"/>
        <w:ind w:right="340"/>
        <w:jc w:val="both"/>
        <w:rPr>
          <w:sz w:val="24"/>
        </w:rPr>
      </w:pPr>
      <w:r w:rsidRPr="00CE240B">
        <w:rPr>
          <w:sz w:val="24"/>
        </w:rPr>
        <w:t>General Practitioners (GPs); and</w:t>
      </w:r>
    </w:p>
    <w:p w14:paraId="32BE35B6" w14:textId="77777777" w:rsidR="001D2E87" w:rsidRPr="00CE240B" w:rsidRDefault="001D2E87" w:rsidP="002867BC">
      <w:pPr>
        <w:pStyle w:val="ListParagraph"/>
        <w:numPr>
          <w:ilvl w:val="0"/>
          <w:numId w:val="33"/>
        </w:numPr>
        <w:spacing w:before="120" w:after="120"/>
        <w:ind w:right="340"/>
        <w:jc w:val="both"/>
        <w:rPr>
          <w:sz w:val="24"/>
        </w:rPr>
      </w:pPr>
      <w:r w:rsidRPr="00CE240B">
        <w:rPr>
          <w:sz w:val="24"/>
        </w:rPr>
        <w:t>Private landlords.</w:t>
      </w:r>
    </w:p>
    <w:p w14:paraId="461F4F59" w14:textId="77777777" w:rsidR="001D2E87" w:rsidRDefault="001D2E87" w:rsidP="00CE240B">
      <w:pPr>
        <w:contextualSpacing/>
        <w:rPr>
          <w:sz w:val="24"/>
        </w:rPr>
      </w:pPr>
      <w:r w:rsidRPr="00CE240B">
        <w:rPr>
          <w:sz w:val="24"/>
        </w:rPr>
        <w:t>The following sections provide a detailed overview of this information so that a clearer understanding of the estate and its benefits and shortfalls can be put into context. The information will then be used to underpin the estates strategy as it will help to inform the organisation as to where the priorities for development should be.</w:t>
      </w:r>
    </w:p>
    <w:p w14:paraId="1298E8DA" w14:textId="3BCA86FB" w:rsidR="007E7D73" w:rsidRDefault="007E7D73">
      <w:pPr>
        <w:spacing w:after="200" w:line="276" w:lineRule="auto"/>
        <w:rPr>
          <w:sz w:val="24"/>
        </w:rPr>
      </w:pPr>
      <w:r>
        <w:rPr>
          <w:sz w:val="24"/>
        </w:rPr>
        <w:br w:type="page"/>
      </w:r>
    </w:p>
    <w:p w14:paraId="3A33E711" w14:textId="77777777" w:rsidR="001D2E87" w:rsidRDefault="001D2E87" w:rsidP="00CE240B">
      <w:pPr>
        <w:contextualSpacing/>
        <w:rPr>
          <w:rFonts w:eastAsia="Arial"/>
          <w:b/>
          <w:bCs/>
          <w:color w:val="0070C0"/>
          <w:sz w:val="24"/>
        </w:rPr>
      </w:pPr>
      <w:r w:rsidRPr="007E7D73">
        <w:rPr>
          <w:rFonts w:eastAsia="Arial"/>
          <w:b/>
          <w:bCs/>
          <w:color w:val="0070C0"/>
          <w:sz w:val="24"/>
        </w:rPr>
        <w:lastRenderedPageBreak/>
        <w:t>3.4.1</w:t>
      </w:r>
      <w:r w:rsidRPr="007E7D73">
        <w:rPr>
          <w:rFonts w:eastAsia="Arial"/>
          <w:b/>
          <w:bCs/>
          <w:color w:val="0070C0"/>
          <w:sz w:val="24"/>
        </w:rPr>
        <w:tab/>
        <w:t>Locations and Principal Site Information</w:t>
      </w:r>
    </w:p>
    <w:p w14:paraId="35F4822F" w14:textId="77777777" w:rsidR="007E7D73" w:rsidRPr="007E7D73" w:rsidRDefault="007E7D73" w:rsidP="00CE240B">
      <w:pPr>
        <w:contextualSpacing/>
        <w:rPr>
          <w:rFonts w:eastAsia="Arial"/>
          <w:b/>
          <w:bCs/>
          <w:color w:val="0070C0"/>
          <w:sz w:val="24"/>
        </w:rPr>
      </w:pPr>
    </w:p>
    <w:p w14:paraId="743459EE" w14:textId="4962ABBA" w:rsidR="001D2E87" w:rsidRPr="00CE240B" w:rsidRDefault="001D2E87" w:rsidP="00CE240B">
      <w:pPr>
        <w:contextualSpacing/>
        <w:rPr>
          <w:sz w:val="24"/>
        </w:rPr>
      </w:pPr>
      <w:r w:rsidRPr="00CE240B">
        <w:rPr>
          <w:noProof/>
          <w:sz w:val="24"/>
        </w:rPr>
        <w:drawing>
          <wp:anchor distT="0" distB="0" distL="114300" distR="114300" simplePos="0" relativeHeight="251678720" behindDoc="0" locked="0" layoutInCell="1" allowOverlap="1" wp14:anchorId="4AFDC201" wp14:editId="04086E84">
            <wp:simplePos x="0" y="0"/>
            <wp:positionH relativeFrom="column">
              <wp:posOffset>640390</wp:posOffset>
            </wp:positionH>
            <wp:positionV relativeFrom="paragraph">
              <wp:posOffset>492750</wp:posOffset>
            </wp:positionV>
            <wp:extent cx="4975860" cy="381571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975860" cy="3815715"/>
                    </a:xfrm>
                    <a:prstGeom prst="rect">
                      <a:avLst/>
                    </a:prstGeom>
                  </pic:spPr>
                </pic:pic>
              </a:graphicData>
            </a:graphic>
            <wp14:sizeRelH relativeFrom="margin">
              <wp14:pctWidth>0</wp14:pctWidth>
            </wp14:sizeRelH>
            <wp14:sizeRelV relativeFrom="margin">
              <wp14:pctHeight>0</wp14:pctHeight>
            </wp14:sizeRelV>
          </wp:anchor>
        </w:drawing>
      </w:r>
      <w:r w:rsidRPr="00CE240B">
        <w:rPr>
          <w:sz w:val="24"/>
        </w:rPr>
        <w:t>The geographical area covered for the both the principal hospital sites and others where</w:t>
      </w:r>
      <w:r w:rsidR="00DB469D">
        <w:rPr>
          <w:sz w:val="24"/>
        </w:rPr>
        <w:t xml:space="preserve"> </w:t>
      </w:r>
      <w:r w:rsidRPr="00CE240B">
        <w:rPr>
          <w:sz w:val="24"/>
        </w:rPr>
        <w:t>inpatient accommodation is provided are shown in</w:t>
      </w:r>
      <w:r w:rsidR="00DB469D">
        <w:rPr>
          <w:sz w:val="24"/>
        </w:rPr>
        <w:t xml:space="preserve"> figures 4 -       </w:t>
      </w:r>
      <w:r w:rsidRPr="00CE240B">
        <w:rPr>
          <w:sz w:val="24"/>
        </w:rPr>
        <w:t xml:space="preserve"> below:</w:t>
      </w:r>
    </w:p>
    <w:p w14:paraId="176AE8BD" w14:textId="73FE1AED" w:rsidR="001D2E87" w:rsidRPr="00CE240B" w:rsidRDefault="001D2E87" w:rsidP="00CE240B">
      <w:pPr>
        <w:contextualSpacing/>
        <w:jc w:val="center"/>
        <w:rPr>
          <w:sz w:val="24"/>
        </w:rPr>
      </w:pPr>
      <w:r>
        <w:t xml:space="preserve">Figure </w:t>
      </w:r>
      <w:r w:rsidR="00DB469D">
        <w:t>4</w:t>
      </w:r>
      <w:r>
        <w:t xml:space="preserve"> bed based services CNTW main sites</w:t>
      </w:r>
    </w:p>
    <w:p w14:paraId="7B6F5613" w14:textId="77777777" w:rsidR="001D2E87" w:rsidRPr="00CE240B" w:rsidRDefault="001D2E87" w:rsidP="00CE240B">
      <w:pPr>
        <w:contextualSpacing/>
        <w:rPr>
          <w:sz w:val="24"/>
        </w:rPr>
      </w:pPr>
    </w:p>
    <w:p w14:paraId="112D95C5" w14:textId="06D9E3CD" w:rsidR="001D2E87" w:rsidRDefault="00C07837" w:rsidP="00CE240B">
      <w:pPr>
        <w:pStyle w:val="BlockText"/>
        <w:spacing w:line="240" w:lineRule="auto"/>
        <w:contextualSpacing/>
        <w:rPr>
          <w:rFonts w:ascii="Arial" w:hAnsi="Arial" w:cs="Arial"/>
        </w:rPr>
      </w:pPr>
      <w:r>
        <w:rPr>
          <w:rFonts w:ascii="Arial" w:hAnsi="Arial" w:cs="Arial"/>
        </w:rPr>
        <w:t>T</w:t>
      </w:r>
      <w:r w:rsidR="001D2E87" w:rsidRPr="00CE240B">
        <w:rPr>
          <w:rFonts w:ascii="Arial" w:hAnsi="Arial" w:cs="Arial"/>
        </w:rPr>
        <w:t xml:space="preserve">he principal hospital sites account for the majority of the inpatient beds managed by the Trust, with the remaining inpatient services being provided in the six stand-alone units whose locations are shown in the figure above. </w:t>
      </w:r>
    </w:p>
    <w:p w14:paraId="12242697" w14:textId="77777777" w:rsidR="00DB469D" w:rsidRPr="00CE240B" w:rsidRDefault="00DB469D" w:rsidP="00CE240B">
      <w:pPr>
        <w:pStyle w:val="BlockText"/>
        <w:spacing w:line="240" w:lineRule="auto"/>
        <w:contextualSpacing/>
        <w:rPr>
          <w:rFonts w:ascii="Arial" w:hAnsi="Arial" w:cs="Arial"/>
        </w:rPr>
      </w:pPr>
    </w:p>
    <w:p w14:paraId="1CD74FDB" w14:textId="77777777" w:rsidR="001D2E87" w:rsidRPr="00CE240B" w:rsidRDefault="001D2E87" w:rsidP="00CE240B">
      <w:pPr>
        <w:pStyle w:val="BlockText"/>
        <w:spacing w:line="240" w:lineRule="auto"/>
        <w:contextualSpacing/>
        <w:rPr>
          <w:rFonts w:ascii="Arial" w:hAnsi="Arial" w:cs="Arial"/>
        </w:rPr>
      </w:pPr>
      <w:r w:rsidRPr="00CE240B">
        <w:rPr>
          <w:rFonts w:ascii="Arial" w:hAnsi="Arial" w:cs="Arial"/>
        </w:rPr>
        <w:t xml:space="preserve">A summary of the services provided from each site is detailed in the sections below, a full property schedule and location plan is contained in  Appendix 1.  </w:t>
      </w:r>
    </w:p>
    <w:p w14:paraId="48311D61" w14:textId="77777777" w:rsidR="001D2E87" w:rsidRPr="007E7D73" w:rsidRDefault="001D2E87" w:rsidP="00CE240B">
      <w:pPr>
        <w:pStyle w:val="BlockText"/>
        <w:spacing w:line="240" w:lineRule="auto"/>
        <w:contextualSpacing/>
        <w:rPr>
          <w:color w:val="0070C0"/>
        </w:rPr>
      </w:pPr>
    </w:p>
    <w:p w14:paraId="7AAF23F1" w14:textId="77777777" w:rsidR="001D2E87" w:rsidRDefault="001D2E87" w:rsidP="00CE240B">
      <w:pPr>
        <w:pStyle w:val="Heading2"/>
        <w:ind w:left="0"/>
        <w:rPr>
          <w:color w:val="0070C0"/>
        </w:rPr>
      </w:pPr>
      <w:r w:rsidRPr="007E7D73">
        <w:rPr>
          <w:color w:val="0070C0"/>
        </w:rPr>
        <w:t>Northgate Hospital</w:t>
      </w:r>
    </w:p>
    <w:p w14:paraId="437DD0F5" w14:textId="77777777" w:rsidR="007E7D73" w:rsidRPr="007E7D73" w:rsidRDefault="007E7D73" w:rsidP="007E7D73">
      <w:pPr>
        <w:rPr>
          <w:lang w:eastAsia="en-GB"/>
        </w:rPr>
      </w:pPr>
    </w:p>
    <w:p w14:paraId="2C02DB80" w14:textId="77777777" w:rsidR="001D2E87" w:rsidRDefault="001D2E87" w:rsidP="00CE240B">
      <w:pPr>
        <w:contextualSpacing/>
        <w:rPr>
          <w:sz w:val="24"/>
        </w:rPr>
      </w:pPr>
      <w:r w:rsidRPr="00CE240B">
        <w:rPr>
          <w:sz w:val="24"/>
        </w:rPr>
        <w:t>Northgate Hospital is situated on the outskirts of Morpeth in Northumberland set in approximately 28 hectares of land.  Over the last 20 years the site has seen significant change with several villas demolished and in 2015 a substantial part of the site was sold to Taylor Wimpey for housing development.</w:t>
      </w:r>
    </w:p>
    <w:p w14:paraId="4B7EAB12" w14:textId="77777777" w:rsidR="00DB469D" w:rsidRPr="00CE240B" w:rsidRDefault="00DB469D" w:rsidP="00CE240B">
      <w:pPr>
        <w:contextualSpacing/>
        <w:rPr>
          <w:sz w:val="24"/>
        </w:rPr>
      </w:pPr>
    </w:p>
    <w:p w14:paraId="04AB763A" w14:textId="7C803BD5" w:rsidR="001D2E87" w:rsidRPr="00CE240B" w:rsidRDefault="001D2E87" w:rsidP="00CE240B">
      <w:pPr>
        <w:contextualSpacing/>
        <w:rPr>
          <w:sz w:val="24"/>
        </w:rPr>
      </w:pPr>
      <w:r w:rsidRPr="00CE240B">
        <w:rPr>
          <w:sz w:val="24"/>
        </w:rPr>
        <w:t xml:space="preserve">The site currently provides a range of clinical services </w:t>
      </w:r>
      <w:r w:rsidR="002D27B6" w:rsidRPr="00CE240B">
        <w:rPr>
          <w:sz w:val="24"/>
        </w:rPr>
        <w:t>including</w:t>
      </w:r>
      <w:r w:rsidRPr="00CE240B">
        <w:rPr>
          <w:sz w:val="24"/>
        </w:rPr>
        <w:t xml:space="preserve"> Medium and Low Secure, Mental Health, Autism Services, Assessment and Treatment for Patients with Learning Disabilities, Adult Forensic Medium and Low Secure.</w:t>
      </w:r>
    </w:p>
    <w:p w14:paraId="40E32F71"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79744" behindDoc="0" locked="0" layoutInCell="1" allowOverlap="1" wp14:anchorId="302B5EFC" wp14:editId="0AE7C197">
            <wp:simplePos x="0" y="0"/>
            <wp:positionH relativeFrom="margin">
              <wp:posOffset>622545</wp:posOffset>
            </wp:positionH>
            <wp:positionV relativeFrom="paragraph">
              <wp:posOffset>242230</wp:posOffset>
            </wp:positionV>
            <wp:extent cx="5014595" cy="337185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014595" cy="3371850"/>
                    </a:xfrm>
                    <a:prstGeom prst="rect">
                      <a:avLst/>
                    </a:prstGeom>
                  </pic:spPr>
                </pic:pic>
              </a:graphicData>
            </a:graphic>
            <wp14:sizeRelH relativeFrom="margin">
              <wp14:pctWidth>0</wp14:pctWidth>
            </wp14:sizeRelH>
            <wp14:sizeRelV relativeFrom="margin">
              <wp14:pctHeight>0</wp14:pctHeight>
            </wp14:sizeRelV>
          </wp:anchor>
        </w:drawing>
      </w:r>
    </w:p>
    <w:p w14:paraId="669FC782" w14:textId="1EA3F542" w:rsidR="001D2E87" w:rsidRDefault="001D2E87" w:rsidP="00DB469D">
      <w:pPr>
        <w:contextualSpacing/>
        <w:jc w:val="center"/>
      </w:pPr>
      <w:r>
        <w:t xml:space="preserve">Figure </w:t>
      </w:r>
      <w:r w:rsidR="00DB469D">
        <w:t>5</w:t>
      </w:r>
      <w:r>
        <w:t xml:space="preserve"> Aerial photograph of Northgate site</w:t>
      </w:r>
    </w:p>
    <w:p w14:paraId="1416BCBD" w14:textId="77777777" w:rsidR="00DB469D" w:rsidRPr="00DB469D" w:rsidRDefault="00DB469D" w:rsidP="00DB469D">
      <w:pPr>
        <w:contextualSpacing/>
        <w:jc w:val="center"/>
      </w:pPr>
    </w:p>
    <w:p w14:paraId="1AB5AEAE" w14:textId="77777777" w:rsidR="001D2E87" w:rsidRPr="00CE240B" w:rsidRDefault="001D2E87" w:rsidP="00CE240B">
      <w:pPr>
        <w:contextualSpacing/>
        <w:rPr>
          <w:sz w:val="24"/>
        </w:rPr>
      </w:pPr>
      <w:r w:rsidRPr="00CE240B">
        <w:rPr>
          <w:sz w:val="24"/>
        </w:rPr>
        <w:t>The photograph shows an aerial view of the current site. The site is currently reaching the end of a major redevelopment which will see the consolidation of adult forensic in-patient services onto the site and will also result in a further land sale.</w:t>
      </w:r>
    </w:p>
    <w:p w14:paraId="46FB04A1" w14:textId="77777777" w:rsidR="001D2E87" w:rsidRPr="00CE240B" w:rsidRDefault="001D2E87" w:rsidP="00CE240B">
      <w:pPr>
        <w:contextualSpacing/>
        <w:rPr>
          <w:sz w:val="24"/>
        </w:rPr>
      </w:pPr>
      <w:r w:rsidRPr="00CE240B">
        <w:rPr>
          <w:sz w:val="24"/>
        </w:rPr>
        <w:t>The following summarises the current estate at Northgate:</w:t>
      </w:r>
    </w:p>
    <w:p w14:paraId="26ED6FE7" w14:textId="77777777" w:rsidR="001D2E87" w:rsidRPr="00CE240B" w:rsidRDefault="001D2E87" w:rsidP="002867BC">
      <w:pPr>
        <w:pStyle w:val="ListParagraph"/>
        <w:numPr>
          <w:ilvl w:val="0"/>
          <w:numId w:val="29"/>
        </w:numPr>
        <w:spacing w:before="120" w:after="120"/>
        <w:ind w:right="340"/>
        <w:jc w:val="both"/>
        <w:rPr>
          <w:sz w:val="24"/>
        </w:rPr>
      </w:pPr>
      <w:r w:rsidRPr="00CE240B">
        <w:rPr>
          <w:sz w:val="24"/>
        </w:rPr>
        <w:t>The elements of the CEDAR program on this site are currently under construction and will be completed in March 2023</w:t>
      </w:r>
    </w:p>
    <w:p w14:paraId="7DEABB78" w14:textId="17A4EBAB" w:rsidR="001D2E87" w:rsidRPr="00CE240B" w:rsidRDefault="001D2E87" w:rsidP="002867BC">
      <w:pPr>
        <w:pStyle w:val="ListParagraph"/>
        <w:numPr>
          <w:ilvl w:val="0"/>
          <w:numId w:val="29"/>
        </w:numPr>
        <w:spacing w:before="120" w:after="120"/>
        <w:ind w:right="340"/>
        <w:jc w:val="both"/>
        <w:rPr>
          <w:sz w:val="24"/>
        </w:rPr>
      </w:pPr>
      <w:r w:rsidRPr="00CE240B">
        <w:rPr>
          <w:sz w:val="24"/>
        </w:rPr>
        <w:t xml:space="preserve">The Tweed Unit does not provide the same standard of accommodation as other areas across the Trust, areas of deficiency </w:t>
      </w:r>
      <w:r w:rsidR="002D27B6" w:rsidRPr="00CE240B">
        <w:rPr>
          <w:sz w:val="24"/>
        </w:rPr>
        <w:t>include</w:t>
      </w:r>
      <w:r w:rsidRPr="00CE240B">
        <w:rPr>
          <w:sz w:val="24"/>
        </w:rPr>
        <w:t xml:space="preserve"> no en-suite facilities, poor outdoor space.</w:t>
      </w:r>
    </w:p>
    <w:p w14:paraId="3126E088" w14:textId="77777777" w:rsidR="001D2E87" w:rsidRPr="00CE240B" w:rsidRDefault="001D2E87" w:rsidP="002867BC">
      <w:pPr>
        <w:pStyle w:val="ListParagraph"/>
        <w:numPr>
          <w:ilvl w:val="0"/>
          <w:numId w:val="29"/>
        </w:numPr>
        <w:spacing w:before="120" w:after="120"/>
        <w:ind w:right="340"/>
        <w:jc w:val="both"/>
        <w:rPr>
          <w:sz w:val="24"/>
        </w:rPr>
      </w:pPr>
      <w:r w:rsidRPr="00CE240B">
        <w:rPr>
          <w:sz w:val="24"/>
        </w:rPr>
        <w:t xml:space="preserve">The high level of backlog maintenance associated with numerous buildings across the site will be addressed as part of the identified land sale. </w:t>
      </w:r>
    </w:p>
    <w:p w14:paraId="3B8097A6" w14:textId="77777777" w:rsidR="001D2E87" w:rsidRPr="00CE240B" w:rsidRDefault="001D2E87" w:rsidP="002867BC">
      <w:pPr>
        <w:pStyle w:val="ListParagraph"/>
        <w:numPr>
          <w:ilvl w:val="0"/>
          <w:numId w:val="29"/>
        </w:numPr>
        <w:spacing w:before="120" w:after="120"/>
        <w:ind w:right="340"/>
        <w:jc w:val="both"/>
        <w:rPr>
          <w:sz w:val="24"/>
        </w:rPr>
      </w:pPr>
      <w:r w:rsidRPr="00CE240B">
        <w:rPr>
          <w:sz w:val="24"/>
        </w:rPr>
        <w:t>The area for land sale which has been incorporated into the CEDAR project</w:t>
      </w:r>
    </w:p>
    <w:p w14:paraId="4F4697C4" w14:textId="77777777" w:rsidR="001D2E87" w:rsidRPr="00CE240B" w:rsidRDefault="001D2E87" w:rsidP="00CE240B">
      <w:pPr>
        <w:contextualSpacing/>
        <w:rPr>
          <w:sz w:val="24"/>
        </w:rPr>
      </w:pPr>
    </w:p>
    <w:p w14:paraId="62391996" w14:textId="77777777" w:rsidR="001D2E87" w:rsidRPr="007E7D73" w:rsidRDefault="001D2E87" w:rsidP="00CE240B">
      <w:pPr>
        <w:pStyle w:val="Heading2"/>
        <w:ind w:left="0"/>
        <w:rPr>
          <w:color w:val="0070C0"/>
        </w:rPr>
      </w:pPr>
      <w:r w:rsidRPr="007E7D73">
        <w:rPr>
          <w:color w:val="0070C0"/>
        </w:rPr>
        <w:t>St George’s Park</w:t>
      </w:r>
    </w:p>
    <w:p w14:paraId="671DA794" w14:textId="77777777" w:rsidR="007E7D73" w:rsidRPr="007E7D73" w:rsidRDefault="007E7D73" w:rsidP="007E7D73">
      <w:pPr>
        <w:rPr>
          <w:lang w:eastAsia="en-GB"/>
        </w:rPr>
      </w:pPr>
    </w:p>
    <w:p w14:paraId="43977219" w14:textId="77777777" w:rsidR="001D2E87" w:rsidRPr="00CE240B" w:rsidRDefault="001D2E87" w:rsidP="00CE240B">
      <w:pPr>
        <w:contextualSpacing/>
        <w:rPr>
          <w:sz w:val="24"/>
        </w:rPr>
      </w:pPr>
      <w:r w:rsidRPr="00CE240B">
        <w:rPr>
          <w:sz w:val="24"/>
        </w:rPr>
        <w:t>St George’s Park consists of in-patient facilities built via the PFI initiative on part of the former St George’s Hospital site in Morpeth and opened in 2006. The layout of the site consists of central in-patient facilities with additional detached villa type accommodation within a village complex. The concession period is 30 years inclusive of construction, at the end of which, the facility transfers to the ownership of the Trust. The site provides a range of clinical services which includes</w:t>
      </w:r>
    </w:p>
    <w:p w14:paraId="2401046C" w14:textId="77777777" w:rsidR="001D2E87" w:rsidRPr="00CE240B" w:rsidRDefault="001D2E87" w:rsidP="002867BC">
      <w:pPr>
        <w:pStyle w:val="ListParagraph"/>
        <w:numPr>
          <w:ilvl w:val="0"/>
          <w:numId w:val="34"/>
        </w:numPr>
        <w:spacing w:before="120" w:after="120"/>
        <w:ind w:right="340"/>
        <w:jc w:val="both"/>
        <w:rPr>
          <w:sz w:val="24"/>
        </w:rPr>
      </w:pPr>
      <w:r w:rsidRPr="00CE240B">
        <w:rPr>
          <w:sz w:val="24"/>
        </w:rPr>
        <w:t xml:space="preserve">Adult Urgent Care and Rehabilitation, </w:t>
      </w:r>
    </w:p>
    <w:p w14:paraId="561366D2" w14:textId="77777777" w:rsidR="001D2E87" w:rsidRPr="00CE240B" w:rsidRDefault="001D2E87" w:rsidP="002867BC">
      <w:pPr>
        <w:pStyle w:val="ListParagraph"/>
        <w:numPr>
          <w:ilvl w:val="0"/>
          <w:numId w:val="34"/>
        </w:numPr>
        <w:spacing w:before="120" w:after="120"/>
        <w:ind w:right="340"/>
        <w:jc w:val="both"/>
        <w:rPr>
          <w:sz w:val="24"/>
        </w:rPr>
      </w:pPr>
      <w:r w:rsidRPr="00CE240B">
        <w:rPr>
          <w:sz w:val="24"/>
        </w:rPr>
        <w:t xml:space="preserve">Mother and Baby Unit, </w:t>
      </w:r>
    </w:p>
    <w:p w14:paraId="415C59FC" w14:textId="77777777" w:rsidR="001D2E87" w:rsidRPr="00CE240B" w:rsidRDefault="001D2E87" w:rsidP="002867BC">
      <w:pPr>
        <w:pStyle w:val="ListParagraph"/>
        <w:numPr>
          <w:ilvl w:val="0"/>
          <w:numId w:val="34"/>
        </w:numPr>
        <w:spacing w:before="120" w:after="120"/>
        <w:ind w:right="340"/>
        <w:jc w:val="both"/>
        <w:rPr>
          <w:sz w:val="24"/>
        </w:rPr>
      </w:pPr>
      <w:r w:rsidRPr="00CE240B">
        <w:rPr>
          <w:sz w:val="24"/>
        </w:rPr>
        <w:t xml:space="preserve">Older People’s Functional, Organic and Specialist Long Term Care beds. </w:t>
      </w:r>
    </w:p>
    <w:p w14:paraId="0EF4EE45"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69504" behindDoc="0" locked="0" layoutInCell="1" allowOverlap="1" wp14:anchorId="77FA81BD" wp14:editId="60501F3A">
            <wp:simplePos x="0" y="0"/>
            <wp:positionH relativeFrom="margin">
              <wp:posOffset>560705</wp:posOffset>
            </wp:positionH>
            <wp:positionV relativeFrom="paragraph">
              <wp:posOffset>124460</wp:posOffset>
            </wp:positionV>
            <wp:extent cx="5159375" cy="3000375"/>
            <wp:effectExtent l="19050" t="19050" r="22225" b="285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a:extLst>
                        <a:ext uri="{28A0092B-C50C-407E-A947-70E740481C1C}">
                          <a14:useLocalDpi xmlns:a14="http://schemas.microsoft.com/office/drawing/2010/main" val="0"/>
                        </a:ext>
                      </a:extLst>
                    </a:blip>
                    <a:srcRect l="1984" r="2822" b="7652"/>
                    <a:stretch/>
                  </pic:blipFill>
                  <pic:spPr bwMode="auto">
                    <a:xfrm>
                      <a:off x="0" y="0"/>
                      <a:ext cx="5159375" cy="3000375"/>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7B699D" w14:textId="77777777" w:rsidR="001D2E87" w:rsidRPr="00CE240B" w:rsidRDefault="001D2E87" w:rsidP="00CE240B">
      <w:pPr>
        <w:contextualSpacing/>
        <w:rPr>
          <w:sz w:val="24"/>
        </w:rPr>
      </w:pPr>
    </w:p>
    <w:p w14:paraId="0E8FA7E5" w14:textId="1244ACC6" w:rsidR="001D2E87" w:rsidRPr="00DB469D" w:rsidRDefault="001D2E87" w:rsidP="00CE240B">
      <w:pPr>
        <w:pStyle w:val="Heading6"/>
        <w:spacing w:line="240" w:lineRule="auto"/>
        <w:contextualSpacing/>
        <w:jc w:val="center"/>
        <w:rPr>
          <w:rFonts w:ascii="Arial" w:hAnsi="Arial" w:cs="Arial"/>
          <w:i w:val="0"/>
          <w:iCs w:val="0"/>
          <w:color w:val="auto"/>
          <w:sz w:val="24"/>
        </w:rPr>
      </w:pPr>
      <w:r w:rsidRPr="00DB469D">
        <w:rPr>
          <w:rFonts w:ascii="Arial" w:hAnsi="Arial" w:cs="Arial"/>
          <w:i w:val="0"/>
          <w:iCs w:val="0"/>
          <w:color w:val="auto"/>
          <w:sz w:val="24"/>
        </w:rPr>
        <w:t xml:space="preserve">Figure </w:t>
      </w:r>
      <w:r w:rsidR="00DB469D" w:rsidRPr="00DB469D">
        <w:rPr>
          <w:rFonts w:ascii="Arial" w:hAnsi="Arial" w:cs="Arial"/>
          <w:i w:val="0"/>
          <w:iCs w:val="0"/>
          <w:color w:val="auto"/>
          <w:sz w:val="24"/>
        </w:rPr>
        <w:t>6</w:t>
      </w:r>
      <w:r w:rsidRPr="00DB469D">
        <w:rPr>
          <w:rFonts w:ascii="Arial" w:hAnsi="Arial" w:cs="Arial"/>
          <w:i w:val="0"/>
          <w:iCs w:val="0"/>
          <w:color w:val="auto"/>
          <w:sz w:val="24"/>
        </w:rPr>
        <w:t xml:space="preserve"> Aerial photograph of St George</w:t>
      </w:r>
      <w:r w:rsidR="00DB469D">
        <w:rPr>
          <w:rFonts w:ascii="Arial" w:hAnsi="Arial" w:cs="Arial"/>
          <w:i w:val="0"/>
          <w:iCs w:val="0"/>
          <w:color w:val="auto"/>
          <w:sz w:val="24"/>
        </w:rPr>
        <w:t>’</w:t>
      </w:r>
      <w:r w:rsidRPr="00DB469D">
        <w:rPr>
          <w:rFonts w:ascii="Arial" w:hAnsi="Arial" w:cs="Arial"/>
          <w:i w:val="0"/>
          <w:iCs w:val="0"/>
          <w:color w:val="auto"/>
          <w:sz w:val="24"/>
        </w:rPr>
        <w:t>s Park</w:t>
      </w:r>
    </w:p>
    <w:p w14:paraId="3828B969" w14:textId="54E7E1A1" w:rsidR="001D2E87" w:rsidRPr="00CE240B" w:rsidRDefault="001D2E87" w:rsidP="00CE240B">
      <w:pPr>
        <w:contextualSpacing/>
        <w:rPr>
          <w:sz w:val="24"/>
        </w:rPr>
      </w:pPr>
      <w:r w:rsidRPr="00CE240B">
        <w:rPr>
          <w:sz w:val="24"/>
        </w:rPr>
        <w:t>The following summarises the current estate at St George</w:t>
      </w:r>
      <w:r w:rsidR="00DB469D">
        <w:rPr>
          <w:sz w:val="24"/>
        </w:rPr>
        <w:t>’</w:t>
      </w:r>
      <w:r w:rsidRPr="00CE240B">
        <w:rPr>
          <w:sz w:val="24"/>
        </w:rPr>
        <w:t>s:</w:t>
      </w:r>
    </w:p>
    <w:p w14:paraId="0D5DB3FC"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The condition, quality and functional suitability are all rated as good</w:t>
      </w:r>
    </w:p>
    <w:p w14:paraId="5ECE7EEC"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Significant additional investment has been made on the acute wards in the last 5 years to improve safety, security and resilience</w:t>
      </w:r>
    </w:p>
    <w:p w14:paraId="32E7FC4D"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One of the elderly wards remains vacant</w:t>
      </w:r>
    </w:p>
    <w:p w14:paraId="08C6E447"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Space utilisation in the offices on the first floor is in parts considered low</w:t>
      </w:r>
    </w:p>
    <w:p w14:paraId="51302426"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A parcel of land to the north of the site is currently in the process of being sold</w:t>
      </w:r>
    </w:p>
    <w:p w14:paraId="3EE7B406" w14:textId="77777777" w:rsidR="001D2E87" w:rsidRPr="00CE240B" w:rsidRDefault="001D2E87" w:rsidP="002867BC">
      <w:pPr>
        <w:pStyle w:val="ListParagraph"/>
        <w:numPr>
          <w:ilvl w:val="0"/>
          <w:numId w:val="28"/>
        </w:numPr>
        <w:spacing w:before="120" w:after="120"/>
        <w:ind w:right="340"/>
        <w:jc w:val="both"/>
        <w:rPr>
          <w:sz w:val="24"/>
        </w:rPr>
      </w:pPr>
      <w:r w:rsidRPr="00CE240B">
        <w:rPr>
          <w:sz w:val="24"/>
        </w:rPr>
        <w:t>The acuity of patients in the Village is increasing and plans are being considered to move them into the empty Druridge ward - this would then present an issue with the Village which could be used for a range of purposes or disposed of</w:t>
      </w:r>
    </w:p>
    <w:p w14:paraId="59F22B6F" w14:textId="77777777" w:rsidR="001D2E87" w:rsidRPr="00CE240B" w:rsidRDefault="001D2E87" w:rsidP="00CE240B">
      <w:pPr>
        <w:pStyle w:val="ListParagraph"/>
        <w:rPr>
          <w:sz w:val="24"/>
        </w:rPr>
      </w:pPr>
    </w:p>
    <w:p w14:paraId="06D50350" w14:textId="77777777" w:rsidR="001D2E87" w:rsidRPr="007E7D73" w:rsidRDefault="001D2E87" w:rsidP="00CE240B">
      <w:pPr>
        <w:pStyle w:val="Heading2"/>
        <w:ind w:left="0"/>
        <w:rPr>
          <w:color w:val="0070C0"/>
        </w:rPr>
      </w:pPr>
      <w:r w:rsidRPr="007E7D73">
        <w:rPr>
          <w:color w:val="0070C0"/>
        </w:rPr>
        <w:t>St Nicholas Hospital</w:t>
      </w:r>
    </w:p>
    <w:p w14:paraId="1FAE1CA3" w14:textId="77777777" w:rsidR="007E7D73" w:rsidRPr="007E7D73" w:rsidRDefault="007E7D73" w:rsidP="007E7D73">
      <w:pPr>
        <w:rPr>
          <w:lang w:eastAsia="en-GB"/>
        </w:rPr>
      </w:pPr>
    </w:p>
    <w:p w14:paraId="34ECD986" w14:textId="77777777" w:rsidR="001D2E87" w:rsidRPr="00CE240B" w:rsidRDefault="001D2E87" w:rsidP="00CE240B">
      <w:pPr>
        <w:contextualSpacing/>
        <w:rPr>
          <w:sz w:val="24"/>
        </w:rPr>
      </w:pPr>
      <w:r w:rsidRPr="00CE240B">
        <w:rPr>
          <w:sz w:val="24"/>
        </w:rPr>
        <w:t xml:space="preserve">St Nicholas Hospital site is situated in the centre of Gosforth, Newcastle. The site comprises 12 hectares of land with mainly refurbished Victorian style buildings (66%), some newer facilities being constructed in the last 15 years (20%) and </w:t>
      </w:r>
      <w:proofErr w:type="gramStart"/>
      <w:r w:rsidRPr="00CE240B">
        <w:rPr>
          <w:sz w:val="24"/>
        </w:rPr>
        <w:t>a number of</w:t>
      </w:r>
      <w:proofErr w:type="gramEnd"/>
      <w:r w:rsidRPr="00CE240B">
        <w:rPr>
          <w:sz w:val="24"/>
        </w:rPr>
        <w:t xml:space="preserve"> other buildings of varying ages located across the site. The site provides a range of clinical services (approximately 100 beds), including Adult Forensic Medium and Low Secure, a PICU and Children and Young People’s Medium Secure units. In addition to clinical services, </w:t>
      </w:r>
      <w:proofErr w:type="gramStart"/>
      <w:r w:rsidRPr="00CE240B">
        <w:rPr>
          <w:sz w:val="24"/>
        </w:rPr>
        <w:t>the majority of</w:t>
      </w:r>
      <w:proofErr w:type="gramEnd"/>
      <w:r w:rsidRPr="00CE240B">
        <w:rPr>
          <w:sz w:val="24"/>
        </w:rPr>
        <w:t xml:space="preserve"> corporate services for the Trust are also provided from this site. </w:t>
      </w:r>
      <w:proofErr w:type="gramStart"/>
      <w:r w:rsidRPr="00CE240B">
        <w:rPr>
          <w:sz w:val="24"/>
        </w:rPr>
        <w:t>The majority of</w:t>
      </w:r>
      <w:proofErr w:type="gramEnd"/>
      <w:r w:rsidRPr="00CE240B">
        <w:rPr>
          <w:sz w:val="24"/>
        </w:rPr>
        <w:t xml:space="preserve"> the site is subject to a conservation order through the local Planning and Development Framework.</w:t>
      </w:r>
    </w:p>
    <w:p w14:paraId="7D61ABC3"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70528" behindDoc="0" locked="0" layoutInCell="1" allowOverlap="0" wp14:anchorId="7CCADFBD" wp14:editId="0DF6568A">
            <wp:simplePos x="0" y="0"/>
            <wp:positionH relativeFrom="margin">
              <wp:align>center</wp:align>
            </wp:positionH>
            <wp:positionV relativeFrom="paragraph">
              <wp:posOffset>86911</wp:posOffset>
            </wp:positionV>
            <wp:extent cx="5219700" cy="2998470"/>
            <wp:effectExtent l="19050" t="19050" r="19050" b="11430"/>
            <wp:wrapSquare wrapText="bothSides"/>
            <wp:docPr id="22" name="Picture 22" descr="D:\180716A - St Nicholas Hospital\_V9A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80716A - St Nicholas Hospital\_V9A820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439" t="51149" r="22531" b="12625"/>
                    <a:stretch/>
                  </pic:blipFill>
                  <pic:spPr bwMode="auto">
                    <a:xfrm>
                      <a:off x="0" y="0"/>
                      <a:ext cx="5219700" cy="2998470"/>
                    </a:xfrm>
                    <a:prstGeom prst="rect">
                      <a:avLst/>
                    </a:prstGeom>
                    <a:noFill/>
                    <a:ln w="9525" cap="flat" cmpd="sng" algn="ctr">
                      <a:solidFill>
                        <a:sysClr val="windowText" lastClr="000000">
                          <a:lumMod val="65000"/>
                          <a:lumOff val="3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F884CA" w14:textId="318B63C3" w:rsidR="001D2E87" w:rsidRPr="00DB469D" w:rsidRDefault="001D2E87" w:rsidP="00CE240B">
      <w:pPr>
        <w:pStyle w:val="Heading6"/>
        <w:spacing w:line="240" w:lineRule="auto"/>
        <w:contextualSpacing/>
        <w:jc w:val="center"/>
        <w:rPr>
          <w:rFonts w:ascii="Arial" w:hAnsi="Arial" w:cs="Arial"/>
          <w:i w:val="0"/>
          <w:iCs w:val="0"/>
          <w:color w:val="auto"/>
          <w:sz w:val="24"/>
        </w:rPr>
      </w:pPr>
      <w:r w:rsidRPr="00DB469D">
        <w:rPr>
          <w:rFonts w:ascii="Arial" w:hAnsi="Arial" w:cs="Arial"/>
          <w:i w:val="0"/>
          <w:iCs w:val="0"/>
          <w:color w:val="auto"/>
          <w:sz w:val="24"/>
        </w:rPr>
        <w:t xml:space="preserve">Figure </w:t>
      </w:r>
      <w:r w:rsidR="00DB469D" w:rsidRPr="00DB469D">
        <w:rPr>
          <w:rFonts w:ascii="Arial" w:hAnsi="Arial" w:cs="Arial"/>
          <w:i w:val="0"/>
          <w:iCs w:val="0"/>
          <w:color w:val="auto"/>
          <w:sz w:val="24"/>
        </w:rPr>
        <w:t>7</w:t>
      </w:r>
      <w:r w:rsidRPr="00DB469D">
        <w:rPr>
          <w:rFonts w:ascii="Arial" w:hAnsi="Arial" w:cs="Arial"/>
          <w:i w:val="0"/>
          <w:iCs w:val="0"/>
          <w:color w:val="auto"/>
          <w:sz w:val="24"/>
        </w:rPr>
        <w:t xml:space="preserve"> Aerial photograph of St Nicholas Hospital</w:t>
      </w:r>
    </w:p>
    <w:p w14:paraId="370B2B33" w14:textId="77777777" w:rsidR="001D2E87" w:rsidRPr="00CE240B" w:rsidRDefault="001D2E87" w:rsidP="00CE240B">
      <w:pPr>
        <w:contextualSpacing/>
        <w:rPr>
          <w:sz w:val="24"/>
        </w:rPr>
      </w:pPr>
      <w:r w:rsidRPr="00CE240B">
        <w:rPr>
          <w:sz w:val="24"/>
        </w:rPr>
        <w:t>The following key issues are associated with the current estate at St Nicholas Hospital</w:t>
      </w:r>
    </w:p>
    <w:p w14:paraId="42851A12" w14:textId="1C3CC1CE" w:rsidR="001D2E87" w:rsidRPr="00CE240B" w:rsidRDefault="001D2E87" w:rsidP="002867BC">
      <w:pPr>
        <w:pStyle w:val="ListParagraph"/>
        <w:numPr>
          <w:ilvl w:val="0"/>
          <w:numId w:val="29"/>
        </w:numPr>
        <w:spacing w:before="120" w:after="120"/>
        <w:ind w:right="340"/>
        <w:jc w:val="both"/>
        <w:rPr>
          <w:sz w:val="24"/>
        </w:rPr>
      </w:pPr>
      <w:r w:rsidRPr="00CE240B">
        <w:rPr>
          <w:sz w:val="24"/>
        </w:rPr>
        <w:t xml:space="preserve">The Alnwood Unit is not considered functionally suitable. Its replacement is included as part of the CEDAR </w:t>
      </w:r>
      <w:r w:rsidR="002D27B6" w:rsidRPr="00CE240B">
        <w:rPr>
          <w:sz w:val="24"/>
        </w:rPr>
        <w:t>program,</w:t>
      </w:r>
      <w:r w:rsidRPr="00CE240B">
        <w:rPr>
          <w:sz w:val="24"/>
        </w:rPr>
        <w:t xml:space="preserve"> and they will be moving to Ferndene in 2022.</w:t>
      </w:r>
    </w:p>
    <w:p w14:paraId="0745F684" w14:textId="77777777" w:rsidR="001D2E87" w:rsidRPr="00CE240B" w:rsidRDefault="001D2E87" w:rsidP="002867BC">
      <w:pPr>
        <w:pStyle w:val="ListParagraph"/>
        <w:numPr>
          <w:ilvl w:val="0"/>
          <w:numId w:val="27"/>
        </w:numPr>
        <w:spacing w:before="120" w:after="120"/>
        <w:ind w:right="340"/>
        <w:jc w:val="both"/>
        <w:rPr>
          <w:sz w:val="24"/>
        </w:rPr>
      </w:pPr>
      <w:r w:rsidRPr="00CE240B">
        <w:rPr>
          <w:sz w:val="24"/>
        </w:rPr>
        <w:t xml:space="preserve">There are </w:t>
      </w:r>
      <w:proofErr w:type="gramStart"/>
      <w:r w:rsidRPr="00CE240B">
        <w:rPr>
          <w:sz w:val="24"/>
        </w:rPr>
        <w:t>a number of</w:t>
      </w:r>
      <w:proofErr w:type="gramEnd"/>
      <w:r w:rsidRPr="00CE240B">
        <w:rPr>
          <w:sz w:val="24"/>
        </w:rPr>
        <w:t xml:space="preserve"> buildings across the site with vacant space and the move from Alnwood will create additional space</w:t>
      </w:r>
    </w:p>
    <w:p w14:paraId="220ECE7E" w14:textId="77777777" w:rsidR="001D2E87" w:rsidRPr="00CE240B" w:rsidRDefault="001D2E87" w:rsidP="002867BC">
      <w:pPr>
        <w:pStyle w:val="ListParagraph"/>
        <w:numPr>
          <w:ilvl w:val="0"/>
          <w:numId w:val="27"/>
        </w:numPr>
        <w:spacing w:before="120" w:after="120"/>
        <w:ind w:right="340"/>
        <w:jc w:val="both"/>
        <w:rPr>
          <w:sz w:val="24"/>
        </w:rPr>
      </w:pPr>
      <w:r w:rsidRPr="00CE240B">
        <w:rPr>
          <w:sz w:val="24"/>
        </w:rPr>
        <w:t xml:space="preserve">There is some high level of backlog maintenance associated with a small number of buildings and services </w:t>
      </w:r>
    </w:p>
    <w:p w14:paraId="2D147584" w14:textId="77777777" w:rsidR="001D2E87" w:rsidRPr="00CE240B" w:rsidRDefault="001D2E87" w:rsidP="002867BC">
      <w:pPr>
        <w:pStyle w:val="ListParagraph"/>
        <w:numPr>
          <w:ilvl w:val="0"/>
          <w:numId w:val="27"/>
        </w:numPr>
        <w:spacing w:before="120" w:after="120"/>
        <w:ind w:right="340"/>
        <w:jc w:val="both"/>
        <w:rPr>
          <w:sz w:val="24"/>
        </w:rPr>
      </w:pPr>
      <w:r w:rsidRPr="00CE240B">
        <w:rPr>
          <w:sz w:val="24"/>
        </w:rPr>
        <w:t>The site performs poorly in relation to energy consumption</w:t>
      </w:r>
    </w:p>
    <w:p w14:paraId="04ED1635" w14:textId="77777777" w:rsidR="001D2E87" w:rsidRPr="00CE240B" w:rsidRDefault="001D2E87" w:rsidP="002867BC">
      <w:pPr>
        <w:pStyle w:val="ListParagraph"/>
        <w:numPr>
          <w:ilvl w:val="0"/>
          <w:numId w:val="27"/>
        </w:numPr>
        <w:spacing w:before="120" w:after="120"/>
        <w:ind w:right="340"/>
        <w:jc w:val="both"/>
        <w:rPr>
          <w:sz w:val="24"/>
        </w:rPr>
      </w:pPr>
      <w:r w:rsidRPr="00CE240B">
        <w:rPr>
          <w:sz w:val="24"/>
        </w:rPr>
        <w:t xml:space="preserve">Bamburgh Clinic forms part of the CEDAR program and the Forensic services will relocate to Northgate in </w:t>
      </w:r>
      <w:proofErr w:type="gramStart"/>
      <w:r w:rsidRPr="00CE240B">
        <w:rPr>
          <w:sz w:val="24"/>
        </w:rPr>
        <w:t>2023,</w:t>
      </w:r>
      <w:proofErr w:type="gramEnd"/>
      <w:r w:rsidRPr="00CE240B">
        <w:rPr>
          <w:sz w:val="24"/>
        </w:rPr>
        <w:t xml:space="preserve"> the building will then be extended and modified to facilitate the transfer of </w:t>
      </w:r>
      <w:proofErr w:type="gramStart"/>
      <w:r w:rsidRPr="00CE240B">
        <w:rPr>
          <w:sz w:val="24"/>
        </w:rPr>
        <w:t>Adult</w:t>
      </w:r>
      <w:proofErr w:type="gramEnd"/>
      <w:r w:rsidRPr="00CE240B">
        <w:rPr>
          <w:sz w:val="24"/>
        </w:rPr>
        <w:t xml:space="preserve"> acute in-patients currently located on the Hadrian Clinic.</w:t>
      </w:r>
    </w:p>
    <w:p w14:paraId="1679AD26" w14:textId="77777777" w:rsidR="001D2E87" w:rsidRPr="00CE240B" w:rsidRDefault="001D2E87" w:rsidP="002867BC">
      <w:pPr>
        <w:pStyle w:val="ListParagraph"/>
        <w:numPr>
          <w:ilvl w:val="0"/>
          <w:numId w:val="27"/>
        </w:numPr>
        <w:spacing w:before="120" w:after="120"/>
        <w:ind w:right="340"/>
        <w:jc w:val="both"/>
        <w:rPr>
          <w:sz w:val="24"/>
        </w:rPr>
      </w:pPr>
      <w:r w:rsidRPr="00CE240B">
        <w:rPr>
          <w:sz w:val="24"/>
        </w:rPr>
        <w:t>Historically car parking has presented a significant challenge for this site and would impede any significant expansion of services. The COVID pandemic has seen a significant reduction in car parking demand and this proabably reflects the higher proportion of corporate staff on this site working from home.</w:t>
      </w:r>
    </w:p>
    <w:p w14:paraId="54F43FA1" w14:textId="77777777" w:rsidR="001D2E87" w:rsidRPr="00CE240B" w:rsidRDefault="001D2E87" w:rsidP="00CE240B">
      <w:pPr>
        <w:pStyle w:val="ListParagraph"/>
        <w:rPr>
          <w:sz w:val="24"/>
        </w:rPr>
      </w:pPr>
    </w:p>
    <w:p w14:paraId="3939DF80" w14:textId="77777777" w:rsidR="001D2E87" w:rsidRPr="007E7D73" w:rsidRDefault="001D2E87" w:rsidP="00CE240B">
      <w:pPr>
        <w:pStyle w:val="Heading2"/>
        <w:ind w:left="0"/>
        <w:rPr>
          <w:color w:val="0070C0"/>
        </w:rPr>
      </w:pPr>
      <w:r w:rsidRPr="007E7D73">
        <w:rPr>
          <w:color w:val="0070C0"/>
        </w:rPr>
        <w:t>Ferndene</w:t>
      </w:r>
    </w:p>
    <w:p w14:paraId="4867F81C" w14:textId="77777777" w:rsidR="007E7D73" w:rsidRPr="007E7D73" w:rsidRDefault="007E7D73" w:rsidP="007E7D73">
      <w:pPr>
        <w:rPr>
          <w:lang w:eastAsia="en-GB"/>
        </w:rPr>
      </w:pPr>
    </w:p>
    <w:p w14:paraId="7C400D6F" w14:textId="77777777" w:rsidR="001D2E87" w:rsidRPr="00CE240B" w:rsidRDefault="001D2E87" w:rsidP="00CE240B">
      <w:pPr>
        <w:contextualSpacing/>
        <w:rPr>
          <w:sz w:val="24"/>
        </w:rPr>
      </w:pPr>
      <w:r w:rsidRPr="00CE240B">
        <w:rPr>
          <w:sz w:val="24"/>
        </w:rPr>
        <w:t xml:space="preserve">Ferndene is based at the former Prudhoe Hospital site and provides an inpatient regional and national service for children and young people aged up to 18 years of age. </w:t>
      </w:r>
    </w:p>
    <w:p w14:paraId="405056A8" w14:textId="77777777" w:rsidR="001D2E87" w:rsidRPr="00CE240B" w:rsidRDefault="001D2E87" w:rsidP="00CE240B">
      <w:pPr>
        <w:contextualSpacing/>
        <w:rPr>
          <w:sz w:val="24"/>
        </w:rPr>
      </w:pPr>
      <w:r w:rsidRPr="00CE240B">
        <w:rPr>
          <w:sz w:val="24"/>
        </w:rPr>
        <w:t>Ferndene comprises of four inpatient wards (Fraser, Redburn, The Riding and Stephenson) providing a total of forty beds.</w:t>
      </w:r>
    </w:p>
    <w:p w14:paraId="65194445" w14:textId="77777777" w:rsidR="001D2E87" w:rsidRPr="00CE240B" w:rsidRDefault="001D2E87" w:rsidP="00CE240B">
      <w:pPr>
        <w:contextualSpacing/>
        <w:rPr>
          <w:sz w:val="24"/>
        </w:rPr>
      </w:pPr>
    </w:p>
    <w:p w14:paraId="155CF1B9"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77696" behindDoc="0" locked="0" layoutInCell="1" allowOverlap="1" wp14:anchorId="3E62AFCB" wp14:editId="6AFED968">
            <wp:simplePos x="0" y="0"/>
            <wp:positionH relativeFrom="margin">
              <wp:align>center</wp:align>
            </wp:positionH>
            <wp:positionV relativeFrom="paragraph">
              <wp:posOffset>7200</wp:posOffset>
            </wp:positionV>
            <wp:extent cx="5241290" cy="3505835"/>
            <wp:effectExtent l="0" t="0" r="0" b="0"/>
            <wp:wrapSquare wrapText="bothSides"/>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1290" cy="3505835"/>
                    </a:xfrm>
                    <a:prstGeom prst="rect">
                      <a:avLst/>
                    </a:prstGeom>
                    <a:noFill/>
                  </pic:spPr>
                </pic:pic>
              </a:graphicData>
            </a:graphic>
          </wp:anchor>
        </w:drawing>
      </w:r>
    </w:p>
    <w:p w14:paraId="264CAFE6" w14:textId="62F99183" w:rsidR="001D2E87" w:rsidRPr="00DB469D" w:rsidRDefault="001D2E87" w:rsidP="00CE240B">
      <w:pPr>
        <w:pStyle w:val="Heading6"/>
        <w:spacing w:line="240" w:lineRule="auto"/>
        <w:contextualSpacing/>
        <w:jc w:val="center"/>
        <w:rPr>
          <w:rFonts w:ascii="Arial" w:hAnsi="Arial" w:cs="Arial"/>
          <w:i w:val="0"/>
          <w:iCs w:val="0"/>
          <w:color w:val="auto"/>
          <w:sz w:val="24"/>
        </w:rPr>
      </w:pPr>
      <w:r w:rsidRPr="00DB469D">
        <w:rPr>
          <w:rFonts w:ascii="Arial" w:hAnsi="Arial" w:cs="Arial"/>
          <w:i w:val="0"/>
          <w:iCs w:val="0"/>
          <w:color w:val="auto"/>
          <w:sz w:val="24"/>
        </w:rPr>
        <w:t xml:space="preserve">Figure </w:t>
      </w:r>
      <w:r w:rsidR="00DB469D" w:rsidRPr="00DB469D">
        <w:rPr>
          <w:rFonts w:ascii="Arial" w:hAnsi="Arial" w:cs="Arial"/>
          <w:i w:val="0"/>
          <w:iCs w:val="0"/>
          <w:color w:val="auto"/>
          <w:sz w:val="24"/>
        </w:rPr>
        <w:t>8</w:t>
      </w:r>
      <w:r w:rsidRPr="00DB469D">
        <w:rPr>
          <w:rFonts w:ascii="Arial" w:hAnsi="Arial" w:cs="Arial"/>
          <w:i w:val="0"/>
          <w:iCs w:val="0"/>
          <w:color w:val="auto"/>
          <w:sz w:val="24"/>
        </w:rPr>
        <w:t xml:space="preserve"> Aerial photograph of Ferndene site</w:t>
      </w:r>
    </w:p>
    <w:p w14:paraId="6704D375" w14:textId="77777777" w:rsidR="001D2E87" w:rsidRPr="00CE240B" w:rsidRDefault="001D2E87" w:rsidP="00CE240B">
      <w:pPr>
        <w:contextualSpacing/>
        <w:rPr>
          <w:sz w:val="24"/>
        </w:rPr>
      </w:pPr>
      <w:r w:rsidRPr="00CE240B">
        <w:rPr>
          <w:sz w:val="24"/>
        </w:rPr>
        <w:t>The following key issues are associated with the current estate at Ferndene</w:t>
      </w:r>
    </w:p>
    <w:p w14:paraId="3F312597" w14:textId="77777777" w:rsidR="001D2E87" w:rsidRPr="00CE240B" w:rsidRDefault="001D2E87" w:rsidP="002867BC">
      <w:pPr>
        <w:pStyle w:val="ListParagraph"/>
        <w:numPr>
          <w:ilvl w:val="0"/>
          <w:numId w:val="26"/>
        </w:numPr>
        <w:spacing w:before="120" w:after="120"/>
        <w:ind w:right="340"/>
        <w:jc w:val="both"/>
        <w:rPr>
          <w:sz w:val="24"/>
        </w:rPr>
      </w:pPr>
      <w:r w:rsidRPr="00CE240B">
        <w:rPr>
          <w:sz w:val="24"/>
        </w:rPr>
        <w:t>Ferndene was a new build completed in 2012</w:t>
      </w:r>
    </w:p>
    <w:p w14:paraId="5B7BF5E2" w14:textId="6B3A42A1" w:rsidR="001D2E87" w:rsidRPr="00CE240B" w:rsidRDefault="001D2E87" w:rsidP="002867BC">
      <w:pPr>
        <w:pStyle w:val="ListParagraph"/>
        <w:numPr>
          <w:ilvl w:val="0"/>
          <w:numId w:val="26"/>
        </w:numPr>
        <w:spacing w:before="120" w:after="120"/>
        <w:ind w:right="340"/>
        <w:jc w:val="both"/>
        <w:rPr>
          <w:sz w:val="24"/>
        </w:rPr>
      </w:pPr>
      <w:r w:rsidRPr="00CE240B">
        <w:rPr>
          <w:sz w:val="24"/>
        </w:rPr>
        <w:t xml:space="preserve">The condition, quality and functional suitability are rated as high. However, serious defects in the roof structure and in some internal wall detailing were found during the building modifications to accommodate the Alnwood moves. Extensive repairs were carried out in </w:t>
      </w:r>
      <w:r w:rsidR="002D27B6" w:rsidRPr="00CE240B">
        <w:rPr>
          <w:sz w:val="24"/>
        </w:rPr>
        <w:t>2022,</w:t>
      </w:r>
      <w:r w:rsidRPr="00CE240B">
        <w:rPr>
          <w:sz w:val="24"/>
        </w:rPr>
        <w:t xml:space="preserve"> and these defects have been remedied as part of the CEDAR program.</w:t>
      </w:r>
    </w:p>
    <w:p w14:paraId="3D94CBC0" w14:textId="77777777" w:rsidR="001D2E87" w:rsidRDefault="001D2E87" w:rsidP="002867BC">
      <w:pPr>
        <w:pStyle w:val="ListParagraph"/>
        <w:numPr>
          <w:ilvl w:val="0"/>
          <w:numId w:val="26"/>
        </w:numPr>
        <w:spacing w:before="120" w:after="120"/>
        <w:ind w:right="340"/>
        <w:jc w:val="both"/>
        <w:rPr>
          <w:sz w:val="24"/>
        </w:rPr>
      </w:pPr>
      <w:r w:rsidRPr="00CE240B">
        <w:rPr>
          <w:sz w:val="24"/>
        </w:rPr>
        <w:t xml:space="preserve">The building is currently being modified to accommodate the secure Forensic services located on the Alnwood Unit at St Nicholas Hospital, this work forms part of the CEDAR program.  </w:t>
      </w:r>
    </w:p>
    <w:p w14:paraId="009C3446" w14:textId="77777777" w:rsidR="007E7D73" w:rsidRPr="00CE240B" w:rsidRDefault="007E7D73" w:rsidP="007E7D73">
      <w:pPr>
        <w:pStyle w:val="ListParagraph"/>
        <w:spacing w:before="120" w:after="120"/>
        <w:ind w:right="340"/>
        <w:jc w:val="both"/>
        <w:rPr>
          <w:sz w:val="24"/>
        </w:rPr>
      </w:pPr>
    </w:p>
    <w:p w14:paraId="542A4EA0" w14:textId="37EC3406" w:rsidR="001D2E87" w:rsidRPr="007E7D73" w:rsidRDefault="001D2E87" w:rsidP="00CE240B">
      <w:pPr>
        <w:pStyle w:val="Heading2"/>
        <w:ind w:left="0"/>
        <w:rPr>
          <w:color w:val="0070C0"/>
        </w:rPr>
      </w:pPr>
      <w:r w:rsidRPr="007E7D73">
        <w:rPr>
          <w:color w:val="0070C0"/>
        </w:rPr>
        <w:t>Campus for Ageing and Vitality</w:t>
      </w:r>
    </w:p>
    <w:p w14:paraId="1E38BC50" w14:textId="77777777" w:rsidR="007E7D73" w:rsidRPr="007E7D73" w:rsidRDefault="007E7D73" w:rsidP="007E7D73">
      <w:pPr>
        <w:rPr>
          <w:lang w:eastAsia="en-GB"/>
        </w:rPr>
      </w:pPr>
    </w:p>
    <w:p w14:paraId="761723D1" w14:textId="77777777" w:rsidR="001D2E87" w:rsidRDefault="001D2E87" w:rsidP="00CE240B">
      <w:pPr>
        <w:contextualSpacing/>
        <w:rPr>
          <w:sz w:val="24"/>
        </w:rPr>
      </w:pPr>
      <w:r w:rsidRPr="00CE240B">
        <w:rPr>
          <w:sz w:val="24"/>
        </w:rPr>
        <w:t xml:space="preserve">The Trust occupies </w:t>
      </w:r>
      <w:proofErr w:type="gramStart"/>
      <w:r w:rsidRPr="00CE240B">
        <w:rPr>
          <w:sz w:val="24"/>
        </w:rPr>
        <w:t>a number of</w:t>
      </w:r>
      <w:proofErr w:type="gramEnd"/>
      <w:r w:rsidRPr="00CE240B">
        <w:rPr>
          <w:sz w:val="24"/>
        </w:rPr>
        <w:t xml:space="preserve"> wards on the Campus for Ageing and Vitality site. These include three adult assessment and treatment wards (54 beds) located in the Hadrian Clinic building. </w:t>
      </w:r>
    </w:p>
    <w:p w14:paraId="6B2FB4C8" w14:textId="77777777" w:rsidR="00DB469D" w:rsidRPr="00CE240B" w:rsidRDefault="00DB469D" w:rsidP="00CE240B">
      <w:pPr>
        <w:contextualSpacing/>
        <w:rPr>
          <w:sz w:val="24"/>
        </w:rPr>
      </w:pPr>
    </w:p>
    <w:p w14:paraId="70C60501" w14:textId="77777777" w:rsidR="001D2E87" w:rsidRPr="00CE240B" w:rsidRDefault="001D2E87" w:rsidP="00CE240B">
      <w:pPr>
        <w:contextualSpacing/>
        <w:rPr>
          <w:sz w:val="24"/>
        </w:rPr>
      </w:pPr>
      <w:r w:rsidRPr="00CE240B">
        <w:rPr>
          <w:sz w:val="24"/>
        </w:rPr>
        <w:t xml:space="preserve">The Trust also currently provides assessment, treatment and rehabilitation for functional and organic disorders for older </w:t>
      </w:r>
      <w:proofErr w:type="gramStart"/>
      <w:r w:rsidRPr="00CE240B">
        <w:rPr>
          <w:sz w:val="24"/>
        </w:rPr>
        <w:t>peoples</w:t>
      </w:r>
      <w:proofErr w:type="gramEnd"/>
      <w:r w:rsidRPr="00CE240B">
        <w:rPr>
          <w:sz w:val="24"/>
        </w:rPr>
        <w:t xml:space="preserve"> services for Newcastle from two wards in the Centre for the Health of the Elderly (20 beds). </w:t>
      </w:r>
    </w:p>
    <w:p w14:paraId="77BAEFC5" w14:textId="77777777" w:rsidR="001D2E87" w:rsidRPr="00CE240B" w:rsidRDefault="001D2E87" w:rsidP="00CE240B">
      <w:pPr>
        <w:contextualSpacing/>
        <w:rPr>
          <w:sz w:val="24"/>
        </w:rPr>
      </w:pPr>
      <w:r w:rsidRPr="00CE240B">
        <w:rPr>
          <w:sz w:val="24"/>
        </w:rPr>
        <w:t>The figure below shows an aerial view of the site including the Hadrian Clinic and the Centre for the Health of the Elderly building.</w:t>
      </w:r>
    </w:p>
    <w:p w14:paraId="598D54DF" w14:textId="77777777" w:rsidR="001D2E87" w:rsidRPr="00CE240B" w:rsidRDefault="001D2E87" w:rsidP="00CE240B">
      <w:pPr>
        <w:pStyle w:val="TableParagraph"/>
        <w:spacing w:line="240" w:lineRule="auto"/>
        <w:contextualSpacing/>
      </w:pPr>
      <w:r w:rsidRPr="00CE240B">
        <w:lastRenderedPageBreak/>
        <w:drawing>
          <wp:anchor distT="0" distB="0" distL="114300" distR="114300" simplePos="0" relativeHeight="251676672" behindDoc="0" locked="0" layoutInCell="1" allowOverlap="0" wp14:anchorId="4DE762BE" wp14:editId="40C3E585">
            <wp:simplePos x="0" y="0"/>
            <wp:positionH relativeFrom="margin">
              <wp:posOffset>440199</wp:posOffset>
            </wp:positionH>
            <wp:positionV relativeFrom="paragraph">
              <wp:posOffset>19050</wp:posOffset>
            </wp:positionV>
            <wp:extent cx="5219700" cy="3006725"/>
            <wp:effectExtent l="19050" t="19050" r="19050" b="222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1939" b="24330"/>
                    <a:stretch/>
                  </pic:blipFill>
                  <pic:spPr bwMode="auto">
                    <a:xfrm>
                      <a:off x="0" y="0"/>
                      <a:ext cx="5219700" cy="3006725"/>
                    </a:xfrm>
                    <a:prstGeom prst="rect">
                      <a:avLst/>
                    </a:prstGeom>
                    <a:ln w="9525" cap="flat" cmpd="sng" algn="ctr">
                      <a:solidFill>
                        <a:sysClr val="windowText" lastClr="000000">
                          <a:lumMod val="65000"/>
                          <a:lumOff val="3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FDD60A" w14:textId="14B61121" w:rsidR="001D2E87" w:rsidRPr="00DB469D" w:rsidRDefault="001D2E87" w:rsidP="00CE240B">
      <w:pPr>
        <w:pStyle w:val="Heading6"/>
        <w:spacing w:line="240" w:lineRule="auto"/>
        <w:contextualSpacing/>
        <w:jc w:val="center"/>
        <w:rPr>
          <w:rFonts w:ascii="Arial" w:hAnsi="Arial" w:cs="Arial"/>
          <w:i w:val="0"/>
          <w:iCs w:val="0"/>
          <w:color w:val="auto"/>
          <w:sz w:val="24"/>
        </w:rPr>
      </w:pPr>
      <w:r w:rsidRPr="00DB469D">
        <w:rPr>
          <w:rFonts w:ascii="Arial" w:hAnsi="Arial" w:cs="Arial"/>
          <w:i w:val="0"/>
          <w:iCs w:val="0"/>
          <w:color w:val="auto"/>
          <w:sz w:val="24"/>
        </w:rPr>
        <w:t xml:space="preserve">Figure </w:t>
      </w:r>
      <w:r w:rsidR="00DB469D" w:rsidRPr="00DB469D">
        <w:rPr>
          <w:rFonts w:ascii="Arial" w:hAnsi="Arial" w:cs="Arial"/>
          <w:i w:val="0"/>
          <w:iCs w:val="0"/>
          <w:color w:val="auto"/>
          <w:sz w:val="24"/>
        </w:rPr>
        <w:t>9</w:t>
      </w:r>
      <w:r w:rsidRPr="00DB469D">
        <w:rPr>
          <w:rFonts w:ascii="Arial" w:hAnsi="Arial" w:cs="Arial"/>
          <w:i w:val="0"/>
          <w:iCs w:val="0"/>
          <w:color w:val="auto"/>
          <w:sz w:val="24"/>
        </w:rPr>
        <w:t xml:space="preserve"> Aerial photograph of the CAV site</w:t>
      </w:r>
    </w:p>
    <w:p w14:paraId="2E090E1B" w14:textId="77777777" w:rsidR="001D2E87" w:rsidRPr="00CE240B" w:rsidRDefault="001D2E87" w:rsidP="00CE240B">
      <w:pPr>
        <w:contextualSpacing/>
        <w:rPr>
          <w:sz w:val="24"/>
        </w:rPr>
      </w:pPr>
      <w:r w:rsidRPr="00CE240B">
        <w:rPr>
          <w:sz w:val="24"/>
        </w:rPr>
        <w:t>The following key issues are associated with the current estate at the CAV site</w:t>
      </w:r>
    </w:p>
    <w:p w14:paraId="2C6EFECC" w14:textId="77777777" w:rsidR="001D2E87" w:rsidRPr="00CE240B" w:rsidRDefault="001D2E87" w:rsidP="002867BC">
      <w:pPr>
        <w:pStyle w:val="ListParagraph"/>
        <w:numPr>
          <w:ilvl w:val="0"/>
          <w:numId w:val="25"/>
        </w:numPr>
        <w:spacing w:before="120" w:after="120"/>
        <w:ind w:right="340"/>
        <w:jc w:val="both"/>
        <w:rPr>
          <w:sz w:val="24"/>
        </w:rPr>
      </w:pPr>
      <w:r w:rsidRPr="00CE240B">
        <w:rPr>
          <w:sz w:val="24"/>
        </w:rPr>
        <w:t>The condition, quality and functional suitability is generally poor, although a partial upgrade was undertaken in the in-patient areas of Hadrian Clinic</w:t>
      </w:r>
    </w:p>
    <w:p w14:paraId="39319B8C" w14:textId="77777777" w:rsidR="001D2E87" w:rsidRPr="00CE240B" w:rsidRDefault="001D2E87" w:rsidP="002867BC">
      <w:pPr>
        <w:pStyle w:val="ListParagraph"/>
        <w:numPr>
          <w:ilvl w:val="0"/>
          <w:numId w:val="25"/>
        </w:numPr>
        <w:spacing w:before="120" w:after="120"/>
        <w:ind w:right="340"/>
        <w:jc w:val="both"/>
        <w:rPr>
          <w:sz w:val="24"/>
        </w:rPr>
      </w:pPr>
      <w:r w:rsidRPr="00CE240B">
        <w:rPr>
          <w:sz w:val="24"/>
        </w:rPr>
        <w:t>Buildings are not owned by CNTW and there is limited opportunity to bring them up to a standard enjoyed elsewhere in the Trust</w:t>
      </w:r>
    </w:p>
    <w:p w14:paraId="3F290F9E" w14:textId="77777777" w:rsidR="001D2E87" w:rsidRPr="00CE240B" w:rsidRDefault="001D2E87" w:rsidP="002867BC">
      <w:pPr>
        <w:pStyle w:val="ListParagraph"/>
        <w:numPr>
          <w:ilvl w:val="0"/>
          <w:numId w:val="25"/>
        </w:numPr>
        <w:spacing w:before="120" w:after="120"/>
        <w:ind w:right="340"/>
        <w:jc w:val="both"/>
        <w:rPr>
          <w:sz w:val="24"/>
        </w:rPr>
      </w:pPr>
      <w:r w:rsidRPr="00CE240B">
        <w:rPr>
          <w:sz w:val="24"/>
        </w:rPr>
        <w:t xml:space="preserve">NuTH has sold the site to Newcastle University and there now exists a lease between NuTH and the University, with CNTW having a sub lease. </w:t>
      </w:r>
      <w:r w:rsidRPr="00CE240B">
        <w:rPr>
          <w:b/>
          <w:sz w:val="24"/>
        </w:rPr>
        <w:t>This lease will terminate in 2024</w:t>
      </w:r>
      <w:r w:rsidRPr="00CE240B">
        <w:rPr>
          <w:sz w:val="24"/>
        </w:rPr>
        <w:t xml:space="preserve">. </w:t>
      </w:r>
    </w:p>
    <w:p w14:paraId="2548FE5C" w14:textId="77777777" w:rsidR="001D2E87" w:rsidRPr="00CE240B" w:rsidRDefault="001D2E87" w:rsidP="002867BC">
      <w:pPr>
        <w:pStyle w:val="ListParagraph"/>
        <w:numPr>
          <w:ilvl w:val="0"/>
          <w:numId w:val="25"/>
        </w:numPr>
        <w:spacing w:before="120" w:after="120"/>
        <w:ind w:right="340"/>
        <w:jc w:val="both"/>
        <w:rPr>
          <w:sz w:val="24"/>
        </w:rPr>
      </w:pPr>
      <w:r w:rsidRPr="00CE240B">
        <w:rPr>
          <w:sz w:val="24"/>
        </w:rPr>
        <w:t xml:space="preserve">There is currently </w:t>
      </w:r>
      <w:r w:rsidRPr="00CE240B">
        <w:rPr>
          <w:b/>
          <w:sz w:val="24"/>
        </w:rPr>
        <w:t>no agreed solution</w:t>
      </w:r>
      <w:r w:rsidRPr="00CE240B">
        <w:rPr>
          <w:sz w:val="24"/>
        </w:rPr>
        <w:t xml:space="preserve"> for the reprovision of Castleside which is an organic old age psychiatry ward or Akenside which treats inpatients with functional mental health problems. A business case will be prepated in early 2023 to set out the options for the OPS reprovision.</w:t>
      </w:r>
    </w:p>
    <w:p w14:paraId="7C52E0B7" w14:textId="77777777" w:rsidR="001D2E87" w:rsidRPr="00CE240B" w:rsidRDefault="001D2E87" w:rsidP="002867BC">
      <w:pPr>
        <w:pStyle w:val="ListParagraph"/>
        <w:numPr>
          <w:ilvl w:val="0"/>
          <w:numId w:val="25"/>
        </w:numPr>
        <w:spacing w:before="120" w:after="120"/>
        <w:ind w:right="340"/>
        <w:jc w:val="both"/>
        <w:rPr>
          <w:sz w:val="24"/>
        </w:rPr>
      </w:pPr>
      <w:r w:rsidRPr="00CE240B">
        <w:rPr>
          <w:sz w:val="24"/>
        </w:rPr>
        <w:t>The in-patient services in Hadrian Clinic will move to Bamburgh Clinic on the St Nicholas site as part of the CEDAR program.</w:t>
      </w:r>
    </w:p>
    <w:p w14:paraId="1283CFC2" w14:textId="77777777" w:rsidR="001D2E87" w:rsidRPr="00CE240B" w:rsidRDefault="001D2E87" w:rsidP="00CE240B">
      <w:pPr>
        <w:contextualSpacing/>
        <w:rPr>
          <w:sz w:val="24"/>
        </w:rPr>
      </w:pPr>
    </w:p>
    <w:p w14:paraId="78456ACA" w14:textId="77777777" w:rsidR="001D2E87" w:rsidRPr="007E7D73" w:rsidRDefault="001D2E87" w:rsidP="00CE240B">
      <w:pPr>
        <w:pStyle w:val="Heading2"/>
        <w:ind w:left="0"/>
        <w:rPr>
          <w:color w:val="0070C0"/>
        </w:rPr>
      </w:pPr>
      <w:r w:rsidRPr="007E7D73">
        <w:rPr>
          <w:color w:val="0070C0"/>
        </w:rPr>
        <w:t>Walkergate Park</w:t>
      </w:r>
    </w:p>
    <w:p w14:paraId="79890AB2" w14:textId="77777777" w:rsidR="007E7D73" w:rsidRPr="007E7D73" w:rsidRDefault="007E7D73" w:rsidP="007E7D73">
      <w:pPr>
        <w:rPr>
          <w:lang w:eastAsia="en-GB"/>
        </w:rPr>
      </w:pPr>
    </w:p>
    <w:p w14:paraId="1A1ECB56" w14:textId="77777777" w:rsidR="001D2E87" w:rsidRPr="00CE240B" w:rsidRDefault="001D2E87" w:rsidP="00CE240B">
      <w:pPr>
        <w:contextualSpacing/>
        <w:rPr>
          <w:sz w:val="24"/>
        </w:rPr>
      </w:pPr>
      <w:r w:rsidRPr="00CE240B">
        <w:rPr>
          <w:sz w:val="24"/>
        </w:rPr>
        <w:t xml:space="preserve">Walkergate Park consists of an in-patient facility built via PFI on part of the Walkergate Hospital site in the east end of Newcastle, opened in 2007. The facility consists of Neuroligical Services inpatient facilities for 65 patients with an </w:t>
      </w:r>
      <w:proofErr w:type="gramStart"/>
      <w:r w:rsidRPr="00CE240B">
        <w:rPr>
          <w:sz w:val="24"/>
        </w:rPr>
        <w:t>outpatients</w:t>
      </w:r>
      <w:proofErr w:type="gramEnd"/>
      <w:r w:rsidRPr="00CE240B">
        <w:rPr>
          <w:sz w:val="24"/>
        </w:rPr>
        <w:t xml:space="preserve"> department. There is also a North East drive mobility – a 200m specialist driving track for mobility assessments.</w:t>
      </w:r>
    </w:p>
    <w:p w14:paraId="2A6B50C6" w14:textId="77777777" w:rsidR="001D2E87" w:rsidRPr="00CE240B" w:rsidRDefault="001D2E87" w:rsidP="00CE240B">
      <w:pPr>
        <w:contextualSpacing/>
        <w:rPr>
          <w:sz w:val="24"/>
        </w:rPr>
      </w:pPr>
      <w:r w:rsidRPr="00CE240B">
        <w:rPr>
          <w:sz w:val="24"/>
        </w:rPr>
        <w:t>This is a PFI site with a concession period of 32 years inclusive of construction, at the end of which, the facility transfers to the ownership of the Trust.</w:t>
      </w:r>
    </w:p>
    <w:p w14:paraId="72068E0C" w14:textId="6AFB9422" w:rsidR="001D2E87" w:rsidRPr="00CE240B" w:rsidRDefault="001D2E87" w:rsidP="00CE240B">
      <w:pPr>
        <w:contextualSpacing/>
        <w:rPr>
          <w:sz w:val="24"/>
        </w:rPr>
      </w:pPr>
      <w:r w:rsidRPr="00CE240B">
        <w:rPr>
          <w:sz w:val="24"/>
        </w:rPr>
        <w:t xml:space="preserve">At the North end of the site there is a </w:t>
      </w:r>
      <w:r w:rsidR="002D27B6" w:rsidRPr="00CE240B">
        <w:rPr>
          <w:sz w:val="24"/>
        </w:rPr>
        <w:t>2-storey</w:t>
      </w:r>
      <w:r w:rsidRPr="00CE240B">
        <w:rPr>
          <w:sz w:val="24"/>
        </w:rPr>
        <w:t xml:space="preserve"> office building, Benfield House, which is owned and used by the Trust. There is also an adjacent single storey building, which was leased to IBM but is now vacant.</w:t>
      </w:r>
    </w:p>
    <w:p w14:paraId="00846590" w14:textId="77777777" w:rsidR="001D2E87" w:rsidRPr="00CE240B" w:rsidRDefault="001D2E87" w:rsidP="00CE240B">
      <w:pPr>
        <w:pStyle w:val="TableParagraph"/>
        <w:spacing w:line="240" w:lineRule="auto"/>
        <w:contextualSpacing/>
      </w:pPr>
    </w:p>
    <w:p w14:paraId="7238FAE2" w14:textId="77777777" w:rsidR="001D2E87" w:rsidRPr="00CE240B" w:rsidRDefault="001D2E87" w:rsidP="00CE240B">
      <w:pPr>
        <w:contextualSpacing/>
        <w:jc w:val="center"/>
        <w:rPr>
          <w:sz w:val="24"/>
        </w:rPr>
      </w:pPr>
      <w:r w:rsidRPr="00CE240B">
        <w:rPr>
          <w:noProof/>
          <w:sz w:val="24"/>
        </w:rPr>
        <w:lastRenderedPageBreak/>
        <w:drawing>
          <wp:anchor distT="0" distB="0" distL="114300" distR="114300" simplePos="0" relativeHeight="251671552" behindDoc="0" locked="0" layoutInCell="1" allowOverlap="1" wp14:anchorId="3648F8A2" wp14:editId="2877261C">
            <wp:simplePos x="0" y="0"/>
            <wp:positionH relativeFrom="column">
              <wp:posOffset>451485</wp:posOffset>
            </wp:positionH>
            <wp:positionV relativeFrom="paragraph">
              <wp:posOffset>-194945</wp:posOffset>
            </wp:positionV>
            <wp:extent cx="5220000" cy="3527955"/>
            <wp:effectExtent l="19050" t="19050" r="19050" b="15875"/>
            <wp:wrapSquare wrapText="bothSides"/>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0000" cy="3527955"/>
                    </a:xfrm>
                    <a:prstGeom prst="rect">
                      <a:avLst/>
                    </a:prstGeom>
                    <a:noFill/>
                    <a:ln>
                      <a:solidFill>
                        <a:schemeClr val="tx1">
                          <a:lumMod val="65000"/>
                          <a:lumOff val="35000"/>
                        </a:schemeClr>
                      </a:solidFill>
                    </a:ln>
                  </pic:spPr>
                </pic:pic>
              </a:graphicData>
            </a:graphic>
          </wp:anchor>
        </w:drawing>
      </w:r>
    </w:p>
    <w:p w14:paraId="0EFDAB70" w14:textId="369D2352" w:rsidR="001D2E87" w:rsidRPr="001334AC" w:rsidRDefault="001D2E87" w:rsidP="001334AC">
      <w:pPr>
        <w:pStyle w:val="Heading6"/>
        <w:spacing w:line="240" w:lineRule="auto"/>
        <w:contextualSpacing/>
        <w:jc w:val="center"/>
        <w:rPr>
          <w:rFonts w:ascii="Arial" w:hAnsi="Arial" w:cs="Arial"/>
          <w:i w:val="0"/>
          <w:iCs w:val="0"/>
          <w:color w:val="auto"/>
          <w:sz w:val="24"/>
        </w:rPr>
      </w:pPr>
      <w:r w:rsidRPr="001334AC">
        <w:rPr>
          <w:rFonts w:ascii="Arial" w:hAnsi="Arial" w:cs="Arial"/>
          <w:i w:val="0"/>
          <w:iCs w:val="0"/>
          <w:color w:val="auto"/>
          <w:sz w:val="24"/>
        </w:rPr>
        <w:t>Figure</w:t>
      </w:r>
      <w:r w:rsidR="001334AC" w:rsidRPr="001334AC">
        <w:rPr>
          <w:rFonts w:ascii="Arial" w:hAnsi="Arial" w:cs="Arial"/>
          <w:i w:val="0"/>
          <w:iCs w:val="0"/>
          <w:color w:val="auto"/>
          <w:sz w:val="24"/>
        </w:rPr>
        <w:t xml:space="preserve"> 10</w:t>
      </w:r>
      <w:r w:rsidRPr="001334AC">
        <w:rPr>
          <w:rFonts w:ascii="Arial" w:hAnsi="Arial" w:cs="Arial"/>
          <w:i w:val="0"/>
          <w:iCs w:val="0"/>
          <w:color w:val="auto"/>
          <w:sz w:val="24"/>
        </w:rPr>
        <w:t xml:space="preserve"> Aerial photograph of Walkergate Park</w:t>
      </w:r>
    </w:p>
    <w:p w14:paraId="34A6A5F4" w14:textId="77777777" w:rsidR="001D2E87" w:rsidRPr="00CE240B" w:rsidRDefault="001D2E87" w:rsidP="00CE240B">
      <w:pPr>
        <w:contextualSpacing/>
        <w:rPr>
          <w:sz w:val="24"/>
        </w:rPr>
      </w:pPr>
      <w:r w:rsidRPr="00CE240B">
        <w:rPr>
          <w:sz w:val="24"/>
        </w:rPr>
        <w:t>The following key issues are associated with the current estate at Walkergate Park</w:t>
      </w:r>
    </w:p>
    <w:p w14:paraId="7839594E" w14:textId="77777777" w:rsidR="001D2E87" w:rsidRPr="00CE240B" w:rsidRDefault="001D2E87" w:rsidP="002867BC">
      <w:pPr>
        <w:pStyle w:val="ListParagraph"/>
        <w:numPr>
          <w:ilvl w:val="0"/>
          <w:numId w:val="24"/>
        </w:numPr>
        <w:spacing w:before="120" w:after="120"/>
        <w:ind w:right="340"/>
        <w:jc w:val="both"/>
        <w:rPr>
          <w:sz w:val="24"/>
        </w:rPr>
      </w:pPr>
      <w:r w:rsidRPr="00CE240B">
        <w:rPr>
          <w:sz w:val="24"/>
        </w:rPr>
        <w:t>The condition, quality and functional suitability are all rated as high</w:t>
      </w:r>
    </w:p>
    <w:p w14:paraId="4B23F31B" w14:textId="77777777" w:rsidR="001D2E87" w:rsidRPr="00CE240B" w:rsidRDefault="001D2E87" w:rsidP="002867BC">
      <w:pPr>
        <w:pStyle w:val="ListParagraph"/>
        <w:numPr>
          <w:ilvl w:val="0"/>
          <w:numId w:val="24"/>
        </w:numPr>
        <w:spacing w:before="120" w:after="120"/>
        <w:ind w:right="340"/>
        <w:jc w:val="both"/>
        <w:rPr>
          <w:sz w:val="24"/>
        </w:rPr>
      </w:pPr>
      <w:r w:rsidRPr="00CE240B">
        <w:rPr>
          <w:sz w:val="24"/>
        </w:rPr>
        <w:t>The former IBM building is vacant.</w:t>
      </w:r>
    </w:p>
    <w:p w14:paraId="4982E6FE" w14:textId="77777777" w:rsidR="001D2E87" w:rsidRPr="00CE240B" w:rsidRDefault="001D2E87" w:rsidP="00CE240B">
      <w:pPr>
        <w:contextualSpacing/>
        <w:rPr>
          <w:sz w:val="24"/>
        </w:rPr>
      </w:pPr>
    </w:p>
    <w:p w14:paraId="21FF4FA3" w14:textId="77777777" w:rsidR="001D2E87" w:rsidRPr="007E7D73" w:rsidRDefault="001D2E87" w:rsidP="00CE240B">
      <w:pPr>
        <w:pStyle w:val="Heading2"/>
        <w:ind w:left="0"/>
        <w:rPr>
          <w:color w:val="0070C0"/>
        </w:rPr>
      </w:pPr>
      <w:r w:rsidRPr="007E7D73">
        <w:rPr>
          <w:color w:val="0070C0"/>
        </w:rPr>
        <w:t>Hopewood Park</w:t>
      </w:r>
    </w:p>
    <w:p w14:paraId="696D0BB4" w14:textId="77777777" w:rsidR="007E7D73" w:rsidRPr="007E7D73" w:rsidRDefault="007E7D73" w:rsidP="007E7D73">
      <w:pPr>
        <w:rPr>
          <w:lang w:eastAsia="en-GB"/>
        </w:rPr>
      </w:pPr>
    </w:p>
    <w:p w14:paraId="5A9EE3CD" w14:textId="77777777" w:rsidR="001D2E87" w:rsidRPr="00CE240B" w:rsidRDefault="001D2E87" w:rsidP="00CE240B">
      <w:pPr>
        <w:contextualSpacing/>
        <w:rPr>
          <w:sz w:val="24"/>
        </w:rPr>
      </w:pPr>
      <w:r w:rsidRPr="00CE240B">
        <w:rPr>
          <w:sz w:val="24"/>
        </w:rPr>
        <w:t>Hopewood Park is an assessment and treatment centre providing psychiatric intensive care.  The hospital also delivers a ‘moving on’ service for people with complex care needs who require short term intensive rehabilitation.</w:t>
      </w:r>
    </w:p>
    <w:p w14:paraId="1C96032C" w14:textId="77777777" w:rsidR="001D2E87" w:rsidRPr="00CE240B" w:rsidRDefault="001D2E87" w:rsidP="00CE240B">
      <w:pPr>
        <w:contextualSpacing/>
        <w:rPr>
          <w:sz w:val="24"/>
        </w:rPr>
      </w:pPr>
      <w:r w:rsidRPr="00CE240B">
        <w:rPr>
          <w:sz w:val="24"/>
        </w:rPr>
        <w:t>As well as providing inpatient and community care the hospital is also home to the Street Triage team which is delivered in partnership with Northumbria Police, a carers’ information hub, and the Initial Response Service for Sunderland and the South of Tyne.</w:t>
      </w:r>
    </w:p>
    <w:p w14:paraId="42045E57" w14:textId="77777777" w:rsidR="001D2E87" w:rsidRPr="00CE240B" w:rsidRDefault="001D2E87" w:rsidP="00CE240B">
      <w:pPr>
        <w:contextualSpacing/>
        <w:rPr>
          <w:sz w:val="24"/>
        </w:rPr>
      </w:pPr>
      <w:r w:rsidRPr="00CE240B">
        <w:rPr>
          <w:sz w:val="24"/>
        </w:rPr>
        <w:t xml:space="preserve">The new hospital opened in September 2014 on the site of the former Ryhope General Hospital and replaced </w:t>
      </w:r>
      <w:proofErr w:type="gramStart"/>
      <w:r w:rsidRPr="00CE240B">
        <w:rPr>
          <w:sz w:val="24"/>
        </w:rPr>
        <w:t>the majority of</w:t>
      </w:r>
      <w:proofErr w:type="gramEnd"/>
      <w:r w:rsidRPr="00CE240B">
        <w:rPr>
          <w:sz w:val="24"/>
        </w:rPr>
        <w:t xml:space="preserve"> the Trust’s Cherry Knowle Hospital and the mental health wards in South Tyneside General Hospital.</w:t>
      </w:r>
    </w:p>
    <w:p w14:paraId="3CA401A7" w14:textId="77777777" w:rsidR="001D2E87" w:rsidRPr="00CE240B" w:rsidRDefault="001D2E87" w:rsidP="00CE240B">
      <w:pPr>
        <w:contextualSpacing/>
        <w:jc w:val="center"/>
        <w:rPr>
          <w:sz w:val="24"/>
        </w:rPr>
      </w:pPr>
      <w:r w:rsidRPr="00CE240B">
        <w:rPr>
          <w:noProof/>
          <w:sz w:val="24"/>
        </w:rPr>
        <w:lastRenderedPageBreak/>
        <w:drawing>
          <wp:anchor distT="0" distB="0" distL="114300" distR="114300" simplePos="0" relativeHeight="251672576" behindDoc="0" locked="0" layoutInCell="1" allowOverlap="1" wp14:anchorId="7DFDD00B" wp14:editId="0D2327F7">
            <wp:simplePos x="0" y="0"/>
            <wp:positionH relativeFrom="column">
              <wp:posOffset>451505</wp:posOffset>
            </wp:positionH>
            <wp:positionV relativeFrom="paragraph">
              <wp:posOffset>19173</wp:posOffset>
            </wp:positionV>
            <wp:extent cx="5220000" cy="4017256"/>
            <wp:effectExtent l="19050" t="19050" r="19050" b="21590"/>
            <wp:wrapSquare wrapText="bothSides"/>
            <wp:docPr id="6" name="Picture 6" descr="D:\_DSC8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DSC8500.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995" t="3169" r="6624" b="15713"/>
                    <a:stretch/>
                  </pic:blipFill>
                  <pic:spPr bwMode="auto">
                    <a:xfrm>
                      <a:off x="0" y="0"/>
                      <a:ext cx="5220000" cy="4017256"/>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anchor>
        </w:drawing>
      </w:r>
    </w:p>
    <w:p w14:paraId="7AE03988" w14:textId="477E3BC4" w:rsidR="001D2E87" w:rsidRPr="001334AC" w:rsidRDefault="001D2E87" w:rsidP="001334AC">
      <w:pPr>
        <w:pStyle w:val="Heading6"/>
        <w:spacing w:line="240" w:lineRule="auto"/>
        <w:contextualSpacing/>
        <w:jc w:val="center"/>
        <w:rPr>
          <w:rFonts w:ascii="Arial" w:hAnsi="Arial" w:cs="Arial"/>
          <w:i w:val="0"/>
          <w:iCs w:val="0"/>
          <w:color w:val="auto"/>
          <w:sz w:val="24"/>
        </w:rPr>
      </w:pPr>
      <w:r w:rsidRPr="001334AC">
        <w:rPr>
          <w:rFonts w:ascii="Arial" w:hAnsi="Arial" w:cs="Arial"/>
          <w:i w:val="0"/>
          <w:iCs w:val="0"/>
          <w:color w:val="auto"/>
          <w:sz w:val="24"/>
        </w:rPr>
        <w:t xml:space="preserve">Figure </w:t>
      </w:r>
      <w:r w:rsidR="001334AC" w:rsidRPr="001334AC">
        <w:rPr>
          <w:rFonts w:ascii="Arial" w:hAnsi="Arial" w:cs="Arial"/>
          <w:i w:val="0"/>
          <w:iCs w:val="0"/>
          <w:color w:val="auto"/>
          <w:sz w:val="24"/>
        </w:rPr>
        <w:t>11</w:t>
      </w:r>
      <w:r w:rsidRPr="001334AC">
        <w:rPr>
          <w:rFonts w:ascii="Arial" w:hAnsi="Arial" w:cs="Arial"/>
          <w:i w:val="0"/>
          <w:iCs w:val="0"/>
          <w:color w:val="auto"/>
          <w:sz w:val="24"/>
        </w:rPr>
        <w:t xml:space="preserve"> Aerial photograph of Hopewood Park</w:t>
      </w:r>
    </w:p>
    <w:p w14:paraId="070C1CC2" w14:textId="77777777" w:rsidR="001D2E87" w:rsidRPr="00CE240B" w:rsidRDefault="001D2E87" w:rsidP="00CE240B">
      <w:pPr>
        <w:contextualSpacing/>
        <w:rPr>
          <w:sz w:val="24"/>
        </w:rPr>
      </w:pPr>
      <w:r w:rsidRPr="00CE240B">
        <w:rPr>
          <w:sz w:val="24"/>
        </w:rPr>
        <w:t>The following key issues are associated with the current estate at Hopewood Park</w:t>
      </w:r>
    </w:p>
    <w:p w14:paraId="76B7E5D0" w14:textId="77777777" w:rsidR="001D2E87" w:rsidRPr="00CE240B" w:rsidRDefault="001D2E87" w:rsidP="002867BC">
      <w:pPr>
        <w:pStyle w:val="ListParagraph"/>
        <w:numPr>
          <w:ilvl w:val="0"/>
          <w:numId w:val="23"/>
        </w:numPr>
        <w:spacing w:before="120" w:after="120"/>
        <w:ind w:right="340"/>
        <w:jc w:val="both"/>
        <w:rPr>
          <w:sz w:val="24"/>
        </w:rPr>
      </w:pPr>
      <w:r w:rsidRPr="00CE240B">
        <w:rPr>
          <w:sz w:val="24"/>
        </w:rPr>
        <w:t>The condition, quality and functional suitability are all rated as high across the new build facilities</w:t>
      </w:r>
    </w:p>
    <w:p w14:paraId="07F84444" w14:textId="77777777" w:rsidR="001D2E87" w:rsidRPr="00CE240B" w:rsidRDefault="001D2E87" w:rsidP="002867BC">
      <w:pPr>
        <w:pStyle w:val="ListParagraph"/>
        <w:numPr>
          <w:ilvl w:val="0"/>
          <w:numId w:val="23"/>
        </w:numPr>
        <w:spacing w:before="120" w:after="120"/>
        <w:ind w:right="340"/>
        <w:jc w:val="both"/>
        <w:rPr>
          <w:sz w:val="24"/>
        </w:rPr>
      </w:pPr>
      <w:r w:rsidRPr="00CE240B">
        <w:rPr>
          <w:sz w:val="24"/>
        </w:rPr>
        <w:t xml:space="preserve">Meadow View is identified as a decant emergency ward, however this ward has significant limitations in terms of of its condition, safety and functional suitability for a range of clinical in-patient service. </w:t>
      </w:r>
    </w:p>
    <w:p w14:paraId="5A5FA72A" w14:textId="77777777" w:rsidR="001D2E87" w:rsidRPr="00CE240B" w:rsidRDefault="001D2E87" w:rsidP="002867BC">
      <w:pPr>
        <w:pStyle w:val="ListParagraph"/>
        <w:numPr>
          <w:ilvl w:val="0"/>
          <w:numId w:val="23"/>
        </w:numPr>
        <w:spacing w:before="120" w:after="120"/>
        <w:ind w:right="340"/>
        <w:jc w:val="both"/>
        <w:rPr>
          <w:sz w:val="24"/>
        </w:rPr>
      </w:pPr>
      <w:r w:rsidRPr="00CE240B">
        <w:rPr>
          <w:sz w:val="24"/>
        </w:rPr>
        <w:t>Wellfield Day unit has moderately high levels of backlog maintenance issues</w:t>
      </w:r>
    </w:p>
    <w:p w14:paraId="229CD485" w14:textId="77777777" w:rsidR="001D2E87" w:rsidRPr="00CE240B" w:rsidRDefault="001D2E87" w:rsidP="00CE240B">
      <w:pPr>
        <w:pStyle w:val="ListParagraph"/>
        <w:rPr>
          <w:sz w:val="24"/>
        </w:rPr>
      </w:pPr>
    </w:p>
    <w:p w14:paraId="7591B91F" w14:textId="77777777" w:rsidR="001D2E87" w:rsidRPr="00CE240B" w:rsidRDefault="001D2E87" w:rsidP="00CE240B">
      <w:pPr>
        <w:pStyle w:val="ListParagraph"/>
        <w:rPr>
          <w:sz w:val="24"/>
        </w:rPr>
      </w:pPr>
    </w:p>
    <w:p w14:paraId="7277CD0D" w14:textId="77777777" w:rsidR="001D2E87" w:rsidRPr="007E7D73" w:rsidRDefault="001D2E87" w:rsidP="00CE240B">
      <w:pPr>
        <w:pStyle w:val="Heading2"/>
        <w:ind w:left="0"/>
        <w:rPr>
          <w:color w:val="0070C0"/>
        </w:rPr>
      </w:pPr>
      <w:r w:rsidRPr="007E7D73">
        <w:rPr>
          <w:color w:val="0070C0"/>
        </w:rPr>
        <w:t>Monkwearmouth Hospital</w:t>
      </w:r>
    </w:p>
    <w:p w14:paraId="5FB8864D" w14:textId="77777777" w:rsidR="007E7D73" w:rsidRPr="007E7D73" w:rsidRDefault="007E7D73" w:rsidP="007E7D73">
      <w:pPr>
        <w:rPr>
          <w:lang w:eastAsia="en-GB"/>
        </w:rPr>
      </w:pPr>
    </w:p>
    <w:p w14:paraId="7902500C" w14:textId="77777777" w:rsidR="001D2E87" w:rsidRPr="00CE240B" w:rsidRDefault="001D2E87" w:rsidP="00CE240B">
      <w:pPr>
        <w:contextualSpacing/>
        <w:rPr>
          <w:sz w:val="24"/>
        </w:rPr>
      </w:pPr>
      <w:r w:rsidRPr="00CE240B">
        <w:rPr>
          <w:sz w:val="24"/>
        </w:rPr>
        <w:t xml:space="preserve">Monkwearmouth Hospital is situated on the northern outskirts of Sunderland. The site provides a range of clinical services (approximately 40 beds), which include, Adult Learning Disability Services, Older People’s Continuing Care Services, Adult Rehabilitation Services, CABIS, North Team Community facilities and CYPS community facility. </w:t>
      </w:r>
    </w:p>
    <w:p w14:paraId="68C5E4F4" w14:textId="665DD196" w:rsidR="001D2E87" w:rsidRPr="00CE240B" w:rsidRDefault="001D2E87" w:rsidP="00CE240B">
      <w:pPr>
        <w:contextualSpacing/>
        <w:rPr>
          <w:sz w:val="24"/>
        </w:rPr>
      </w:pPr>
      <w:r w:rsidRPr="00CE240B">
        <w:rPr>
          <w:noProof/>
          <w:sz w:val="24"/>
        </w:rPr>
        <w:lastRenderedPageBreak/>
        <w:drawing>
          <wp:anchor distT="0" distB="0" distL="114300" distR="114300" simplePos="0" relativeHeight="251673600" behindDoc="0" locked="0" layoutInCell="1" allowOverlap="0" wp14:anchorId="18C0ECD9" wp14:editId="3C4B0A90">
            <wp:simplePos x="0" y="0"/>
            <wp:positionH relativeFrom="margin">
              <wp:align>center</wp:align>
            </wp:positionH>
            <wp:positionV relativeFrom="paragraph">
              <wp:posOffset>507407</wp:posOffset>
            </wp:positionV>
            <wp:extent cx="5556250" cy="3701415"/>
            <wp:effectExtent l="19050" t="19050" r="25400" b="13335"/>
            <wp:wrapSquare wrapText="bothSides"/>
            <wp:docPr id="3410" name="Pictur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6250" cy="3701415"/>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Pr="00CE240B">
        <w:rPr>
          <w:sz w:val="24"/>
        </w:rPr>
        <w:t xml:space="preserve">The figure below shows an aerial view of the </w:t>
      </w:r>
      <w:r w:rsidR="002D27B6" w:rsidRPr="00CE240B">
        <w:rPr>
          <w:sz w:val="24"/>
        </w:rPr>
        <w:t>site;</w:t>
      </w:r>
      <w:r w:rsidRPr="00CE240B">
        <w:rPr>
          <w:sz w:val="24"/>
        </w:rPr>
        <w:t xml:space="preserve"> </w:t>
      </w:r>
      <w:r w:rsidR="00084AD8" w:rsidRPr="00CE240B">
        <w:rPr>
          <w:sz w:val="24"/>
        </w:rPr>
        <w:t>however,</w:t>
      </w:r>
      <w:r w:rsidRPr="00CE240B">
        <w:rPr>
          <w:sz w:val="24"/>
        </w:rPr>
        <w:t xml:space="preserve"> it should be noted that since this photograph was taken the demolition and reprovsion of the main block has begun.</w:t>
      </w:r>
    </w:p>
    <w:p w14:paraId="0AED4394" w14:textId="77777777" w:rsidR="001D2E87" w:rsidRPr="00CE240B" w:rsidRDefault="001D2E87" w:rsidP="00CE240B">
      <w:pPr>
        <w:contextualSpacing/>
        <w:rPr>
          <w:sz w:val="24"/>
        </w:rPr>
      </w:pPr>
    </w:p>
    <w:p w14:paraId="4B463D90" w14:textId="1971F50D" w:rsidR="001D2E87" w:rsidRPr="001334AC" w:rsidRDefault="001D2E87" w:rsidP="00CE240B">
      <w:pPr>
        <w:pStyle w:val="Heading6"/>
        <w:spacing w:line="240" w:lineRule="auto"/>
        <w:contextualSpacing/>
        <w:jc w:val="center"/>
        <w:rPr>
          <w:rFonts w:ascii="Arial" w:hAnsi="Arial" w:cs="Arial"/>
          <w:i w:val="0"/>
          <w:iCs w:val="0"/>
          <w:color w:val="auto"/>
          <w:sz w:val="24"/>
        </w:rPr>
      </w:pPr>
      <w:r w:rsidRPr="001334AC">
        <w:rPr>
          <w:rFonts w:ascii="Arial" w:hAnsi="Arial" w:cs="Arial"/>
          <w:i w:val="0"/>
          <w:iCs w:val="0"/>
          <w:color w:val="auto"/>
          <w:sz w:val="24"/>
        </w:rPr>
        <w:t>Figure 1</w:t>
      </w:r>
      <w:r w:rsidR="001334AC" w:rsidRPr="001334AC">
        <w:rPr>
          <w:rFonts w:ascii="Arial" w:hAnsi="Arial" w:cs="Arial"/>
          <w:i w:val="0"/>
          <w:iCs w:val="0"/>
          <w:color w:val="auto"/>
          <w:sz w:val="24"/>
        </w:rPr>
        <w:t>2</w:t>
      </w:r>
      <w:r w:rsidRPr="001334AC">
        <w:rPr>
          <w:rFonts w:ascii="Arial" w:hAnsi="Arial" w:cs="Arial"/>
          <w:i w:val="0"/>
          <w:iCs w:val="0"/>
          <w:color w:val="auto"/>
          <w:sz w:val="24"/>
        </w:rPr>
        <w:t xml:space="preserve"> Aerial photograph of Monkwearmouth Hospital</w:t>
      </w:r>
    </w:p>
    <w:p w14:paraId="60B48B03" w14:textId="77777777" w:rsidR="001D2E87" w:rsidRPr="00CE240B" w:rsidRDefault="001D2E87" w:rsidP="00CE240B">
      <w:pPr>
        <w:contextualSpacing/>
        <w:rPr>
          <w:sz w:val="24"/>
        </w:rPr>
      </w:pPr>
      <w:r w:rsidRPr="00CE240B">
        <w:rPr>
          <w:sz w:val="24"/>
        </w:rPr>
        <w:t>The following key issues are associated with the current estate at Monkwearmouth Hospital</w:t>
      </w:r>
    </w:p>
    <w:p w14:paraId="0945D9CB"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The condition, quality and functional suitability are all rated as high across the new build in patient facilities of Roker, Mowbray and Cleadon</w:t>
      </w:r>
    </w:p>
    <w:p w14:paraId="57C10335"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 xml:space="preserve">Marsden ward is currently being used as decant space and not for in-patients. </w:t>
      </w:r>
    </w:p>
    <w:p w14:paraId="22A4E684" w14:textId="13312A64" w:rsidR="001D2E87" w:rsidRPr="00CE240B" w:rsidRDefault="001D2E87" w:rsidP="002867BC">
      <w:pPr>
        <w:pStyle w:val="ListParagraph"/>
        <w:numPr>
          <w:ilvl w:val="0"/>
          <w:numId w:val="22"/>
        </w:numPr>
        <w:spacing w:before="120" w:after="120"/>
        <w:ind w:right="340"/>
        <w:jc w:val="both"/>
        <w:rPr>
          <w:sz w:val="24"/>
        </w:rPr>
      </w:pPr>
      <w:r w:rsidRPr="00CE240B">
        <w:rPr>
          <w:sz w:val="24"/>
        </w:rPr>
        <w:t xml:space="preserve">Blocks 1,2, 5 &amp; 6 have been </w:t>
      </w:r>
      <w:r w:rsidR="002D27B6" w:rsidRPr="00CE240B">
        <w:rPr>
          <w:sz w:val="24"/>
        </w:rPr>
        <w:t>demolished,</w:t>
      </w:r>
      <w:r w:rsidRPr="00CE240B">
        <w:rPr>
          <w:sz w:val="24"/>
        </w:rPr>
        <w:t xml:space="preserve"> and a new build will be constructed along with a replacement car park.  </w:t>
      </w:r>
    </w:p>
    <w:p w14:paraId="2B2C1CC3" w14:textId="77777777" w:rsidR="001D2E87" w:rsidRPr="00CE240B" w:rsidRDefault="001D2E87" w:rsidP="00CE240B">
      <w:pPr>
        <w:contextualSpacing/>
        <w:rPr>
          <w:sz w:val="24"/>
        </w:rPr>
      </w:pPr>
    </w:p>
    <w:p w14:paraId="79E0E5B3" w14:textId="77777777" w:rsidR="001D2E87" w:rsidRPr="007E7D73" w:rsidRDefault="001D2E87" w:rsidP="00CE240B">
      <w:pPr>
        <w:pStyle w:val="Heading2"/>
        <w:spacing w:line="240" w:lineRule="auto"/>
        <w:ind w:left="0"/>
        <w:contextualSpacing/>
        <w:jc w:val="left"/>
        <w:rPr>
          <w:rFonts w:cs="Arial"/>
          <w:color w:val="0070C0"/>
        </w:rPr>
      </w:pPr>
      <w:r w:rsidRPr="007E7D73">
        <w:rPr>
          <w:rFonts w:cs="Arial"/>
          <w:color w:val="0070C0"/>
        </w:rPr>
        <w:t>Carleton Clinic</w:t>
      </w:r>
    </w:p>
    <w:p w14:paraId="709172D3" w14:textId="77777777" w:rsidR="007E7D73" w:rsidRPr="007E7D73" w:rsidRDefault="007E7D73" w:rsidP="007E7D73">
      <w:pPr>
        <w:rPr>
          <w:lang w:eastAsia="en-GB"/>
        </w:rPr>
      </w:pPr>
    </w:p>
    <w:p w14:paraId="43D8FBD6" w14:textId="77777777" w:rsidR="001D2E87" w:rsidRPr="00CE240B" w:rsidRDefault="001D2E87" w:rsidP="00CE240B">
      <w:pPr>
        <w:rPr>
          <w:rFonts w:eastAsia="Calibri"/>
          <w:b/>
          <w:bCs/>
          <w:sz w:val="24"/>
        </w:rPr>
      </w:pPr>
      <w:r w:rsidRPr="00CE240B">
        <w:rPr>
          <w:rFonts w:eastAsia="Calibri"/>
        </w:rPr>
        <w:t xml:space="preserve">Carleton Clinic is located to the South of Carlisle and prvides a range of mental health facilities </w:t>
      </w:r>
      <w:r w:rsidRPr="00CE240B">
        <w:rPr>
          <w:rFonts w:eastAsia="Calibri"/>
          <w:sz w:val="24"/>
        </w:rPr>
        <w:t>including acute adult admission/treatment, Psychiatric intensive care, wards for older people, wards for people with learning disabilities or autism, community services and crisis services. The site forms part of the transfer of services from the former Cumbria Partnerships Foundation Trust into NTW at the time of the creation of CNTW in 2019.</w:t>
      </w:r>
    </w:p>
    <w:p w14:paraId="76422BA9" w14:textId="77777777" w:rsidR="001D2E87" w:rsidRPr="00CE240B" w:rsidRDefault="001D2E87" w:rsidP="00CE240B">
      <w:pPr>
        <w:contextualSpacing/>
        <w:rPr>
          <w:rFonts w:cs="Arial"/>
          <w:sz w:val="24"/>
        </w:rPr>
      </w:pPr>
      <w:r w:rsidRPr="00CE240B">
        <w:rPr>
          <w:rFonts w:cs="Arial"/>
          <w:sz w:val="24"/>
        </w:rPr>
        <w:t xml:space="preserve">The original site formed part of a landsale agreement with Taylor Wimpey and sections have been developed for housing. </w:t>
      </w:r>
    </w:p>
    <w:p w14:paraId="6391FA50" w14:textId="77777777" w:rsidR="001D2E87" w:rsidRPr="00CE240B" w:rsidRDefault="001D2E87" w:rsidP="00CE240B">
      <w:pPr>
        <w:contextualSpacing/>
        <w:rPr>
          <w:rFonts w:cs="Arial"/>
          <w:sz w:val="24"/>
        </w:rPr>
      </w:pPr>
      <w:r w:rsidRPr="00CE240B">
        <w:rPr>
          <w:rFonts w:cs="Arial"/>
          <w:sz w:val="24"/>
        </w:rPr>
        <w:t>The figure below shows an aerial view of the site.</w:t>
      </w:r>
    </w:p>
    <w:p w14:paraId="723CBC15" w14:textId="77777777" w:rsidR="001D2E87" w:rsidRPr="00CE240B" w:rsidRDefault="001D2E87" w:rsidP="00CE240B">
      <w:pPr>
        <w:contextualSpacing/>
        <w:rPr>
          <w:sz w:val="24"/>
        </w:rPr>
      </w:pPr>
    </w:p>
    <w:p w14:paraId="1F08567C" w14:textId="77777777" w:rsidR="001D2E87" w:rsidRPr="00CE240B" w:rsidRDefault="001D2E87" w:rsidP="00CE240B">
      <w:pPr>
        <w:contextualSpacing/>
        <w:rPr>
          <w:sz w:val="24"/>
        </w:rPr>
      </w:pPr>
      <w:r w:rsidRPr="00CE240B">
        <w:rPr>
          <w:noProof/>
          <w:sz w:val="24"/>
        </w:rPr>
        <w:lastRenderedPageBreak/>
        <w:drawing>
          <wp:anchor distT="0" distB="0" distL="114300" distR="114300" simplePos="0" relativeHeight="251675648" behindDoc="0" locked="0" layoutInCell="1" allowOverlap="1" wp14:anchorId="25E105F7" wp14:editId="44AE8B6E">
            <wp:simplePos x="0" y="0"/>
            <wp:positionH relativeFrom="column">
              <wp:posOffset>211895</wp:posOffset>
            </wp:positionH>
            <wp:positionV relativeFrom="paragraph">
              <wp:posOffset>-391</wp:posOffset>
            </wp:positionV>
            <wp:extent cx="6120130" cy="3425825"/>
            <wp:effectExtent l="0" t="0" r="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120130" cy="3425825"/>
                    </a:xfrm>
                    <a:prstGeom prst="rect">
                      <a:avLst/>
                    </a:prstGeom>
                  </pic:spPr>
                </pic:pic>
              </a:graphicData>
            </a:graphic>
          </wp:anchor>
        </w:drawing>
      </w:r>
    </w:p>
    <w:p w14:paraId="1DEA9968" w14:textId="025F8CF9" w:rsidR="001D2E87" w:rsidRPr="001334AC" w:rsidRDefault="001D2E87" w:rsidP="00CE240B">
      <w:pPr>
        <w:pStyle w:val="Heading6"/>
        <w:spacing w:line="240" w:lineRule="auto"/>
        <w:contextualSpacing/>
        <w:jc w:val="center"/>
        <w:rPr>
          <w:rFonts w:ascii="Arial" w:hAnsi="Arial" w:cs="Arial"/>
          <w:i w:val="0"/>
          <w:iCs w:val="0"/>
          <w:color w:val="auto"/>
          <w:sz w:val="24"/>
        </w:rPr>
      </w:pPr>
      <w:r w:rsidRPr="001334AC">
        <w:rPr>
          <w:rFonts w:ascii="Arial" w:hAnsi="Arial" w:cs="Arial"/>
          <w:i w:val="0"/>
          <w:iCs w:val="0"/>
          <w:color w:val="auto"/>
          <w:sz w:val="24"/>
        </w:rPr>
        <w:t>Figure 1</w:t>
      </w:r>
      <w:r w:rsidR="001334AC" w:rsidRPr="001334AC">
        <w:rPr>
          <w:rFonts w:ascii="Arial" w:hAnsi="Arial" w:cs="Arial"/>
          <w:i w:val="0"/>
          <w:iCs w:val="0"/>
          <w:color w:val="auto"/>
          <w:sz w:val="24"/>
        </w:rPr>
        <w:t>3</w:t>
      </w:r>
      <w:r w:rsidRPr="001334AC">
        <w:rPr>
          <w:rFonts w:ascii="Arial" w:hAnsi="Arial" w:cs="Arial"/>
          <w:i w:val="0"/>
          <w:iCs w:val="0"/>
          <w:color w:val="auto"/>
          <w:sz w:val="24"/>
        </w:rPr>
        <w:t xml:space="preserve"> Aerial photograph of Carleton Clinic</w:t>
      </w:r>
    </w:p>
    <w:p w14:paraId="4C0BF3C3" w14:textId="77777777" w:rsidR="001D2E87" w:rsidRPr="00CE240B" w:rsidRDefault="001D2E87" w:rsidP="00CE240B">
      <w:pPr>
        <w:contextualSpacing/>
        <w:rPr>
          <w:sz w:val="24"/>
        </w:rPr>
      </w:pPr>
      <w:r w:rsidRPr="00CE240B">
        <w:rPr>
          <w:sz w:val="24"/>
        </w:rPr>
        <w:t>The following key issues are associated with the current estate at Carleton Clinic</w:t>
      </w:r>
    </w:p>
    <w:p w14:paraId="01935689"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The condition, quality and functional suitability are mixed</w:t>
      </w:r>
    </w:p>
    <w:p w14:paraId="0C6B7F51"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Hadrian ward is undergoing a refurbishment</w:t>
      </w:r>
    </w:p>
    <w:p w14:paraId="13000D16"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Acorn ward is to be converted into a crisis centre</w:t>
      </w:r>
    </w:p>
    <w:p w14:paraId="0402CEFD"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The site is fragmented with some buildings seperated from the main site by a new housing estate</w:t>
      </w:r>
    </w:p>
    <w:p w14:paraId="7ACB6E66" w14:textId="77777777" w:rsidR="001D2E87" w:rsidRPr="00CE240B" w:rsidRDefault="001D2E87" w:rsidP="002867BC">
      <w:pPr>
        <w:pStyle w:val="ListParagraph"/>
        <w:numPr>
          <w:ilvl w:val="0"/>
          <w:numId w:val="22"/>
        </w:numPr>
        <w:spacing w:before="120" w:after="120"/>
        <w:ind w:right="340"/>
        <w:jc w:val="both"/>
        <w:rPr>
          <w:sz w:val="24"/>
        </w:rPr>
      </w:pPr>
      <w:r w:rsidRPr="00CE240B">
        <w:rPr>
          <w:sz w:val="24"/>
        </w:rPr>
        <w:t xml:space="preserve">There is a parcel of land circa 4 acres to the North of the main site which could be utilised in the future </w:t>
      </w:r>
    </w:p>
    <w:p w14:paraId="6957473C" w14:textId="77777777" w:rsidR="001D2E87" w:rsidRPr="00CE240B" w:rsidRDefault="001D2E87" w:rsidP="00CE240B">
      <w:pPr>
        <w:pStyle w:val="NoSpacing"/>
        <w:contextualSpacing/>
        <w:rPr>
          <w:lang w:eastAsia="en-US"/>
        </w:rPr>
      </w:pPr>
    </w:p>
    <w:p w14:paraId="20159A6E" w14:textId="77777777" w:rsidR="001D2E87" w:rsidRPr="007E7D73" w:rsidRDefault="001D2E87" w:rsidP="00CE240B">
      <w:pPr>
        <w:pStyle w:val="Heading2"/>
        <w:ind w:left="0"/>
        <w:rPr>
          <w:color w:val="0070C0"/>
        </w:rPr>
      </w:pPr>
      <w:r w:rsidRPr="007E7D73">
        <w:rPr>
          <w:color w:val="0070C0"/>
        </w:rPr>
        <w:t>Other In-patient Sites</w:t>
      </w:r>
    </w:p>
    <w:p w14:paraId="6895C983" w14:textId="77777777" w:rsidR="007E7D73" w:rsidRPr="007E7D73" w:rsidRDefault="007E7D73" w:rsidP="007E7D73">
      <w:pPr>
        <w:rPr>
          <w:lang w:eastAsia="en-GB"/>
        </w:rPr>
      </w:pPr>
    </w:p>
    <w:p w14:paraId="77D2427A" w14:textId="771F2176" w:rsidR="001D2E87" w:rsidRDefault="001D2E87" w:rsidP="00732B1D">
      <w:r w:rsidRPr="006F5656">
        <w:t xml:space="preserve">In addition to the principal sites, </w:t>
      </w:r>
      <w:r>
        <w:t xml:space="preserve">in-patient </w:t>
      </w:r>
      <w:r w:rsidRPr="006F5656">
        <w:t xml:space="preserve">services </w:t>
      </w:r>
      <w:r>
        <w:t xml:space="preserve">are </w:t>
      </w:r>
      <w:r w:rsidRPr="006F5656">
        <w:t xml:space="preserve">provided </w:t>
      </w:r>
      <w:r>
        <w:t xml:space="preserve">across the organisation in </w:t>
      </w:r>
      <w:proofErr w:type="gramStart"/>
      <w:r>
        <w:t>a number of</w:t>
      </w:r>
      <w:proofErr w:type="gramEnd"/>
      <w:r>
        <w:t xml:space="preserve"> other locations, these are detailed in the table</w:t>
      </w:r>
      <w:r w:rsidR="00C620DA">
        <w:t xml:space="preserve"> 3</w:t>
      </w:r>
      <w:r>
        <w:t xml:space="preserve"> below.</w:t>
      </w:r>
    </w:p>
    <w:p w14:paraId="42D2D526" w14:textId="77777777" w:rsidR="001334AC" w:rsidRDefault="001334AC" w:rsidP="00732B1D"/>
    <w:tbl>
      <w:tblPr>
        <w:tblStyle w:val="TableGrid"/>
        <w:tblW w:w="9524" w:type="dxa"/>
        <w:tblInd w:w="340" w:type="dxa"/>
        <w:tblLayout w:type="fixed"/>
        <w:tblLook w:val="04A0" w:firstRow="1" w:lastRow="0" w:firstColumn="1" w:lastColumn="0" w:noHBand="0" w:noVBand="1"/>
      </w:tblPr>
      <w:tblGrid>
        <w:gridCol w:w="2207"/>
        <w:gridCol w:w="1982"/>
        <w:gridCol w:w="1619"/>
        <w:gridCol w:w="3716"/>
      </w:tblGrid>
      <w:tr w:rsidR="001D2E87" w14:paraId="0108BBA4" w14:textId="77777777" w:rsidTr="00225779">
        <w:tc>
          <w:tcPr>
            <w:tcW w:w="2207" w:type="dxa"/>
            <w:shd w:val="clear" w:color="auto" w:fill="BFBFBF" w:themeFill="background1" w:themeFillShade="BF"/>
            <w:vAlign w:val="center"/>
          </w:tcPr>
          <w:p w14:paraId="584D3E53" w14:textId="77777777" w:rsidR="001D2E87" w:rsidRDefault="001D2E87" w:rsidP="004A515C">
            <w:pPr>
              <w:jc w:val="center"/>
            </w:pPr>
            <w:r>
              <w:t>Site name</w:t>
            </w:r>
          </w:p>
        </w:tc>
        <w:tc>
          <w:tcPr>
            <w:tcW w:w="1982" w:type="dxa"/>
            <w:shd w:val="clear" w:color="auto" w:fill="BFBFBF" w:themeFill="background1" w:themeFillShade="BF"/>
            <w:vAlign w:val="center"/>
          </w:tcPr>
          <w:p w14:paraId="265CE7AC" w14:textId="77777777" w:rsidR="001D2E87" w:rsidRDefault="001D2E87" w:rsidP="004A515C">
            <w:pPr>
              <w:jc w:val="center"/>
            </w:pPr>
            <w:r>
              <w:t>CBU</w:t>
            </w:r>
          </w:p>
        </w:tc>
        <w:tc>
          <w:tcPr>
            <w:tcW w:w="1619" w:type="dxa"/>
            <w:shd w:val="clear" w:color="auto" w:fill="BFBFBF" w:themeFill="background1" w:themeFillShade="BF"/>
            <w:vAlign w:val="center"/>
          </w:tcPr>
          <w:p w14:paraId="55306C14" w14:textId="77777777" w:rsidR="001D2E87" w:rsidRDefault="001D2E87" w:rsidP="004A515C">
            <w:pPr>
              <w:jc w:val="center"/>
            </w:pPr>
            <w:r>
              <w:t>Speciality</w:t>
            </w:r>
          </w:p>
        </w:tc>
        <w:tc>
          <w:tcPr>
            <w:tcW w:w="3716" w:type="dxa"/>
            <w:shd w:val="clear" w:color="auto" w:fill="BFBFBF" w:themeFill="background1" w:themeFillShade="BF"/>
            <w:vAlign w:val="center"/>
          </w:tcPr>
          <w:p w14:paraId="3DAF16C1" w14:textId="77777777" w:rsidR="001D2E87" w:rsidRDefault="001D2E87" w:rsidP="004A515C">
            <w:pPr>
              <w:jc w:val="center"/>
            </w:pPr>
            <w:r>
              <w:t>Comments</w:t>
            </w:r>
          </w:p>
        </w:tc>
      </w:tr>
      <w:tr w:rsidR="001D2E87" w14:paraId="69F6D48D" w14:textId="77777777" w:rsidTr="00225779">
        <w:tc>
          <w:tcPr>
            <w:tcW w:w="2207" w:type="dxa"/>
          </w:tcPr>
          <w:p w14:paraId="471327AB" w14:textId="77777777" w:rsidR="001D2E87" w:rsidRDefault="001D2E87" w:rsidP="004A515C">
            <w:r>
              <w:t>Lotus Ward, Acklam Road, Middlesborough</w:t>
            </w:r>
          </w:p>
        </w:tc>
        <w:tc>
          <w:tcPr>
            <w:tcW w:w="1982" w:type="dxa"/>
          </w:tcPr>
          <w:p w14:paraId="44E5A197" w14:textId="77777777" w:rsidR="001D2E87" w:rsidRDefault="001D2E87" w:rsidP="004A515C">
            <w:r w:rsidRPr="004A515C">
              <w:t>North Cumbria Locality Care Group</w:t>
            </w:r>
          </w:p>
        </w:tc>
        <w:tc>
          <w:tcPr>
            <w:tcW w:w="1619" w:type="dxa"/>
          </w:tcPr>
          <w:p w14:paraId="3874F453" w14:textId="77777777" w:rsidR="001D2E87" w:rsidRDefault="001D2E87" w:rsidP="004A515C">
            <w:r>
              <w:t xml:space="preserve">10 bed </w:t>
            </w:r>
            <w:r w:rsidRPr="004A515C">
              <w:t xml:space="preserve">Children &amp; Young People </w:t>
            </w:r>
          </w:p>
        </w:tc>
        <w:tc>
          <w:tcPr>
            <w:tcW w:w="3716" w:type="dxa"/>
          </w:tcPr>
          <w:p w14:paraId="79CDDF27" w14:textId="77777777" w:rsidR="001D2E87" w:rsidRDefault="001D2E87" w:rsidP="004A515C">
            <w:r>
              <w:t>Good quality accommodation on a non CNTW site. Ward was upgraded for commencement of service in 2021</w:t>
            </w:r>
          </w:p>
        </w:tc>
      </w:tr>
      <w:tr w:rsidR="001D2E87" w14:paraId="03265679" w14:textId="77777777" w:rsidTr="00225779">
        <w:tc>
          <w:tcPr>
            <w:tcW w:w="2207" w:type="dxa"/>
          </w:tcPr>
          <w:p w14:paraId="3D4508F4" w14:textId="77777777" w:rsidR="001D2E87" w:rsidRDefault="001D2E87" w:rsidP="004A515C">
            <w:r>
              <w:t>Brooke House</w:t>
            </w:r>
          </w:p>
          <w:p w14:paraId="1C75496A" w14:textId="77777777" w:rsidR="001D2E87" w:rsidRDefault="001D2E87" w:rsidP="004A515C">
            <w:r>
              <w:t>Houghton</w:t>
            </w:r>
          </w:p>
        </w:tc>
        <w:tc>
          <w:tcPr>
            <w:tcW w:w="1982" w:type="dxa"/>
          </w:tcPr>
          <w:p w14:paraId="5A8E3A01" w14:textId="77777777" w:rsidR="001D2E87" w:rsidRDefault="001D2E87" w:rsidP="004A515C">
            <w:r>
              <w:t>Inpatients South</w:t>
            </w:r>
          </w:p>
        </w:tc>
        <w:tc>
          <w:tcPr>
            <w:tcW w:w="1619" w:type="dxa"/>
          </w:tcPr>
          <w:p w14:paraId="1D5411AE" w14:textId="77777777" w:rsidR="001D2E87" w:rsidRDefault="001D2E87" w:rsidP="004A515C">
            <w:r>
              <w:t>10 bed, Rehab and Continuing Care</w:t>
            </w:r>
          </w:p>
        </w:tc>
        <w:tc>
          <w:tcPr>
            <w:tcW w:w="3716" w:type="dxa"/>
          </w:tcPr>
          <w:p w14:paraId="3D370778" w14:textId="77777777" w:rsidR="001D2E87" w:rsidRDefault="001D2E87" w:rsidP="004A515C">
            <w:r>
              <w:t>CNTW owned Community facility</w:t>
            </w:r>
          </w:p>
        </w:tc>
      </w:tr>
      <w:tr w:rsidR="001D2E87" w14:paraId="40C04368" w14:textId="77777777" w:rsidTr="00225779">
        <w:tc>
          <w:tcPr>
            <w:tcW w:w="2207" w:type="dxa"/>
          </w:tcPr>
          <w:p w14:paraId="70D00532" w14:textId="77777777" w:rsidR="001D2E87" w:rsidRDefault="001D2E87" w:rsidP="004A515C">
            <w:r>
              <w:t>Elm House, Gateshead</w:t>
            </w:r>
          </w:p>
        </w:tc>
        <w:tc>
          <w:tcPr>
            <w:tcW w:w="1982" w:type="dxa"/>
          </w:tcPr>
          <w:p w14:paraId="77643391" w14:textId="77777777" w:rsidR="001D2E87" w:rsidRDefault="001D2E87" w:rsidP="004A515C">
            <w:r>
              <w:t>Inpatients Central</w:t>
            </w:r>
          </w:p>
        </w:tc>
        <w:tc>
          <w:tcPr>
            <w:tcW w:w="1619" w:type="dxa"/>
          </w:tcPr>
          <w:p w14:paraId="5A1B41E0" w14:textId="77777777" w:rsidR="001D2E87" w:rsidRDefault="001D2E87" w:rsidP="004A515C">
            <w:r>
              <w:t xml:space="preserve">14 bed </w:t>
            </w:r>
            <w:r w:rsidRPr="004A515C">
              <w:t>Rehab and Continuing Care</w:t>
            </w:r>
          </w:p>
        </w:tc>
        <w:tc>
          <w:tcPr>
            <w:tcW w:w="3716" w:type="dxa"/>
          </w:tcPr>
          <w:p w14:paraId="62BB267C" w14:textId="77777777" w:rsidR="001D2E87" w:rsidRDefault="001D2E87" w:rsidP="004A515C">
            <w:r>
              <w:t>CNTW Leased Community facility</w:t>
            </w:r>
          </w:p>
        </w:tc>
      </w:tr>
      <w:tr w:rsidR="001D2E87" w14:paraId="785421E4" w14:textId="77777777" w:rsidTr="00225779">
        <w:tc>
          <w:tcPr>
            <w:tcW w:w="2207" w:type="dxa"/>
          </w:tcPr>
          <w:p w14:paraId="2AE6B6E3" w14:textId="77777777" w:rsidR="001D2E87" w:rsidRDefault="001D2E87" w:rsidP="004A515C">
            <w:r>
              <w:t>Rose Lodge</w:t>
            </w:r>
          </w:p>
          <w:p w14:paraId="7002EE97" w14:textId="77777777" w:rsidR="001D2E87" w:rsidRDefault="001D2E87" w:rsidP="004A515C">
            <w:r>
              <w:t>Hebburn</w:t>
            </w:r>
          </w:p>
        </w:tc>
        <w:tc>
          <w:tcPr>
            <w:tcW w:w="1982" w:type="dxa"/>
          </w:tcPr>
          <w:p w14:paraId="3B8805AD" w14:textId="77777777" w:rsidR="001D2E87" w:rsidRDefault="001D2E87" w:rsidP="004A515C">
            <w:r>
              <w:t>Inpatients South</w:t>
            </w:r>
          </w:p>
        </w:tc>
        <w:tc>
          <w:tcPr>
            <w:tcW w:w="1619" w:type="dxa"/>
          </w:tcPr>
          <w:p w14:paraId="6C4E8A32" w14:textId="77777777" w:rsidR="001D2E87" w:rsidRDefault="001D2E87" w:rsidP="00225779">
            <w:r>
              <w:t>10 bed, l</w:t>
            </w:r>
            <w:r w:rsidRPr="004A515C">
              <w:t>earning Disability Inpatient</w:t>
            </w:r>
          </w:p>
        </w:tc>
        <w:tc>
          <w:tcPr>
            <w:tcW w:w="3716" w:type="dxa"/>
          </w:tcPr>
          <w:p w14:paraId="1C18A3E4" w14:textId="77777777" w:rsidR="001D2E87" w:rsidRDefault="001D2E87" w:rsidP="00FA326C">
            <w:r>
              <w:t>CNTW facility. Service have indicated a rationale to operate the service from a main hospital site due to operation as an isolated service.</w:t>
            </w:r>
          </w:p>
        </w:tc>
      </w:tr>
      <w:tr w:rsidR="001D2E87" w14:paraId="55917EE7" w14:textId="77777777" w:rsidTr="00225779">
        <w:tc>
          <w:tcPr>
            <w:tcW w:w="2207" w:type="dxa"/>
          </w:tcPr>
          <w:p w14:paraId="4EA50D48" w14:textId="77777777" w:rsidR="001D2E87" w:rsidRDefault="001D2E87" w:rsidP="004A515C">
            <w:r>
              <w:lastRenderedPageBreak/>
              <w:t>Ward 31a, based at RVI in Newcastle.</w:t>
            </w:r>
          </w:p>
        </w:tc>
        <w:tc>
          <w:tcPr>
            <w:tcW w:w="1982" w:type="dxa"/>
          </w:tcPr>
          <w:p w14:paraId="2CFB5AE6" w14:textId="77777777" w:rsidR="001D2E87" w:rsidRDefault="001D2E87" w:rsidP="004A515C">
            <w:r>
              <w:t>Neurological and Specialist Services</w:t>
            </w:r>
          </w:p>
        </w:tc>
        <w:tc>
          <w:tcPr>
            <w:tcW w:w="1619" w:type="dxa"/>
          </w:tcPr>
          <w:p w14:paraId="41DAF7EE" w14:textId="77777777" w:rsidR="001D2E87" w:rsidRDefault="001D2E87" w:rsidP="00225779">
            <w:r>
              <w:t xml:space="preserve">5 </w:t>
            </w:r>
            <w:proofErr w:type="gramStart"/>
            <w:r>
              <w:t>bed</w:t>
            </w:r>
            <w:proofErr w:type="gramEnd"/>
            <w:r>
              <w:t>, eating disorders</w:t>
            </w:r>
          </w:p>
        </w:tc>
        <w:tc>
          <w:tcPr>
            <w:tcW w:w="3716" w:type="dxa"/>
          </w:tcPr>
          <w:p w14:paraId="08663F27" w14:textId="77777777" w:rsidR="001D2E87" w:rsidRDefault="001D2E87" w:rsidP="004A515C">
            <w:r>
              <w:t>Suggestions continue to circulate that NuTH require this space to be used for their clinical services.</w:t>
            </w:r>
          </w:p>
        </w:tc>
      </w:tr>
      <w:tr w:rsidR="001D2E87" w14:paraId="5A154674" w14:textId="77777777" w:rsidTr="00225779">
        <w:tc>
          <w:tcPr>
            <w:tcW w:w="2207" w:type="dxa"/>
          </w:tcPr>
          <w:p w14:paraId="49BE458D" w14:textId="77777777" w:rsidR="001D2E87" w:rsidRDefault="001D2E87" w:rsidP="004A515C">
            <w:r>
              <w:t xml:space="preserve">Yewdale Ward, West Cumberland Infirmary, </w:t>
            </w:r>
          </w:p>
        </w:tc>
        <w:tc>
          <w:tcPr>
            <w:tcW w:w="1982" w:type="dxa"/>
          </w:tcPr>
          <w:p w14:paraId="237EFFB3" w14:textId="77777777" w:rsidR="001D2E87" w:rsidRDefault="001D2E87" w:rsidP="004A515C">
            <w:r>
              <w:t>Inpatients Cumbria</w:t>
            </w:r>
          </w:p>
        </w:tc>
        <w:tc>
          <w:tcPr>
            <w:tcW w:w="1619" w:type="dxa"/>
          </w:tcPr>
          <w:p w14:paraId="5A2448D2" w14:textId="77777777" w:rsidR="001D2E87" w:rsidRDefault="001D2E87" w:rsidP="00225779">
            <w:r>
              <w:t>16 bed, acute urgent care in-patients</w:t>
            </w:r>
          </w:p>
        </w:tc>
        <w:tc>
          <w:tcPr>
            <w:tcW w:w="3716" w:type="dxa"/>
          </w:tcPr>
          <w:p w14:paraId="3D0A957A" w14:textId="77777777" w:rsidR="001D2E87" w:rsidRDefault="001D2E87" w:rsidP="006A3FFE">
            <w:r>
              <w:t xml:space="preserve">An isolated service. Historically  quality and fuctional suitability have been poor. Recent investment has remedied some of the deficiencies. </w:t>
            </w:r>
          </w:p>
        </w:tc>
      </w:tr>
    </w:tbl>
    <w:p w14:paraId="7D3CC7DF" w14:textId="77777777" w:rsidR="001D2E87" w:rsidRDefault="001D2E87" w:rsidP="000F483B">
      <w:pPr>
        <w:jc w:val="center"/>
      </w:pPr>
      <w:r>
        <w:t>Table 3 No main site bed based services</w:t>
      </w:r>
    </w:p>
    <w:p w14:paraId="1FCCC042" w14:textId="77777777" w:rsidR="001D2E87" w:rsidRPr="007E7D73" w:rsidRDefault="001D2E87" w:rsidP="00CE240B">
      <w:pPr>
        <w:pStyle w:val="Heading2"/>
        <w:ind w:left="0"/>
        <w:rPr>
          <w:color w:val="0070C0"/>
        </w:rPr>
      </w:pPr>
      <w:r w:rsidRPr="007E7D73">
        <w:rPr>
          <w:color w:val="0070C0"/>
        </w:rPr>
        <w:t>Other Sites</w:t>
      </w:r>
    </w:p>
    <w:p w14:paraId="745C5469" w14:textId="77777777" w:rsidR="007E7D73" w:rsidRPr="007E7D73" w:rsidRDefault="007E7D73" w:rsidP="007E7D73">
      <w:pPr>
        <w:rPr>
          <w:lang w:eastAsia="en-GB"/>
        </w:rPr>
      </w:pPr>
    </w:p>
    <w:p w14:paraId="0CF85C67" w14:textId="76643D17" w:rsidR="001D2E87" w:rsidRDefault="001D2E87" w:rsidP="00732B1D">
      <w:r>
        <w:t>T</w:t>
      </w:r>
      <w:r w:rsidRPr="006F5656">
        <w:t xml:space="preserve">he Trust utilise </w:t>
      </w:r>
      <w:proofErr w:type="gramStart"/>
      <w:r w:rsidRPr="006F5656">
        <w:t>a number of</w:t>
      </w:r>
      <w:proofErr w:type="gramEnd"/>
      <w:r w:rsidRPr="006F5656">
        <w:t xml:space="preserve"> other buildings located across the </w:t>
      </w:r>
      <w:proofErr w:type="gramStart"/>
      <w:r w:rsidRPr="006F5656">
        <w:t>North East</w:t>
      </w:r>
      <w:proofErr w:type="gramEnd"/>
      <w:r w:rsidRPr="006F5656">
        <w:t xml:space="preserve"> of England</w:t>
      </w:r>
      <w:r>
        <w:t xml:space="preserve"> and North Cumbria</w:t>
      </w:r>
      <w:r w:rsidRPr="006F5656">
        <w:t>. These buildings have a mix of tenures including owned, leased, occupied under licence, service level agreements and other informal agreements. These buildings represent a significant part of the estate and a detailed summary of them is shown in</w:t>
      </w:r>
      <w:r w:rsidR="000B3950">
        <w:t xml:space="preserve"> Appendix 1.</w:t>
      </w:r>
    </w:p>
    <w:p w14:paraId="2EFD8647" w14:textId="77777777" w:rsidR="001D2E87" w:rsidRDefault="001D2E87" w:rsidP="00732B1D"/>
    <w:p w14:paraId="4F1527BC" w14:textId="77777777" w:rsidR="001D2E87" w:rsidRPr="007E7D73" w:rsidRDefault="001D2E87" w:rsidP="00CE240B">
      <w:pPr>
        <w:pStyle w:val="Heading4"/>
        <w:ind w:left="0" w:firstLine="0"/>
        <w:rPr>
          <w:noProof w:val="0"/>
          <w:color w:val="0070C0"/>
          <w:szCs w:val="28"/>
          <w:lang w:eastAsia="en-US"/>
        </w:rPr>
      </w:pPr>
      <w:r w:rsidRPr="007E7D73">
        <w:rPr>
          <w:noProof w:val="0"/>
          <w:color w:val="0070C0"/>
          <w:szCs w:val="28"/>
          <w:lang w:eastAsia="en-US"/>
        </w:rPr>
        <w:t>3.5</w:t>
      </w:r>
      <w:r w:rsidRPr="007E7D73">
        <w:rPr>
          <w:noProof w:val="0"/>
          <w:color w:val="0070C0"/>
          <w:szCs w:val="28"/>
          <w:lang w:eastAsia="en-US"/>
        </w:rPr>
        <w:tab/>
        <w:t xml:space="preserve">Current Assessment of the Estate </w:t>
      </w:r>
    </w:p>
    <w:p w14:paraId="79A23E3F" w14:textId="77777777" w:rsidR="001D2E87" w:rsidRDefault="001D2E87" w:rsidP="00142BAB">
      <w:r>
        <w:t>An analysis of the existing estate has been undertaken using assessment criteria commonly used for NHS buildings, this will include an age profile, occupancy costs, physical condition, space utilisation, quality assessment, functional suitability, compliance with statutory requirements, backlog maintenance position and environmental management.</w:t>
      </w:r>
    </w:p>
    <w:p w14:paraId="7980B490" w14:textId="77777777" w:rsidR="00CE240B" w:rsidRDefault="00CE240B" w:rsidP="00142BAB">
      <w:pPr>
        <w:rPr>
          <w:b/>
        </w:rPr>
      </w:pPr>
    </w:p>
    <w:p w14:paraId="603AE6C1" w14:textId="430031BB" w:rsidR="001D2E87" w:rsidRDefault="001D2E87" w:rsidP="00142BAB">
      <w:pPr>
        <w:rPr>
          <w:b/>
          <w:color w:val="0070C0"/>
        </w:rPr>
      </w:pPr>
      <w:r w:rsidRPr="007E7D73">
        <w:rPr>
          <w:b/>
          <w:color w:val="0070C0"/>
        </w:rPr>
        <w:t>3.5.1</w:t>
      </w:r>
      <w:r w:rsidRPr="007E7D73">
        <w:rPr>
          <w:b/>
          <w:color w:val="0070C0"/>
        </w:rPr>
        <w:tab/>
        <w:t>Age Profile</w:t>
      </w:r>
    </w:p>
    <w:p w14:paraId="6B30C549" w14:textId="77777777" w:rsidR="007E7D73" w:rsidRPr="007E7D73" w:rsidRDefault="007E7D73" w:rsidP="00142BAB">
      <w:pPr>
        <w:rPr>
          <w:b/>
          <w:color w:val="0070C0"/>
        </w:rPr>
      </w:pPr>
    </w:p>
    <w:p w14:paraId="4EB35B4B" w14:textId="47E68E6F" w:rsidR="001D2E87" w:rsidRPr="00CE240B" w:rsidRDefault="001D2E87" w:rsidP="00CE240B">
      <w:pPr>
        <w:contextualSpacing/>
        <w:rPr>
          <w:rFonts w:cs="Arial"/>
          <w:sz w:val="24"/>
        </w:rPr>
      </w:pPr>
      <w:r w:rsidRPr="00CE240B">
        <w:rPr>
          <w:rFonts w:cs="Arial"/>
          <w:sz w:val="24"/>
        </w:rPr>
        <w:t xml:space="preserve">The age profile of the estate has changed over the last few years following a programme of replacing outdated and unsuitable accommodation with modern </w:t>
      </w:r>
      <w:r w:rsidR="002D27B6" w:rsidRPr="00CE240B">
        <w:rPr>
          <w:rFonts w:cs="Arial"/>
          <w:sz w:val="24"/>
        </w:rPr>
        <w:t>purpose-built</w:t>
      </w:r>
      <w:r w:rsidRPr="00CE240B">
        <w:rPr>
          <w:rFonts w:cs="Arial"/>
          <w:sz w:val="24"/>
        </w:rPr>
        <w:t xml:space="preserve"> facilities. The main changes have occurred because of the replacement of large sections of estate on the Cherry Knowle and Prudhoe sites which predated 1948. T</w:t>
      </w:r>
      <w:r w:rsidR="00AC0DC7">
        <w:rPr>
          <w:rFonts w:cs="Arial"/>
          <w:sz w:val="24"/>
        </w:rPr>
        <w:t xml:space="preserve">able 4 </w:t>
      </w:r>
      <w:r w:rsidRPr="00CE240B">
        <w:rPr>
          <w:rFonts w:cs="Arial"/>
          <w:sz w:val="24"/>
        </w:rPr>
        <w:t xml:space="preserve">below shows the how the % distribution has changed over the last 11 years. </w:t>
      </w:r>
    </w:p>
    <w:p w14:paraId="51C23CA3" w14:textId="77777777" w:rsidR="001D2E87" w:rsidRPr="00CE240B" w:rsidRDefault="001D2E87" w:rsidP="00CE240B">
      <w:pPr>
        <w:contextualSpacing/>
        <w:rPr>
          <w:rFonts w:cs="Arial"/>
          <w:sz w:val="24"/>
        </w:rPr>
      </w:pPr>
    </w:p>
    <w:tbl>
      <w:tblPr>
        <w:tblStyle w:val="TableGrid"/>
        <w:tblW w:w="0" w:type="auto"/>
        <w:tblInd w:w="340" w:type="dxa"/>
        <w:tblLook w:val="04A0" w:firstRow="1" w:lastRow="0" w:firstColumn="1" w:lastColumn="0" w:noHBand="0" w:noVBand="1"/>
      </w:tblPr>
      <w:tblGrid>
        <w:gridCol w:w="2250"/>
        <w:gridCol w:w="2244"/>
        <w:gridCol w:w="2244"/>
        <w:gridCol w:w="2244"/>
      </w:tblGrid>
      <w:tr w:rsidR="001D2E87" w:rsidRPr="00CE240B" w14:paraId="5E97333C" w14:textId="77777777" w:rsidTr="00761B75">
        <w:tc>
          <w:tcPr>
            <w:tcW w:w="9288" w:type="dxa"/>
            <w:gridSpan w:val="4"/>
            <w:shd w:val="clear" w:color="auto" w:fill="D9D9D9" w:themeFill="background1" w:themeFillShade="D9"/>
            <w:vAlign w:val="center"/>
          </w:tcPr>
          <w:p w14:paraId="239D24BD"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CNTW Age Profile of Estate</w:t>
            </w:r>
          </w:p>
        </w:tc>
      </w:tr>
      <w:tr w:rsidR="001D2E87" w:rsidRPr="00CE240B" w14:paraId="4B0C6910" w14:textId="77777777" w:rsidTr="00761B75">
        <w:tc>
          <w:tcPr>
            <w:tcW w:w="2316" w:type="dxa"/>
            <w:vAlign w:val="center"/>
          </w:tcPr>
          <w:p w14:paraId="6995770F"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Period</w:t>
            </w:r>
          </w:p>
        </w:tc>
        <w:tc>
          <w:tcPr>
            <w:tcW w:w="2324" w:type="dxa"/>
            <w:vAlign w:val="center"/>
          </w:tcPr>
          <w:p w14:paraId="26057ABA"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2012</w:t>
            </w:r>
          </w:p>
        </w:tc>
        <w:tc>
          <w:tcPr>
            <w:tcW w:w="2324" w:type="dxa"/>
            <w:vAlign w:val="center"/>
          </w:tcPr>
          <w:p w14:paraId="3B420A36"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2018</w:t>
            </w:r>
          </w:p>
        </w:tc>
        <w:tc>
          <w:tcPr>
            <w:tcW w:w="2324" w:type="dxa"/>
            <w:vAlign w:val="center"/>
          </w:tcPr>
          <w:p w14:paraId="6F8E8EE2"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2023</w:t>
            </w:r>
          </w:p>
        </w:tc>
      </w:tr>
      <w:tr w:rsidR="001D2E87" w:rsidRPr="00CE240B" w14:paraId="73068C9E" w14:textId="77777777" w:rsidTr="00761B75">
        <w:tc>
          <w:tcPr>
            <w:tcW w:w="2316" w:type="dxa"/>
            <w:vAlign w:val="center"/>
          </w:tcPr>
          <w:p w14:paraId="3627797C"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Pre 1948</w:t>
            </w:r>
          </w:p>
        </w:tc>
        <w:tc>
          <w:tcPr>
            <w:tcW w:w="2324" w:type="dxa"/>
            <w:vAlign w:val="center"/>
          </w:tcPr>
          <w:p w14:paraId="236C4864"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30%</w:t>
            </w:r>
          </w:p>
        </w:tc>
        <w:tc>
          <w:tcPr>
            <w:tcW w:w="2324" w:type="dxa"/>
            <w:vAlign w:val="center"/>
          </w:tcPr>
          <w:p w14:paraId="0C21DC9A"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24%</w:t>
            </w:r>
          </w:p>
        </w:tc>
        <w:tc>
          <w:tcPr>
            <w:tcW w:w="2324" w:type="dxa"/>
            <w:vAlign w:val="center"/>
          </w:tcPr>
          <w:p w14:paraId="0A18C33C"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24%</w:t>
            </w:r>
          </w:p>
        </w:tc>
      </w:tr>
      <w:tr w:rsidR="001D2E87" w:rsidRPr="00CE240B" w14:paraId="73406E1F" w14:textId="77777777" w:rsidTr="00761B75">
        <w:tc>
          <w:tcPr>
            <w:tcW w:w="2316" w:type="dxa"/>
            <w:vAlign w:val="center"/>
          </w:tcPr>
          <w:p w14:paraId="5D4D6F99"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1948 - 74</w:t>
            </w:r>
          </w:p>
        </w:tc>
        <w:tc>
          <w:tcPr>
            <w:tcW w:w="2324" w:type="dxa"/>
            <w:vAlign w:val="center"/>
          </w:tcPr>
          <w:p w14:paraId="7EBF377D"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18%</w:t>
            </w:r>
          </w:p>
        </w:tc>
        <w:tc>
          <w:tcPr>
            <w:tcW w:w="2324" w:type="dxa"/>
            <w:vAlign w:val="center"/>
          </w:tcPr>
          <w:p w14:paraId="08C0C0BB"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11%</w:t>
            </w:r>
          </w:p>
        </w:tc>
        <w:tc>
          <w:tcPr>
            <w:tcW w:w="2324" w:type="dxa"/>
            <w:vAlign w:val="center"/>
          </w:tcPr>
          <w:p w14:paraId="65AE8565"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14%</w:t>
            </w:r>
          </w:p>
        </w:tc>
      </w:tr>
      <w:tr w:rsidR="001D2E87" w:rsidRPr="00CE240B" w14:paraId="0C539C6B" w14:textId="77777777" w:rsidTr="00761B75">
        <w:tc>
          <w:tcPr>
            <w:tcW w:w="2316" w:type="dxa"/>
            <w:vAlign w:val="center"/>
          </w:tcPr>
          <w:p w14:paraId="09CD93D3"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1975-2005</w:t>
            </w:r>
          </w:p>
        </w:tc>
        <w:tc>
          <w:tcPr>
            <w:tcW w:w="2324" w:type="dxa"/>
            <w:vAlign w:val="center"/>
          </w:tcPr>
          <w:p w14:paraId="2EACC32B"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24%</w:t>
            </w:r>
          </w:p>
        </w:tc>
        <w:tc>
          <w:tcPr>
            <w:tcW w:w="2324" w:type="dxa"/>
            <w:vAlign w:val="center"/>
          </w:tcPr>
          <w:p w14:paraId="34C82755"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23%</w:t>
            </w:r>
          </w:p>
        </w:tc>
        <w:tc>
          <w:tcPr>
            <w:tcW w:w="2324" w:type="dxa"/>
            <w:vAlign w:val="center"/>
          </w:tcPr>
          <w:p w14:paraId="7D99B221"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24%</w:t>
            </w:r>
          </w:p>
        </w:tc>
      </w:tr>
      <w:tr w:rsidR="001D2E87" w:rsidRPr="00CE240B" w14:paraId="0AC6D59C" w14:textId="77777777" w:rsidTr="00761B75">
        <w:tc>
          <w:tcPr>
            <w:tcW w:w="2316" w:type="dxa"/>
            <w:vAlign w:val="center"/>
          </w:tcPr>
          <w:p w14:paraId="7EA4753B"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Post 2005</w:t>
            </w:r>
          </w:p>
        </w:tc>
        <w:tc>
          <w:tcPr>
            <w:tcW w:w="2324" w:type="dxa"/>
            <w:vAlign w:val="center"/>
          </w:tcPr>
          <w:p w14:paraId="063259C4"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28%</w:t>
            </w:r>
          </w:p>
        </w:tc>
        <w:tc>
          <w:tcPr>
            <w:tcW w:w="2324" w:type="dxa"/>
            <w:vAlign w:val="center"/>
          </w:tcPr>
          <w:p w14:paraId="54AA5519"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42%</w:t>
            </w:r>
          </w:p>
        </w:tc>
        <w:tc>
          <w:tcPr>
            <w:tcW w:w="2324" w:type="dxa"/>
            <w:vAlign w:val="center"/>
          </w:tcPr>
          <w:p w14:paraId="258F6FF5" w14:textId="77777777" w:rsidR="001D2E87" w:rsidRPr="00CE240B" w:rsidRDefault="001D2E87" w:rsidP="00CE240B">
            <w:pPr>
              <w:pStyle w:val="BlockText"/>
              <w:spacing w:line="240" w:lineRule="auto"/>
              <w:ind w:left="0"/>
              <w:contextualSpacing/>
              <w:jc w:val="center"/>
              <w:rPr>
                <w:rFonts w:ascii="Arial" w:hAnsi="Arial" w:cs="Arial"/>
              </w:rPr>
            </w:pPr>
            <w:r w:rsidRPr="00CE240B">
              <w:rPr>
                <w:rFonts w:ascii="Arial" w:hAnsi="Arial" w:cs="Arial"/>
              </w:rPr>
              <w:t>38%</w:t>
            </w:r>
          </w:p>
        </w:tc>
      </w:tr>
    </w:tbl>
    <w:p w14:paraId="08FD7FB7" w14:textId="77777777" w:rsidR="001D2E87" w:rsidRDefault="001D2E87" w:rsidP="00CE240B">
      <w:pPr>
        <w:contextualSpacing/>
        <w:jc w:val="center"/>
      </w:pPr>
      <w:r>
        <w:t>Table 4 Age Profile Change over time</w:t>
      </w:r>
    </w:p>
    <w:p w14:paraId="4EE0CAD3" w14:textId="77777777" w:rsidR="00AC0DC7" w:rsidRPr="00CE240B" w:rsidRDefault="00AC0DC7" w:rsidP="00CE240B">
      <w:pPr>
        <w:contextualSpacing/>
        <w:jc w:val="center"/>
        <w:rPr>
          <w:rFonts w:cs="Arial"/>
          <w:sz w:val="24"/>
        </w:rPr>
      </w:pPr>
    </w:p>
    <w:p w14:paraId="0019523F" w14:textId="6E78D430" w:rsidR="001D2E87" w:rsidRPr="00CE240B" w:rsidRDefault="001D2E87" w:rsidP="00CE240B">
      <w:pPr>
        <w:contextualSpacing/>
        <w:rPr>
          <w:rFonts w:cs="Arial"/>
          <w:sz w:val="24"/>
        </w:rPr>
      </w:pPr>
      <w:r w:rsidRPr="00CE240B">
        <w:rPr>
          <w:rFonts w:cs="Arial"/>
          <w:sz w:val="24"/>
        </w:rPr>
        <w:t xml:space="preserve">The age profile reflects the sustained development in new facilities that has been delivered by the Trust. This strategy has resulted in facilities that are not only fit for purpose and are of a high </w:t>
      </w:r>
      <w:r w:rsidR="002D27B6" w:rsidRPr="00CE240B">
        <w:rPr>
          <w:rFonts w:cs="Arial"/>
          <w:sz w:val="24"/>
        </w:rPr>
        <w:t>quality,</w:t>
      </w:r>
      <w:r w:rsidRPr="00CE240B">
        <w:rPr>
          <w:rFonts w:cs="Arial"/>
          <w:sz w:val="24"/>
        </w:rPr>
        <w:t xml:space="preserve"> but they also have addressed many of the shortcomings associated with the older estate which could not be resolved economically or practically, for example first floor inpatient accommodation and lack of en-suite facilities.</w:t>
      </w:r>
    </w:p>
    <w:p w14:paraId="6674E84B" w14:textId="77777777" w:rsidR="001D2E87" w:rsidRPr="00CE240B" w:rsidRDefault="001D2E87" w:rsidP="00CE240B">
      <w:pPr>
        <w:contextualSpacing/>
        <w:rPr>
          <w:rFonts w:cs="Arial"/>
          <w:sz w:val="24"/>
        </w:rPr>
      </w:pPr>
      <w:r w:rsidRPr="00CE240B">
        <w:rPr>
          <w:rFonts w:cs="Arial"/>
          <w:sz w:val="24"/>
        </w:rPr>
        <w:t xml:space="preserve">The profile reflects the estate that was transferred from North Cumbria in 2019 </w:t>
      </w:r>
      <w:proofErr w:type="gramStart"/>
      <w:r w:rsidRPr="00CE240B">
        <w:rPr>
          <w:rFonts w:cs="Arial"/>
          <w:sz w:val="24"/>
        </w:rPr>
        <w:t>and also</w:t>
      </w:r>
      <w:proofErr w:type="gramEnd"/>
      <w:r w:rsidRPr="00CE240B">
        <w:rPr>
          <w:rFonts w:cs="Arial"/>
          <w:sz w:val="24"/>
        </w:rPr>
        <w:t xml:space="preserve"> the changes on the Northgate site which are due to be handed over in the early part of 2023.</w:t>
      </w:r>
    </w:p>
    <w:p w14:paraId="4DBF671D" w14:textId="77777777" w:rsidR="00CE240B" w:rsidRDefault="00CE240B" w:rsidP="00CE240B">
      <w:pPr>
        <w:contextualSpacing/>
        <w:rPr>
          <w:rFonts w:cs="Arial"/>
          <w:b/>
          <w:sz w:val="24"/>
        </w:rPr>
      </w:pPr>
    </w:p>
    <w:p w14:paraId="24AC99C0" w14:textId="77777777" w:rsidR="007E7D73" w:rsidRPr="00CE240B" w:rsidRDefault="007E7D73" w:rsidP="00CE240B">
      <w:pPr>
        <w:contextualSpacing/>
        <w:rPr>
          <w:rFonts w:cs="Arial"/>
          <w:b/>
          <w:sz w:val="24"/>
        </w:rPr>
      </w:pPr>
    </w:p>
    <w:p w14:paraId="6B3BB7A2" w14:textId="77777777" w:rsidR="00CE240B" w:rsidRDefault="001D2E87" w:rsidP="00CE240B">
      <w:pPr>
        <w:contextualSpacing/>
        <w:rPr>
          <w:rFonts w:cs="Arial"/>
          <w:b/>
          <w:color w:val="0070C0"/>
          <w:sz w:val="24"/>
        </w:rPr>
      </w:pPr>
      <w:r w:rsidRPr="007E7D73">
        <w:rPr>
          <w:rFonts w:cs="Arial"/>
          <w:b/>
          <w:color w:val="0070C0"/>
          <w:sz w:val="24"/>
        </w:rPr>
        <w:t>3.5.2</w:t>
      </w:r>
      <w:r w:rsidRPr="007E7D73">
        <w:rPr>
          <w:rFonts w:cs="Arial"/>
          <w:b/>
          <w:color w:val="0070C0"/>
          <w:sz w:val="24"/>
        </w:rPr>
        <w:tab/>
        <w:t>Bed Numbers</w:t>
      </w:r>
    </w:p>
    <w:p w14:paraId="00FA3438" w14:textId="77777777" w:rsidR="007E7D73" w:rsidRPr="007E7D73" w:rsidRDefault="007E7D73" w:rsidP="00CE240B">
      <w:pPr>
        <w:contextualSpacing/>
        <w:rPr>
          <w:rFonts w:cs="Arial"/>
          <w:b/>
          <w:color w:val="0070C0"/>
          <w:sz w:val="24"/>
        </w:rPr>
      </w:pPr>
    </w:p>
    <w:p w14:paraId="5FB9E963" w14:textId="0EE71D89" w:rsidR="001D2E87" w:rsidRPr="00CE240B" w:rsidRDefault="001D2E87" w:rsidP="00CE240B">
      <w:pPr>
        <w:contextualSpacing/>
        <w:rPr>
          <w:rFonts w:cs="Arial"/>
          <w:sz w:val="24"/>
        </w:rPr>
      </w:pPr>
      <w:r w:rsidRPr="00CE240B">
        <w:rPr>
          <w:rFonts w:cs="Arial"/>
          <w:sz w:val="24"/>
        </w:rPr>
        <w:lastRenderedPageBreak/>
        <w:t xml:space="preserve">The figures below </w:t>
      </w:r>
      <w:r w:rsidR="002D27B6" w:rsidRPr="00CE240B">
        <w:rPr>
          <w:rFonts w:cs="Arial"/>
          <w:sz w:val="24"/>
        </w:rPr>
        <w:t>show</w:t>
      </w:r>
      <w:r w:rsidRPr="00CE240B">
        <w:rPr>
          <w:rFonts w:cs="Arial"/>
          <w:sz w:val="24"/>
        </w:rPr>
        <w:t xml:space="preserve"> the overall available bed provision across each of the principal and community sites and the the change over the last 11 years. The figure clearly shows how numbers have reduced since the previous Estates Strategy in 2012, with the most significant change being the reduction in social and residential beds. This bed reduction is reflective of the Trusts operational strategy to reduce in-patient beds and provide treatment in community or other settings. T</w:t>
      </w:r>
      <w:r w:rsidR="00AC0DC7">
        <w:rPr>
          <w:rFonts w:cs="Arial"/>
          <w:sz w:val="24"/>
        </w:rPr>
        <w:t>able 5</w:t>
      </w:r>
      <w:r w:rsidRPr="00CE240B">
        <w:rPr>
          <w:rFonts w:cs="Arial"/>
          <w:sz w:val="24"/>
        </w:rPr>
        <w:t xml:space="preserve"> below shows the bed number change over the last 11 years.</w:t>
      </w:r>
    </w:p>
    <w:p w14:paraId="7A3B5374" w14:textId="77777777" w:rsidR="001D2E87" w:rsidRPr="00CE240B" w:rsidRDefault="001D2E87" w:rsidP="00CE240B">
      <w:pPr>
        <w:pStyle w:val="BlockText"/>
        <w:spacing w:line="240" w:lineRule="auto"/>
        <w:contextualSpacing/>
        <w:rPr>
          <w:rFonts w:ascii="Arial" w:hAnsi="Arial" w:cs="Arial"/>
          <w:color w:val="auto"/>
        </w:rPr>
      </w:pPr>
    </w:p>
    <w:tbl>
      <w:tblPr>
        <w:tblStyle w:val="TableGrid"/>
        <w:tblW w:w="9332" w:type="dxa"/>
        <w:tblInd w:w="340" w:type="dxa"/>
        <w:tblLook w:val="04A0" w:firstRow="1" w:lastRow="0" w:firstColumn="1" w:lastColumn="0" w:noHBand="0" w:noVBand="1"/>
      </w:tblPr>
      <w:tblGrid>
        <w:gridCol w:w="2328"/>
        <w:gridCol w:w="2334"/>
        <w:gridCol w:w="2334"/>
        <w:gridCol w:w="2336"/>
      </w:tblGrid>
      <w:tr w:rsidR="00CE240B" w:rsidRPr="00CE240B" w14:paraId="26C4C696" w14:textId="77777777" w:rsidTr="009A6469">
        <w:trPr>
          <w:trHeight w:val="377"/>
        </w:trPr>
        <w:tc>
          <w:tcPr>
            <w:tcW w:w="9332" w:type="dxa"/>
            <w:gridSpan w:val="4"/>
            <w:shd w:val="clear" w:color="auto" w:fill="D9D9D9" w:themeFill="background1" w:themeFillShade="D9"/>
            <w:vAlign w:val="center"/>
          </w:tcPr>
          <w:p w14:paraId="50FD76D6"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CNTW Inpatient Beds</w:t>
            </w:r>
          </w:p>
        </w:tc>
      </w:tr>
      <w:tr w:rsidR="00CE240B" w:rsidRPr="00CE240B" w14:paraId="4DDF8BC3" w14:textId="77777777" w:rsidTr="009A6469">
        <w:trPr>
          <w:trHeight w:val="389"/>
        </w:trPr>
        <w:tc>
          <w:tcPr>
            <w:tcW w:w="2328" w:type="dxa"/>
            <w:shd w:val="clear" w:color="auto" w:fill="D9D9D9" w:themeFill="background1" w:themeFillShade="D9"/>
            <w:vAlign w:val="center"/>
          </w:tcPr>
          <w:p w14:paraId="66032FF9"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Period</w:t>
            </w:r>
          </w:p>
        </w:tc>
        <w:tc>
          <w:tcPr>
            <w:tcW w:w="2334" w:type="dxa"/>
            <w:shd w:val="clear" w:color="auto" w:fill="D9D9D9" w:themeFill="background1" w:themeFillShade="D9"/>
            <w:vAlign w:val="center"/>
          </w:tcPr>
          <w:p w14:paraId="2354483D"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2012</w:t>
            </w:r>
          </w:p>
        </w:tc>
        <w:tc>
          <w:tcPr>
            <w:tcW w:w="2334" w:type="dxa"/>
            <w:shd w:val="clear" w:color="auto" w:fill="D9D9D9" w:themeFill="background1" w:themeFillShade="D9"/>
            <w:vAlign w:val="center"/>
          </w:tcPr>
          <w:p w14:paraId="73640B66"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2018</w:t>
            </w:r>
          </w:p>
        </w:tc>
        <w:tc>
          <w:tcPr>
            <w:tcW w:w="2334" w:type="dxa"/>
            <w:shd w:val="clear" w:color="auto" w:fill="D9D9D9" w:themeFill="background1" w:themeFillShade="D9"/>
            <w:vAlign w:val="center"/>
          </w:tcPr>
          <w:p w14:paraId="60162D95"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2023</w:t>
            </w:r>
          </w:p>
        </w:tc>
      </w:tr>
      <w:tr w:rsidR="00CE240B" w:rsidRPr="00CE240B" w14:paraId="6A8AC29C" w14:textId="77777777" w:rsidTr="009A6469">
        <w:trPr>
          <w:trHeight w:val="364"/>
        </w:trPr>
        <w:tc>
          <w:tcPr>
            <w:tcW w:w="2328" w:type="dxa"/>
            <w:vAlign w:val="center"/>
          </w:tcPr>
          <w:p w14:paraId="1401A17E" w14:textId="77777777" w:rsidR="001D2E87" w:rsidRPr="00CE240B" w:rsidRDefault="001D2E87" w:rsidP="00CE240B">
            <w:pPr>
              <w:pStyle w:val="BlockText"/>
              <w:spacing w:line="240" w:lineRule="auto"/>
              <w:ind w:left="0"/>
              <w:contextualSpacing/>
              <w:jc w:val="center"/>
              <w:rPr>
                <w:rFonts w:ascii="Arial" w:hAnsi="Arial" w:cs="Arial"/>
                <w:b/>
                <w:color w:val="auto"/>
              </w:rPr>
            </w:pPr>
            <w:r w:rsidRPr="00CE240B">
              <w:rPr>
                <w:rFonts w:ascii="Arial" w:hAnsi="Arial" w:cs="Arial"/>
                <w:b/>
                <w:color w:val="auto"/>
              </w:rPr>
              <w:t>Beds</w:t>
            </w:r>
          </w:p>
        </w:tc>
        <w:tc>
          <w:tcPr>
            <w:tcW w:w="2334" w:type="dxa"/>
            <w:vAlign w:val="center"/>
          </w:tcPr>
          <w:p w14:paraId="1D9D1699" w14:textId="77777777" w:rsidR="001D2E87" w:rsidRPr="00CE240B" w:rsidRDefault="001D2E87" w:rsidP="00CE240B">
            <w:pPr>
              <w:pStyle w:val="BlockText"/>
              <w:spacing w:line="240" w:lineRule="auto"/>
              <w:ind w:left="0"/>
              <w:contextualSpacing/>
              <w:jc w:val="center"/>
              <w:rPr>
                <w:rFonts w:ascii="Arial" w:hAnsi="Arial" w:cs="Arial"/>
                <w:color w:val="auto"/>
              </w:rPr>
            </w:pPr>
            <w:r w:rsidRPr="00CE240B">
              <w:rPr>
                <w:rFonts w:ascii="Arial" w:hAnsi="Arial" w:cs="Arial"/>
                <w:color w:val="auto"/>
              </w:rPr>
              <w:t>1305</w:t>
            </w:r>
          </w:p>
        </w:tc>
        <w:tc>
          <w:tcPr>
            <w:tcW w:w="2334" w:type="dxa"/>
            <w:vAlign w:val="center"/>
          </w:tcPr>
          <w:p w14:paraId="2E78AB6C" w14:textId="77777777" w:rsidR="001D2E87" w:rsidRPr="00CE240B" w:rsidRDefault="001D2E87" w:rsidP="00CE240B">
            <w:pPr>
              <w:pStyle w:val="BlockText"/>
              <w:spacing w:line="240" w:lineRule="auto"/>
              <w:ind w:left="0"/>
              <w:contextualSpacing/>
              <w:jc w:val="center"/>
              <w:rPr>
                <w:rFonts w:ascii="Arial" w:hAnsi="Arial" w:cs="Arial"/>
                <w:color w:val="auto"/>
              </w:rPr>
            </w:pPr>
            <w:r w:rsidRPr="00CE240B">
              <w:rPr>
                <w:rFonts w:ascii="Arial" w:hAnsi="Arial" w:cs="Arial"/>
                <w:color w:val="auto"/>
              </w:rPr>
              <w:t>857</w:t>
            </w:r>
          </w:p>
        </w:tc>
        <w:tc>
          <w:tcPr>
            <w:tcW w:w="2334" w:type="dxa"/>
            <w:vAlign w:val="center"/>
          </w:tcPr>
          <w:p w14:paraId="66551EC8" w14:textId="77777777" w:rsidR="001D2E87" w:rsidRPr="00CE240B" w:rsidRDefault="001D2E87" w:rsidP="00CE240B">
            <w:pPr>
              <w:pStyle w:val="BlockText"/>
              <w:spacing w:line="240" w:lineRule="auto"/>
              <w:ind w:left="0"/>
              <w:contextualSpacing/>
              <w:jc w:val="center"/>
              <w:rPr>
                <w:rFonts w:ascii="Arial" w:hAnsi="Arial" w:cs="Arial"/>
                <w:color w:val="auto"/>
              </w:rPr>
            </w:pPr>
            <w:r w:rsidRPr="00CE240B">
              <w:rPr>
                <w:rFonts w:ascii="Arial" w:hAnsi="Arial" w:cs="Arial"/>
                <w:color w:val="auto"/>
              </w:rPr>
              <w:t>791</w:t>
            </w:r>
          </w:p>
        </w:tc>
      </w:tr>
    </w:tbl>
    <w:p w14:paraId="6858C059" w14:textId="77777777" w:rsidR="001D2E87" w:rsidRPr="00CE240B" w:rsidRDefault="001D2E87" w:rsidP="00CE240B">
      <w:pPr>
        <w:contextualSpacing/>
        <w:jc w:val="center"/>
        <w:rPr>
          <w:rFonts w:cs="Arial"/>
          <w:sz w:val="24"/>
        </w:rPr>
      </w:pPr>
      <w:r>
        <w:t>Table 5 Bed number change over time</w:t>
      </w:r>
    </w:p>
    <w:p w14:paraId="50720CCC" w14:textId="77777777" w:rsidR="00CE240B" w:rsidRDefault="00CE240B" w:rsidP="00CE240B">
      <w:pPr>
        <w:contextualSpacing/>
        <w:rPr>
          <w:rFonts w:cs="Arial"/>
          <w:b/>
          <w:sz w:val="24"/>
        </w:rPr>
      </w:pPr>
    </w:p>
    <w:p w14:paraId="2FD802D4" w14:textId="6D00BD7B" w:rsidR="001D2E87" w:rsidRPr="007E7D73" w:rsidRDefault="001D2E87" w:rsidP="00CE240B">
      <w:pPr>
        <w:contextualSpacing/>
        <w:rPr>
          <w:rFonts w:cs="Arial"/>
          <w:b/>
          <w:color w:val="0070C0"/>
          <w:sz w:val="24"/>
        </w:rPr>
      </w:pPr>
      <w:r w:rsidRPr="007E7D73">
        <w:rPr>
          <w:rFonts w:cs="Arial"/>
          <w:b/>
          <w:color w:val="0070C0"/>
          <w:sz w:val="24"/>
        </w:rPr>
        <w:t>3.5.3</w:t>
      </w:r>
      <w:r w:rsidRPr="007E7D73">
        <w:rPr>
          <w:rFonts w:cs="Arial"/>
          <w:b/>
          <w:color w:val="0070C0"/>
          <w:sz w:val="24"/>
        </w:rPr>
        <w:tab/>
        <w:t>Tenure</w:t>
      </w:r>
    </w:p>
    <w:p w14:paraId="5D66C9D4" w14:textId="77777777" w:rsidR="007E7D73" w:rsidRPr="00CE240B" w:rsidRDefault="007E7D73" w:rsidP="00CE240B">
      <w:pPr>
        <w:contextualSpacing/>
        <w:rPr>
          <w:rFonts w:cs="Arial"/>
          <w:b/>
          <w:sz w:val="24"/>
        </w:rPr>
      </w:pPr>
    </w:p>
    <w:p w14:paraId="0CF15975" w14:textId="6EBE8ED0" w:rsidR="001D2E87" w:rsidRPr="00CE240B" w:rsidRDefault="001D2E87" w:rsidP="00CE240B">
      <w:pPr>
        <w:contextualSpacing/>
        <w:rPr>
          <w:rFonts w:cs="Arial"/>
          <w:sz w:val="24"/>
        </w:rPr>
      </w:pPr>
      <w:r w:rsidRPr="00CE240B">
        <w:rPr>
          <w:rFonts w:cs="Arial"/>
          <w:sz w:val="24"/>
        </w:rPr>
        <w:t xml:space="preserve">Whilst the Trust owns </w:t>
      </w:r>
      <w:proofErr w:type="gramStart"/>
      <w:r w:rsidRPr="00CE240B">
        <w:rPr>
          <w:rFonts w:cs="Arial"/>
          <w:sz w:val="24"/>
        </w:rPr>
        <w:t>the majority of</w:t>
      </w:r>
      <w:proofErr w:type="gramEnd"/>
      <w:r w:rsidRPr="00CE240B">
        <w:rPr>
          <w:rFonts w:cs="Arial"/>
          <w:sz w:val="24"/>
        </w:rPr>
        <w:t xml:space="preserve"> its main sites (either freehold or through the PFI Project Agreements), there remains a significant number of buildings which the Trust occupies under either lease, licence, informal tenancy or service level agreements. The breakdown of tenure is shown in </w:t>
      </w:r>
      <w:r w:rsidR="003F6996">
        <w:rPr>
          <w:rFonts w:cs="Arial"/>
          <w:sz w:val="24"/>
        </w:rPr>
        <w:t>table 6</w:t>
      </w:r>
      <w:r w:rsidRPr="00CE240B">
        <w:rPr>
          <w:rFonts w:cs="Arial"/>
          <w:sz w:val="24"/>
        </w:rPr>
        <w:t xml:space="preserve"> below.</w:t>
      </w:r>
    </w:p>
    <w:tbl>
      <w:tblPr>
        <w:tblStyle w:val="TableGrid"/>
        <w:tblW w:w="0" w:type="auto"/>
        <w:tblInd w:w="340" w:type="dxa"/>
        <w:tblLook w:val="04A0" w:firstRow="1" w:lastRow="0" w:firstColumn="1" w:lastColumn="0" w:noHBand="0" w:noVBand="1"/>
      </w:tblPr>
      <w:tblGrid>
        <w:gridCol w:w="3015"/>
        <w:gridCol w:w="2980"/>
        <w:gridCol w:w="2987"/>
      </w:tblGrid>
      <w:tr w:rsidR="001D2E87" w:rsidRPr="00CE240B" w14:paraId="1204B172" w14:textId="77777777" w:rsidTr="008F433F">
        <w:tc>
          <w:tcPr>
            <w:tcW w:w="3110" w:type="dxa"/>
            <w:shd w:val="clear" w:color="auto" w:fill="D9D9D9" w:themeFill="background1" w:themeFillShade="D9"/>
          </w:tcPr>
          <w:p w14:paraId="22019A33"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Tenure</w:t>
            </w:r>
          </w:p>
        </w:tc>
        <w:tc>
          <w:tcPr>
            <w:tcW w:w="3087" w:type="dxa"/>
            <w:tcBorders>
              <w:bottom w:val="single" w:sz="4" w:space="0" w:color="auto"/>
            </w:tcBorders>
            <w:shd w:val="clear" w:color="auto" w:fill="D9D9D9" w:themeFill="background1" w:themeFillShade="D9"/>
          </w:tcPr>
          <w:p w14:paraId="32854EF3"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No of sites</w:t>
            </w:r>
          </w:p>
        </w:tc>
        <w:tc>
          <w:tcPr>
            <w:tcW w:w="3091" w:type="dxa"/>
            <w:tcBorders>
              <w:bottom w:val="single" w:sz="4" w:space="0" w:color="auto"/>
            </w:tcBorders>
            <w:shd w:val="clear" w:color="auto" w:fill="D9D9D9" w:themeFill="background1" w:themeFillShade="D9"/>
          </w:tcPr>
          <w:p w14:paraId="3F329180" w14:textId="77777777" w:rsidR="001D2E87" w:rsidRPr="00CE240B" w:rsidRDefault="001D2E87" w:rsidP="00CE240B">
            <w:pPr>
              <w:pStyle w:val="BlockText"/>
              <w:spacing w:line="240" w:lineRule="auto"/>
              <w:ind w:left="0"/>
              <w:contextualSpacing/>
              <w:jc w:val="center"/>
              <w:rPr>
                <w:rFonts w:ascii="Arial" w:hAnsi="Arial" w:cs="Arial"/>
                <w:b/>
              </w:rPr>
            </w:pPr>
            <w:r w:rsidRPr="00CE240B">
              <w:rPr>
                <w:rFonts w:ascii="Arial" w:hAnsi="Arial" w:cs="Arial"/>
                <w:b/>
              </w:rPr>
              <w:t>Floor area m2</w:t>
            </w:r>
          </w:p>
        </w:tc>
      </w:tr>
      <w:tr w:rsidR="001D2E87" w:rsidRPr="00CE240B" w14:paraId="60D69C89" w14:textId="77777777" w:rsidTr="009A6469">
        <w:tc>
          <w:tcPr>
            <w:tcW w:w="3110" w:type="dxa"/>
            <w:shd w:val="clear" w:color="auto" w:fill="D9D9D9" w:themeFill="background1" w:themeFillShade="D9"/>
            <w:vAlign w:val="center"/>
          </w:tcPr>
          <w:p w14:paraId="59182300" w14:textId="77777777" w:rsidR="001D2E87" w:rsidRPr="00CE240B" w:rsidRDefault="001D2E87" w:rsidP="00CE240B">
            <w:pPr>
              <w:contextualSpacing/>
              <w:jc w:val="center"/>
              <w:rPr>
                <w:rFonts w:cs="Arial"/>
                <w:b/>
                <w:sz w:val="24"/>
              </w:rPr>
            </w:pPr>
            <w:r w:rsidRPr="00CE240B">
              <w:rPr>
                <w:rFonts w:cs="Arial"/>
                <w:b/>
                <w:sz w:val="24"/>
              </w:rPr>
              <w:t>Freehold</w:t>
            </w:r>
          </w:p>
        </w:tc>
        <w:tc>
          <w:tcPr>
            <w:tcW w:w="3087" w:type="dxa"/>
            <w:tcBorders>
              <w:top w:val="single" w:sz="4" w:space="0" w:color="auto"/>
              <w:bottom w:val="single" w:sz="4" w:space="0" w:color="auto"/>
            </w:tcBorders>
            <w:vAlign w:val="center"/>
          </w:tcPr>
          <w:p w14:paraId="0E03A6DF" w14:textId="77777777" w:rsidR="001D2E87" w:rsidRPr="00CE240B" w:rsidRDefault="001D2E87" w:rsidP="00CE240B">
            <w:pPr>
              <w:contextualSpacing/>
              <w:jc w:val="center"/>
              <w:rPr>
                <w:rFonts w:cs="Arial"/>
                <w:sz w:val="24"/>
              </w:rPr>
            </w:pPr>
            <w:r w:rsidRPr="00CE240B">
              <w:rPr>
                <w:rFonts w:cs="Arial"/>
                <w:sz w:val="24"/>
              </w:rPr>
              <w:t>46</w:t>
            </w:r>
          </w:p>
        </w:tc>
        <w:tc>
          <w:tcPr>
            <w:tcW w:w="3091" w:type="dxa"/>
            <w:tcBorders>
              <w:top w:val="single" w:sz="4" w:space="0" w:color="auto"/>
              <w:left w:val="nil"/>
              <w:bottom w:val="single" w:sz="4" w:space="0" w:color="auto"/>
              <w:right w:val="single" w:sz="4" w:space="0" w:color="auto"/>
            </w:tcBorders>
            <w:vAlign w:val="center"/>
          </w:tcPr>
          <w:p w14:paraId="3D2573C2" w14:textId="77777777" w:rsidR="001D2E87" w:rsidRPr="00CE240B" w:rsidRDefault="001D2E87" w:rsidP="00CE240B">
            <w:pPr>
              <w:contextualSpacing/>
              <w:jc w:val="center"/>
              <w:rPr>
                <w:rFonts w:cs="Arial"/>
                <w:sz w:val="24"/>
              </w:rPr>
            </w:pPr>
            <w:r w:rsidRPr="00CE240B">
              <w:rPr>
                <w:rFonts w:cs="Arial"/>
                <w:sz w:val="24"/>
              </w:rPr>
              <w:t>114521</w:t>
            </w:r>
          </w:p>
        </w:tc>
      </w:tr>
      <w:tr w:rsidR="001D2E87" w:rsidRPr="00CE240B" w14:paraId="5D628AA7" w14:textId="77777777" w:rsidTr="009A6469">
        <w:tc>
          <w:tcPr>
            <w:tcW w:w="3110" w:type="dxa"/>
            <w:shd w:val="clear" w:color="auto" w:fill="D9D9D9" w:themeFill="background1" w:themeFillShade="D9"/>
            <w:vAlign w:val="center"/>
          </w:tcPr>
          <w:p w14:paraId="2440236A" w14:textId="77777777" w:rsidR="001D2E87" w:rsidRPr="00CE240B" w:rsidRDefault="001D2E87" w:rsidP="00CE240B">
            <w:pPr>
              <w:contextualSpacing/>
              <w:jc w:val="center"/>
              <w:rPr>
                <w:rFonts w:cs="Arial"/>
                <w:b/>
                <w:sz w:val="24"/>
              </w:rPr>
            </w:pPr>
            <w:r w:rsidRPr="00CE240B">
              <w:rPr>
                <w:rFonts w:cs="Arial"/>
                <w:b/>
                <w:sz w:val="24"/>
              </w:rPr>
              <w:t>PFI</w:t>
            </w:r>
          </w:p>
        </w:tc>
        <w:tc>
          <w:tcPr>
            <w:tcW w:w="3087" w:type="dxa"/>
            <w:tcBorders>
              <w:top w:val="single" w:sz="4" w:space="0" w:color="auto"/>
              <w:bottom w:val="single" w:sz="4" w:space="0" w:color="auto"/>
            </w:tcBorders>
            <w:vAlign w:val="center"/>
          </w:tcPr>
          <w:p w14:paraId="4B9B65B6" w14:textId="77777777" w:rsidR="001D2E87" w:rsidRPr="00CE240B" w:rsidRDefault="001D2E87" w:rsidP="00CE240B">
            <w:pPr>
              <w:contextualSpacing/>
              <w:jc w:val="center"/>
              <w:rPr>
                <w:rFonts w:cs="Arial"/>
                <w:sz w:val="24"/>
              </w:rPr>
            </w:pPr>
            <w:r w:rsidRPr="00CE240B">
              <w:rPr>
                <w:rFonts w:cs="Arial"/>
                <w:sz w:val="24"/>
              </w:rPr>
              <w:t>2</w:t>
            </w:r>
          </w:p>
        </w:tc>
        <w:tc>
          <w:tcPr>
            <w:tcW w:w="3091" w:type="dxa"/>
            <w:tcBorders>
              <w:top w:val="single" w:sz="4" w:space="0" w:color="auto"/>
              <w:left w:val="nil"/>
              <w:bottom w:val="single" w:sz="4" w:space="0" w:color="auto"/>
              <w:right w:val="single" w:sz="4" w:space="0" w:color="auto"/>
            </w:tcBorders>
            <w:vAlign w:val="center"/>
          </w:tcPr>
          <w:p w14:paraId="2399C68B" w14:textId="77777777" w:rsidR="001D2E87" w:rsidRPr="00CE240B" w:rsidRDefault="001D2E87" w:rsidP="00CE240B">
            <w:pPr>
              <w:contextualSpacing/>
              <w:jc w:val="center"/>
              <w:rPr>
                <w:rFonts w:cs="Arial"/>
                <w:sz w:val="24"/>
              </w:rPr>
            </w:pPr>
            <w:r w:rsidRPr="00CE240B">
              <w:rPr>
                <w:rFonts w:cs="Arial"/>
                <w:sz w:val="24"/>
              </w:rPr>
              <w:t>28988</w:t>
            </w:r>
          </w:p>
        </w:tc>
      </w:tr>
      <w:tr w:rsidR="001D2E87" w:rsidRPr="00CE240B" w14:paraId="3435FFD4" w14:textId="77777777" w:rsidTr="009A6469">
        <w:tc>
          <w:tcPr>
            <w:tcW w:w="3110" w:type="dxa"/>
            <w:shd w:val="clear" w:color="auto" w:fill="D9D9D9" w:themeFill="background1" w:themeFillShade="D9"/>
            <w:vAlign w:val="center"/>
          </w:tcPr>
          <w:p w14:paraId="286DFF70" w14:textId="77777777" w:rsidR="001D2E87" w:rsidRPr="00CE240B" w:rsidRDefault="001D2E87" w:rsidP="00CE240B">
            <w:pPr>
              <w:contextualSpacing/>
              <w:jc w:val="center"/>
              <w:rPr>
                <w:rFonts w:cs="Arial"/>
                <w:b/>
                <w:sz w:val="24"/>
              </w:rPr>
            </w:pPr>
            <w:r w:rsidRPr="00CE240B">
              <w:rPr>
                <w:rFonts w:cs="Arial"/>
                <w:b/>
                <w:sz w:val="24"/>
              </w:rPr>
              <w:t>Lease</w:t>
            </w:r>
          </w:p>
        </w:tc>
        <w:tc>
          <w:tcPr>
            <w:tcW w:w="3087" w:type="dxa"/>
            <w:tcBorders>
              <w:top w:val="single" w:sz="4" w:space="0" w:color="auto"/>
              <w:bottom w:val="single" w:sz="4" w:space="0" w:color="auto"/>
            </w:tcBorders>
            <w:vAlign w:val="center"/>
          </w:tcPr>
          <w:p w14:paraId="1EED2C34" w14:textId="77777777" w:rsidR="001D2E87" w:rsidRPr="00CE240B" w:rsidRDefault="001D2E87" w:rsidP="00CE240B">
            <w:pPr>
              <w:contextualSpacing/>
              <w:jc w:val="center"/>
              <w:rPr>
                <w:rFonts w:cs="Arial"/>
                <w:sz w:val="24"/>
              </w:rPr>
            </w:pPr>
            <w:r w:rsidRPr="00CE240B">
              <w:rPr>
                <w:rFonts w:cs="Arial"/>
                <w:sz w:val="24"/>
              </w:rPr>
              <w:t>53</w:t>
            </w:r>
          </w:p>
        </w:tc>
        <w:tc>
          <w:tcPr>
            <w:tcW w:w="3091" w:type="dxa"/>
            <w:tcBorders>
              <w:top w:val="single" w:sz="4" w:space="0" w:color="auto"/>
              <w:left w:val="nil"/>
              <w:bottom w:val="single" w:sz="4" w:space="0" w:color="auto"/>
              <w:right w:val="single" w:sz="4" w:space="0" w:color="auto"/>
            </w:tcBorders>
            <w:vAlign w:val="center"/>
          </w:tcPr>
          <w:p w14:paraId="0BC5896E" w14:textId="77777777" w:rsidR="001D2E87" w:rsidRPr="00CE240B" w:rsidRDefault="001D2E87" w:rsidP="00CE240B">
            <w:pPr>
              <w:contextualSpacing/>
              <w:jc w:val="center"/>
              <w:rPr>
                <w:rFonts w:cs="Arial"/>
                <w:sz w:val="24"/>
              </w:rPr>
            </w:pPr>
            <w:r w:rsidRPr="00CE240B">
              <w:rPr>
                <w:rFonts w:cs="Arial"/>
                <w:sz w:val="24"/>
              </w:rPr>
              <w:t>20610</w:t>
            </w:r>
          </w:p>
        </w:tc>
      </w:tr>
      <w:tr w:rsidR="001D2E87" w:rsidRPr="00CE240B" w14:paraId="2B39CE39" w14:textId="77777777" w:rsidTr="009A6469">
        <w:tc>
          <w:tcPr>
            <w:tcW w:w="3110" w:type="dxa"/>
            <w:shd w:val="clear" w:color="auto" w:fill="D9D9D9" w:themeFill="background1" w:themeFillShade="D9"/>
            <w:vAlign w:val="center"/>
          </w:tcPr>
          <w:p w14:paraId="16A42AB4" w14:textId="77777777" w:rsidR="001D2E87" w:rsidRPr="00CE240B" w:rsidRDefault="001D2E87" w:rsidP="00CE240B">
            <w:pPr>
              <w:contextualSpacing/>
              <w:jc w:val="center"/>
              <w:rPr>
                <w:rFonts w:cs="Arial"/>
                <w:b/>
                <w:sz w:val="24"/>
              </w:rPr>
            </w:pPr>
            <w:r w:rsidRPr="00CE240B">
              <w:rPr>
                <w:rFonts w:cs="Arial"/>
                <w:b/>
                <w:sz w:val="24"/>
              </w:rPr>
              <w:t>SLA / Informal tenancy / Licence to occupy</w:t>
            </w:r>
          </w:p>
        </w:tc>
        <w:tc>
          <w:tcPr>
            <w:tcW w:w="3087" w:type="dxa"/>
            <w:tcBorders>
              <w:top w:val="single" w:sz="4" w:space="0" w:color="auto"/>
              <w:bottom w:val="single" w:sz="4" w:space="0" w:color="auto"/>
            </w:tcBorders>
            <w:vAlign w:val="center"/>
          </w:tcPr>
          <w:p w14:paraId="33070831" w14:textId="77777777" w:rsidR="001D2E87" w:rsidRPr="00CE240B" w:rsidRDefault="001D2E87" w:rsidP="00CE240B">
            <w:pPr>
              <w:contextualSpacing/>
              <w:jc w:val="center"/>
              <w:rPr>
                <w:rFonts w:cs="Arial"/>
                <w:sz w:val="24"/>
              </w:rPr>
            </w:pPr>
            <w:r w:rsidRPr="00CE240B">
              <w:rPr>
                <w:rFonts w:cs="Arial"/>
                <w:sz w:val="24"/>
              </w:rPr>
              <w:t>13</w:t>
            </w:r>
          </w:p>
        </w:tc>
        <w:tc>
          <w:tcPr>
            <w:tcW w:w="3091" w:type="dxa"/>
            <w:tcBorders>
              <w:top w:val="single" w:sz="4" w:space="0" w:color="auto"/>
              <w:left w:val="nil"/>
              <w:bottom w:val="single" w:sz="4" w:space="0" w:color="auto"/>
              <w:right w:val="single" w:sz="4" w:space="0" w:color="auto"/>
            </w:tcBorders>
            <w:vAlign w:val="center"/>
          </w:tcPr>
          <w:p w14:paraId="2FD2209C" w14:textId="77777777" w:rsidR="001D2E87" w:rsidRPr="00CE240B" w:rsidRDefault="001D2E87" w:rsidP="00CE240B">
            <w:pPr>
              <w:contextualSpacing/>
              <w:jc w:val="center"/>
              <w:rPr>
                <w:rFonts w:cs="Arial"/>
                <w:sz w:val="24"/>
              </w:rPr>
            </w:pPr>
            <w:r w:rsidRPr="00CE240B">
              <w:rPr>
                <w:rFonts w:cs="Arial"/>
                <w:sz w:val="24"/>
              </w:rPr>
              <w:t>10038</w:t>
            </w:r>
          </w:p>
        </w:tc>
      </w:tr>
      <w:tr w:rsidR="001D2E87" w:rsidRPr="00CE240B" w14:paraId="4C507022" w14:textId="77777777" w:rsidTr="008F433F">
        <w:tc>
          <w:tcPr>
            <w:tcW w:w="3110" w:type="dxa"/>
            <w:shd w:val="clear" w:color="auto" w:fill="D9D9D9" w:themeFill="background1" w:themeFillShade="D9"/>
          </w:tcPr>
          <w:p w14:paraId="63A93A78" w14:textId="77777777" w:rsidR="001D2E87" w:rsidRPr="00CE240B" w:rsidRDefault="001D2E87" w:rsidP="00CE240B">
            <w:pPr>
              <w:contextualSpacing/>
              <w:rPr>
                <w:rFonts w:cs="Arial"/>
                <w:sz w:val="24"/>
              </w:rPr>
            </w:pPr>
            <w:r w:rsidRPr="00CE240B">
              <w:rPr>
                <w:rFonts w:cs="Arial"/>
                <w:sz w:val="24"/>
              </w:rPr>
              <w:t>Total</w:t>
            </w:r>
          </w:p>
        </w:tc>
        <w:tc>
          <w:tcPr>
            <w:tcW w:w="3087" w:type="dxa"/>
            <w:tcBorders>
              <w:top w:val="single" w:sz="4" w:space="0" w:color="auto"/>
            </w:tcBorders>
            <w:shd w:val="clear" w:color="auto" w:fill="D9D9D9" w:themeFill="background1" w:themeFillShade="D9"/>
            <w:vAlign w:val="center"/>
          </w:tcPr>
          <w:p w14:paraId="6E34FEA8" w14:textId="77777777" w:rsidR="001D2E87" w:rsidRPr="00CE240B" w:rsidRDefault="001D2E87" w:rsidP="00CE240B">
            <w:pPr>
              <w:contextualSpacing/>
              <w:jc w:val="center"/>
              <w:rPr>
                <w:rFonts w:cs="Arial"/>
                <w:sz w:val="24"/>
              </w:rPr>
            </w:pPr>
            <w:r w:rsidRPr="00CE240B">
              <w:rPr>
                <w:rFonts w:cs="Arial"/>
                <w:sz w:val="24"/>
              </w:rPr>
              <w:t>114</w:t>
            </w:r>
          </w:p>
        </w:tc>
        <w:tc>
          <w:tcPr>
            <w:tcW w:w="3091" w:type="dxa"/>
            <w:tcBorders>
              <w:top w:val="single" w:sz="4" w:space="0" w:color="auto"/>
            </w:tcBorders>
            <w:shd w:val="clear" w:color="auto" w:fill="D9D9D9" w:themeFill="background1" w:themeFillShade="D9"/>
            <w:vAlign w:val="center"/>
          </w:tcPr>
          <w:p w14:paraId="021A76E9" w14:textId="77777777" w:rsidR="001D2E87" w:rsidRPr="00CE240B" w:rsidRDefault="001D2E87" w:rsidP="00CE240B">
            <w:pPr>
              <w:contextualSpacing/>
              <w:jc w:val="center"/>
              <w:rPr>
                <w:rFonts w:cs="Arial"/>
                <w:sz w:val="24"/>
              </w:rPr>
            </w:pPr>
            <w:r w:rsidRPr="00CE240B">
              <w:rPr>
                <w:rFonts w:cs="Arial"/>
                <w:sz w:val="24"/>
              </w:rPr>
              <w:t>174157</w:t>
            </w:r>
          </w:p>
        </w:tc>
      </w:tr>
    </w:tbl>
    <w:p w14:paraId="44EA97A1" w14:textId="77777777" w:rsidR="001D2E87" w:rsidRPr="00CE240B" w:rsidRDefault="001D2E87" w:rsidP="00CE240B">
      <w:pPr>
        <w:contextualSpacing/>
        <w:jc w:val="center"/>
        <w:rPr>
          <w:rFonts w:cs="Arial"/>
          <w:sz w:val="24"/>
        </w:rPr>
      </w:pPr>
      <w:r>
        <w:t>Table 6 Number of sites and Tenure</w:t>
      </w:r>
    </w:p>
    <w:p w14:paraId="76C7CCB5" w14:textId="77777777" w:rsidR="001D2E87" w:rsidRPr="00CE240B" w:rsidRDefault="001D2E87" w:rsidP="00CE240B">
      <w:pPr>
        <w:contextualSpacing/>
        <w:rPr>
          <w:rFonts w:cs="Arial"/>
          <w:b/>
          <w:sz w:val="24"/>
        </w:rPr>
      </w:pPr>
    </w:p>
    <w:p w14:paraId="6A05380F" w14:textId="77777777" w:rsidR="001D2E87" w:rsidRPr="007E7D73" w:rsidRDefault="001D2E87" w:rsidP="00CE240B">
      <w:pPr>
        <w:contextualSpacing/>
        <w:rPr>
          <w:rFonts w:cs="Arial"/>
          <w:b/>
          <w:color w:val="0070C0"/>
          <w:sz w:val="24"/>
        </w:rPr>
      </w:pPr>
      <w:r w:rsidRPr="007E7D73">
        <w:rPr>
          <w:rFonts w:cs="Arial"/>
          <w:b/>
          <w:color w:val="0070C0"/>
          <w:sz w:val="24"/>
        </w:rPr>
        <w:t>3.5.4</w:t>
      </w:r>
      <w:r w:rsidRPr="007E7D73">
        <w:rPr>
          <w:rFonts w:cs="Arial"/>
          <w:b/>
          <w:color w:val="0070C0"/>
          <w:sz w:val="24"/>
        </w:rPr>
        <w:tab/>
        <w:t xml:space="preserve">Estates Occupancy Costs </w:t>
      </w:r>
    </w:p>
    <w:p w14:paraId="4D131A89" w14:textId="77777777" w:rsidR="007E7D73" w:rsidRPr="00CE240B" w:rsidRDefault="007E7D73" w:rsidP="00CE240B">
      <w:pPr>
        <w:contextualSpacing/>
        <w:rPr>
          <w:rFonts w:cs="Arial"/>
          <w:b/>
          <w:sz w:val="24"/>
        </w:rPr>
      </w:pPr>
    </w:p>
    <w:p w14:paraId="65447E79" w14:textId="78D7EFFB" w:rsidR="001D2E87" w:rsidRDefault="001D2E87" w:rsidP="00CE240B">
      <w:pPr>
        <w:contextualSpacing/>
        <w:rPr>
          <w:rFonts w:cs="Arial"/>
          <w:sz w:val="24"/>
        </w:rPr>
      </w:pPr>
      <w:r w:rsidRPr="00CE240B">
        <w:rPr>
          <w:rFonts w:cs="Arial"/>
          <w:sz w:val="24"/>
        </w:rPr>
        <w:t>For the main sites a summary of the principal elements of expenditure is shown in</w:t>
      </w:r>
      <w:r w:rsidR="003F6996">
        <w:rPr>
          <w:rFonts w:cs="Arial"/>
          <w:sz w:val="24"/>
        </w:rPr>
        <w:t xml:space="preserve"> table 7 </w:t>
      </w:r>
      <w:r w:rsidRPr="00CE240B">
        <w:rPr>
          <w:rFonts w:cs="Arial"/>
          <w:sz w:val="24"/>
        </w:rPr>
        <w:t xml:space="preserve">below and this is then shown as a £/m2 for illustrative purposes. The figures illustrate the range of estates costs necessary to provide accommodation on main hospital sites. Several factors contribute to the wide variation in costs which makes a direct comparison of value for money difficult to calculate. </w:t>
      </w:r>
    </w:p>
    <w:p w14:paraId="1CCC10CC" w14:textId="77777777" w:rsidR="003F6996" w:rsidRPr="00CE240B" w:rsidRDefault="003F6996" w:rsidP="00CE240B">
      <w:pPr>
        <w:contextualSpacing/>
        <w:rPr>
          <w:rFonts w:cs="Arial"/>
          <w:sz w:val="24"/>
        </w:rPr>
      </w:pPr>
    </w:p>
    <w:p w14:paraId="0FB4DECC" w14:textId="5BAD2A0A" w:rsidR="001D2E87" w:rsidRPr="00CE240B" w:rsidRDefault="001D2E87" w:rsidP="00CE240B">
      <w:pPr>
        <w:contextualSpacing/>
        <w:rPr>
          <w:rFonts w:cs="Arial"/>
          <w:sz w:val="24"/>
        </w:rPr>
      </w:pPr>
      <w:r w:rsidRPr="00CE240B">
        <w:rPr>
          <w:rFonts w:cs="Arial"/>
          <w:sz w:val="24"/>
        </w:rPr>
        <w:t>The overall site costs show that the two PFI sites have the highest costs per occupied floor area, this makes it imperative that space utilisation of those sites is</w:t>
      </w:r>
      <w:r w:rsidR="003F6996">
        <w:rPr>
          <w:rFonts w:cs="Arial"/>
          <w:sz w:val="24"/>
        </w:rPr>
        <w:t xml:space="preserve"> </w:t>
      </w:r>
      <w:r w:rsidRPr="00CE240B">
        <w:rPr>
          <w:rFonts w:cs="Arial"/>
          <w:sz w:val="24"/>
        </w:rPr>
        <w:t xml:space="preserve">maximised as there is no scope to reduce costs by mothballing space.  </w:t>
      </w:r>
    </w:p>
    <w:p w14:paraId="614A3104" w14:textId="77777777" w:rsidR="001D2E87" w:rsidRDefault="001D2E87" w:rsidP="00CE240B">
      <w:pPr>
        <w:contextualSpacing/>
        <w:rPr>
          <w:rFonts w:cs="Arial"/>
          <w:sz w:val="24"/>
        </w:rPr>
      </w:pPr>
    </w:p>
    <w:p w14:paraId="21701DE8" w14:textId="77777777" w:rsidR="007E7D73" w:rsidRDefault="007E7D73" w:rsidP="00CE240B">
      <w:pPr>
        <w:contextualSpacing/>
        <w:rPr>
          <w:rFonts w:cs="Arial"/>
          <w:sz w:val="24"/>
        </w:rPr>
      </w:pPr>
    </w:p>
    <w:p w14:paraId="35C327A0" w14:textId="77777777" w:rsidR="007E7D73" w:rsidRDefault="007E7D73" w:rsidP="00CE240B">
      <w:pPr>
        <w:contextualSpacing/>
        <w:rPr>
          <w:rFonts w:cs="Arial"/>
          <w:sz w:val="24"/>
        </w:rPr>
      </w:pPr>
    </w:p>
    <w:p w14:paraId="0DA2037B" w14:textId="77777777" w:rsidR="007E7D73" w:rsidRDefault="007E7D73" w:rsidP="00CE240B">
      <w:pPr>
        <w:contextualSpacing/>
        <w:rPr>
          <w:rFonts w:cs="Arial"/>
          <w:sz w:val="24"/>
        </w:rPr>
      </w:pPr>
    </w:p>
    <w:p w14:paraId="6086DDDF" w14:textId="77777777" w:rsidR="007E7D73" w:rsidRDefault="007E7D73" w:rsidP="00CE240B">
      <w:pPr>
        <w:contextualSpacing/>
        <w:rPr>
          <w:rFonts w:cs="Arial"/>
          <w:sz w:val="24"/>
        </w:rPr>
      </w:pPr>
    </w:p>
    <w:p w14:paraId="584FBF7B" w14:textId="77777777" w:rsidR="007E7D73" w:rsidRDefault="007E7D73" w:rsidP="00CE240B">
      <w:pPr>
        <w:contextualSpacing/>
        <w:rPr>
          <w:rFonts w:cs="Arial"/>
          <w:sz w:val="24"/>
        </w:rPr>
      </w:pPr>
    </w:p>
    <w:p w14:paraId="5E069755" w14:textId="77777777" w:rsidR="007E7D73" w:rsidRPr="00CE240B" w:rsidRDefault="007E7D73" w:rsidP="00CE240B">
      <w:pPr>
        <w:contextualSpacing/>
        <w:rPr>
          <w:rFonts w:cs="Arial"/>
          <w:sz w:val="24"/>
        </w:rPr>
      </w:pPr>
    </w:p>
    <w:tbl>
      <w:tblPr>
        <w:tblW w:w="9312" w:type="dxa"/>
        <w:jc w:val="center"/>
        <w:tblLook w:val="04A0" w:firstRow="1" w:lastRow="0" w:firstColumn="1" w:lastColumn="0" w:noHBand="0" w:noVBand="1"/>
      </w:tblPr>
      <w:tblGrid>
        <w:gridCol w:w="1380"/>
        <w:gridCol w:w="1111"/>
        <w:gridCol w:w="902"/>
        <w:gridCol w:w="1024"/>
        <w:gridCol w:w="1570"/>
        <w:gridCol w:w="1065"/>
        <w:gridCol w:w="1161"/>
        <w:gridCol w:w="1099"/>
      </w:tblGrid>
      <w:tr w:rsidR="001D2E87" w:rsidRPr="00CE240B" w14:paraId="2A541965" w14:textId="77777777" w:rsidTr="00F32B64">
        <w:trPr>
          <w:trHeight w:val="571"/>
          <w:jc w:val="center"/>
        </w:trPr>
        <w:tc>
          <w:tcPr>
            <w:tcW w:w="1465" w:type="dxa"/>
            <w:tcBorders>
              <w:top w:val="single" w:sz="8" w:space="0" w:color="auto"/>
              <w:left w:val="single" w:sz="8" w:space="0" w:color="auto"/>
              <w:bottom w:val="single" w:sz="4" w:space="0" w:color="auto"/>
              <w:right w:val="single" w:sz="8" w:space="0" w:color="auto"/>
            </w:tcBorders>
            <w:shd w:val="clear" w:color="auto" w:fill="D9D9D9" w:themeFill="background1" w:themeFillShade="D9"/>
            <w:noWrap/>
            <w:vAlign w:val="center"/>
            <w:hideMark/>
          </w:tcPr>
          <w:p w14:paraId="76475040" w14:textId="77777777" w:rsidR="001D2E87" w:rsidRPr="00CE240B" w:rsidRDefault="001D2E87" w:rsidP="00CE240B">
            <w:pPr>
              <w:contextualSpacing/>
              <w:jc w:val="center"/>
              <w:rPr>
                <w:rFonts w:cs="Arial"/>
                <w:b/>
                <w:bCs/>
                <w:sz w:val="24"/>
              </w:rPr>
            </w:pPr>
            <w:bookmarkStart w:id="0" w:name="OLE_LINK1"/>
            <w:r w:rsidRPr="00CE240B">
              <w:rPr>
                <w:rFonts w:cs="Arial"/>
                <w:b/>
                <w:bCs/>
                <w:sz w:val="24"/>
              </w:rPr>
              <w:t>Site</w:t>
            </w:r>
          </w:p>
        </w:tc>
        <w:tc>
          <w:tcPr>
            <w:tcW w:w="1115"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28DE9360" w14:textId="77777777" w:rsidR="001D2E87" w:rsidRPr="00CE240B" w:rsidRDefault="001D2E87" w:rsidP="00CE240B">
            <w:pPr>
              <w:contextualSpacing/>
              <w:jc w:val="center"/>
              <w:rPr>
                <w:rFonts w:cs="Arial"/>
                <w:b/>
                <w:bCs/>
                <w:sz w:val="24"/>
              </w:rPr>
            </w:pPr>
            <w:r w:rsidRPr="00CE240B">
              <w:rPr>
                <w:rFonts w:cs="Arial"/>
                <w:b/>
                <w:bCs/>
                <w:sz w:val="24"/>
              </w:rPr>
              <w:t>CAP Charges PFI</w:t>
            </w:r>
          </w:p>
          <w:p w14:paraId="7DC8818B" w14:textId="77777777" w:rsidR="001D2E87" w:rsidRPr="00CE240B" w:rsidRDefault="001D2E87" w:rsidP="00CE240B">
            <w:pPr>
              <w:contextualSpacing/>
              <w:jc w:val="center"/>
              <w:rPr>
                <w:rFonts w:cs="Arial"/>
                <w:b/>
                <w:bCs/>
                <w:sz w:val="24"/>
              </w:rPr>
            </w:pPr>
            <w:r w:rsidRPr="00CE240B">
              <w:rPr>
                <w:rFonts w:cs="Arial"/>
                <w:b/>
                <w:bCs/>
                <w:sz w:val="24"/>
              </w:rPr>
              <w:t>£000</w:t>
            </w:r>
          </w:p>
        </w:tc>
        <w:tc>
          <w:tcPr>
            <w:tcW w:w="953"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101EB021" w14:textId="77777777" w:rsidR="001D2E87" w:rsidRPr="00CE240B" w:rsidRDefault="001D2E87" w:rsidP="00CE240B">
            <w:pPr>
              <w:contextualSpacing/>
              <w:jc w:val="center"/>
              <w:rPr>
                <w:rFonts w:cs="Arial"/>
                <w:b/>
                <w:bCs/>
                <w:sz w:val="24"/>
              </w:rPr>
            </w:pPr>
            <w:r w:rsidRPr="00CE240B">
              <w:rPr>
                <w:rFonts w:cs="Arial"/>
                <w:b/>
                <w:bCs/>
                <w:sz w:val="24"/>
              </w:rPr>
              <w:t>Rent / Rates</w:t>
            </w:r>
          </w:p>
          <w:p w14:paraId="04579492" w14:textId="77777777" w:rsidR="001D2E87" w:rsidRPr="00CE240B" w:rsidRDefault="001D2E87" w:rsidP="00CE240B">
            <w:pPr>
              <w:contextualSpacing/>
              <w:jc w:val="center"/>
              <w:rPr>
                <w:rFonts w:cs="Arial"/>
                <w:b/>
                <w:bCs/>
                <w:sz w:val="24"/>
              </w:rPr>
            </w:pPr>
            <w:r w:rsidRPr="00CE240B">
              <w:rPr>
                <w:rFonts w:cs="Arial"/>
                <w:b/>
                <w:bCs/>
                <w:sz w:val="24"/>
              </w:rPr>
              <w:t>£000</w:t>
            </w:r>
          </w:p>
        </w:tc>
        <w:tc>
          <w:tcPr>
            <w:tcW w:w="1027"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2EEB4975" w14:textId="77777777" w:rsidR="001D2E87" w:rsidRPr="00CE240B" w:rsidRDefault="001D2E87" w:rsidP="00CE240B">
            <w:pPr>
              <w:contextualSpacing/>
              <w:jc w:val="center"/>
              <w:rPr>
                <w:rFonts w:cs="Arial"/>
                <w:b/>
                <w:bCs/>
                <w:sz w:val="24"/>
              </w:rPr>
            </w:pPr>
            <w:r w:rsidRPr="00CE240B">
              <w:rPr>
                <w:rFonts w:cs="Arial"/>
                <w:b/>
                <w:bCs/>
                <w:sz w:val="24"/>
              </w:rPr>
              <w:t>Utilities</w:t>
            </w:r>
          </w:p>
          <w:p w14:paraId="136DCB9F" w14:textId="77777777" w:rsidR="001D2E87" w:rsidRPr="00CE240B" w:rsidRDefault="001D2E87" w:rsidP="00CE240B">
            <w:pPr>
              <w:contextualSpacing/>
              <w:jc w:val="center"/>
              <w:rPr>
                <w:rFonts w:cs="Arial"/>
                <w:b/>
                <w:bCs/>
                <w:sz w:val="24"/>
              </w:rPr>
            </w:pPr>
            <w:r w:rsidRPr="00CE240B">
              <w:rPr>
                <w:rFonts w:cs="Arial"/>
                <w:b/>
                <w:bCs/>
                <w:sz w:val="24"/>
              </w:rPr>
              <w:t>£000</w:t>
            </w:r>
          </w:p>
        </w:tc>
        <w:tc>
          <w:tcPr>
            <w:tcW w:w="1577"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76295C7D" w14:textId="77777777" w:rsidR="001D2E87" w:rsidRPr="00CE240B" w:rsidRDefault="001D2E87" w:rsidP="00CE240B">
            <w:pPr>
              <w:contextualSpacing/>
              <w:jc w:val="center"/>
              <w:rPr>
                <w:rFonts w:cs="Arial"/>
                <w:b/>
                <w:bCs/>
                <w:sz w:val="24"/>
              </w:rPr>
            </w:pPr>
            <w:r w:rsidRPr="00CE240B">
              <w:rPr>
                <w:rFonts w:cs="Arial"/>
                <w:b/>
                <w:bCs/>
                <w:sz w:val="24"/>
              </w:rPr>
              <w:t xml:space="preserve">Maintenance / Other </w:t>
            </w:r>
          </w:p>
          <w:p w14:paraId="2BCE1D6C" w14:textId="77777777" w:rsidR="001D2E87" w:rsidRPr="00CE240B" w:rsidRDefault="001D2E87" w:rsidP="00CE240B">
            <w:pPr>
              <w:contextualSpacing/>
              <w:jc w:val="center"/>
              <w:rPr>
                <w:rFonts w:cs="Arial"/>
                <w:b/>
                <w:bCs/>
                <w:sz w:val="24"/>
              </w:rPr>
            </w:pPr>
            <w:r w:rsidRPr="00CE240B">
              <w:rPr>
                <w:rFonts w:cs="Arial"/>
                <w:b/>
                <w:bCs/>
                <w:sz w:val="24"/>
              </w:rPr>
              <w:t>£000</w:t>
            </w:r>
          </w:p>
        </w:tc>
        <w:tc>
          <w:tcPr>
            <w:tcW w:w="1127"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1D4B955F" w14:textId="77777777" w:rsidR="001D2E87" w:rsidRPr="00CE240B" w:rsidRDefault="001D2E87" w:rsidP="00CE240B">
            <w:pPr>
              <w:contextualSpacing/>
              <w:jc w:val="center"/>
              <w:rPr>
                <w:rFonts w:cs="Arial"/>
                <w:b/>
                <w:bCs/>
                <w:sz w:val="24"/>
              </w:rPr>
            </w:pPr>
            <w:r w:rsidRPr="00CE240B">
              <w:rPr>
                <w:rFonts w:cs="Arial"/>
                <w:b/>
                <w:bCs/>
                <w:sz w:val="24"/>
              </w:rPr>
              <w:t>Total</w:t>
            </w:r>
          </w:p>
          <w:p w14:paraId="77AE2EE1" w14:textId="77777777" w:rsidR="001D2E87" w:rsidRPr="00CE240B" w:rsidRDefault="001D2E87" w:rsidP="00CE240B">
            <w:pPr>
              <w:contextualSpacing/>
              <w:jc w:val="center"/>
              <w:rPr>
                <w:rFonts w:cs="Arial"/>
                <w:b/>
                <w:bCs/>
                <w:sz w:val="24"/>
              </w:rPr>
            </w:pPr>
            <w:r w:rsidRPr="00CE240B">
              <w:rPr>
                <w:rFonts w:cs="Arial"/>
                <w:b/>
                <w:bCs/>
                <w:sz w:val="24"/>
              </w:rPr>
              <w:t>£000</w:t>
            </w:r>
          </w:p>
        </w:tc>
        <w:tc>
          <w:tcPr>
            <w:tcW w:w="1231"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704977FA" w14:textId="77777777" w:rsidR="001D2E87" w:rsidRPr="00CE240B" w:rsidRDefault="001D2E87" w:rsidP="00CE240B">
            <w:pPr>
              <w:contextualSpacing/>
              <w:jc w:val="center"/>
              <w:rPr>
                <w:rFonts w:cs="Arial"/>
                <w:b/>
                <w:bCs/>
                <w:sz w:val="24"/>
              </w:rPr>
            </w:pPr>
            <w:r w:rsidRPr="00CE240B">
              <w:rPr>
                <w:rFonts w:cs="Arial"/>
                <w:b/>
                <w:bCs/>
                <w:sz w:val="24"/>
              </w:rPr>
              <w:t>Floor area m2</w:t>
            </w:r>
          </w:p>
        </w:tc>
        <w:tc>
          <w:tcPr>
            <w:tcW w:w="817" w:type="dxa"/>
            <w:tcBorders>
              <w:top w:val="single" w:sz="8" w:space="0" w:color="auto"/>
              <w:left w:val="nil"/>
              <w:bottom w:val="single" w:sz="4" w:space="0" w:color="auto"/>
              <w:right w:val="single" w:sz="8" w:space="0" w:color="auto"/>
            </w:tcBorders>
            <w:shd w:val="clear" w:color="auto" w:fill="D9D9D9" w:themeFill="background1" w:themeFillShade="D9"/>
            <w:vAlign w:val="center"/>
            <w:hideMark/>
          </w:tcPr>
          <w:p w14:paraId="4D8CB6F8" w14:textId="77777777" w:rsidR="001D2E87" w:rsidRPr="00CE240B" w:rsidRDefault="001D2E87" w:rsidP="00CE240B">
            <w:pPr>
              <w:contextualSpacing/>
              <w:jc w:val="center"/>
              <w:rPr>
                <w:rFonts w:cs="Arial"/>
                <w:b/>
                <w:bCs/>
                <w:sz w:val="24"/>
              </w:rPr>
            </w:pPr>
            <w:r w:rsidRPr="00CE240B">
              <w:rPr>
                <w:rFonts w:cs="Arial"/>
                <w:b/>
                <w:bCs/>
                <w:sz w:val="24"/>
              </w:rPr>
              <w:t>£000/m2</w:t>
            </w:r>
          </w:p>
        </w:tc>
      </w:tr>
      <w:tr w:rsidR="001D2E87" w:rsidRPr="00CE240B" w14:paraId="70146033"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EEE3C" w14:textId="77777777" w:rsidR="001D2E87" w:rsidRPr="00CE240B" w:rsidRDefault="001D2E87" w:rsidP="00CE240B">
            <w:pPr>
              <w:contextualSpacing/>
              <w:rPr>
                <w:rFonts w:cs="Arial"/>
                <w:sz w:val="24"/>
              </w:rPr>
            </w:pPr>
            <w:r w:rsidRPr="00CE240B">
              <w:rPr>
                <w:rFonts w:cs="Arial"/>
                <w:sz w:val="24"/>
              </w:rPr>
              <w:t>Northgate</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67CFE" w14:textId="77777777" w:rsidR="001D2E87" w:rsidRPr="00CE240B" w:rsidRDefault="001D2E87" w:rsidP="00CE240B">
            <w:pPr>
              <w:contextualSpacing/>
              <w:jc w:val="center"/>
              <w:rPr>
                <w:rFonts w:cs="Arial"/>
                <w:sz w:val="24"/>
              </w:rPr>
            </w:pPr>
            <w:r w:rsidRPr="00CE240B">
              <w:rPr>
                <w:rFonts w:cs="Arial"/>
                <w:sz w:val="24"/>
              </w:rPr>
              <w:t>862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1855E63B" w14:textId="77777777" w:rsidR="001D2E87" w:rsidRPr="00CE240B" w:rsidRDefault="001D2E87" w:rsidP="00CE240B">
            <w:pPr>
              <w:contextualSpacing/>
              <w:jc w:val="center"/>
              <w:rPr>
                <w:rFonts w:cs="Arial"/>
                <w:sz w:val="24"/>
              </w:rPr>
            </w:pPr>
            <w:r w:rsidRPr="00CE240B">
              <w:rPr>
                <w:rFonts w:cs="Arial"/>
                <w:sz w:val="24"/>
              </w:rPr>
              <w:t>87</w:t>
            </w:r>
          </w:p>
        </w:tc>
        <w:tc>
          <w:tcPr>
            <w:tcW w:w="1027" w:type="dxa"/>
            <w:tcBorders>
              <w:top w:val="single" w:sz="4" w:space="0" w:color="auto"/>
              <w:left w:val="nil"/>
              <w:bottom w:val="single" w:sz="4" w:space="0" w:color="auto"/>
              <w:right w:val="single" w:sz="4" w:space="0" w:color="auto"/>
            </w:tcBorders>
            <w:shd w:val="clear" w:color="auto" w:fill="auto"/>
            <w:noWrap/>
            <w:vAlign w:val="center"/>
          </w:tcPr>
          <w:p w14:paraId="326E23A0" w14:textId="77777777" w:rsidR="001D2E87" w:rsidRPr="00CE240B" w:rsidRDefault="001D2E87" w:rsidP="00CE240B">
            <w:pPr>
              <w:contextualSpacing/>
              <w:jc w:val="center"/>
              <w:rPr>
                <w:rFonts w:cs="Arial"/>
                <w:sz w:val="24"/>
              </w:rPr>
            </w:pPr>
            <w:r w:rsidRPr="00CE240B">
              <w:rPr>
                <w:rFonts w:cs="Arial"/>
                <w:sz w:val="24"/>
              </w:rPr>
              <w:t>372</w:t>
            </w:r>
          </w:p>
        </w:tc>
        <w:tc>
          <w:tcPr>
            <w:tcW w:w="1577" w:type="dxa"/>
            <w:tcBorders>
              <w:top w:val="single" w:sz="4" w:space="0" w:color="auto"/>
              <w:left w:val="nil"/>
              <w:bottom w:val="single" w:sz="4" w:space="0" w:color="auto"/>
              <w:right w:val="single" w:sz="4" w:space="0" w:color="auto"/>
            </w:tcBorders>
            <w:shd w:val="clear" w:color="auto" w:fill="auto"/>
            <w:noWrap/>
            <w:vAlign w:val="center"/>
          </w:tcPr>
          <w:p w14:paraId="465981D3" w14:textId="77777777" w:rsidR="001D2E87" w:rsidRPr="00CE240B" w:rsidRDefault="001D2E87" w:rsidP="00CE240B">
            <w:pPr>
              <w:contextualSpacing/>
              <w:jc w:val="center"/>
              <w:rPr>
                <w:rFonts w:cs="Arial"/>
                <w:sz w:val="24"/>
              </w:rPr>
            </w:pPr>
            <w:r w:rsidRPr="00CE240B">
              <w:rPr>
                <w:rFonts w:cs="Arial"/>
                <w:sz w:val="24"/>
              </w:rPr>
              <w:t>1228</w:t>
            </w:r>
          </w:p>
        </w:tc>
        <w:tc>
          <w:tcPr>
            <w:tcW w:w="1127" w:type="dxa"/>
            <w:tcBorders>
              <w:top w:val="single" w:sz="4" w:space="0" w:color="auto"/>
              <w:left w:val="nil"/>
              <w:bottom w:val="single" w:sz="4" w:space="0" w:color="auto"/>
              <w:right w:val="single" w:sz="4" w:space="0" w:color="auto"/>
            </w:tcBorders>
            <w:shd w:val="clear" w:color="auto" w:fill="auto"/>
            <w:noWrap/>
            <w:vAlign w:val="center"/>
          </w:tcPr>
          <w:p w14:paraId="72D6472D" w14:textId="77777777" w:rsidR="001D2E87" w:rsidRPr="00CE240B" w:rsidRDefault="001D2E87" w:rsidP="00CE240B">
            <w:pPr>
              <w:contextualSpacing/>
              <w:jc w:val="center"/>
              <w:rPr>
                <w:rFonts w:cs="Arial"/>
                <w:sz w:val="24"/>
              </w:rPr>
            </w:pPr>
            <w:r w:rsidRPr="00CE240B">
              <w:rPr>
                <w:rFonts w:cs="Arial"/>
                <w:sz w:val="24"/>
              </w:rPr>
              <w:t>2549</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14:paraId="21758D26" w14:textId="77777777" w:rsidR="001D2E87" w:rsidRPr="00CE240B" w:rsidRDefault="001D2E87" w:rsidP="00CE240B">
            <w:pPr>
              <w:contextualSpacing/>
              <w:jc w:val="center"/>
              <w:rPr>
                <w:rFonts w:cs="Arial"/>
                <w:sz w:val="24"/>
              </w:rPr>
            </w:pPr>
            <w:r w:rsidRPr="00CE240B">
              <w:rPr>
                <w:rFonts w:cs="Arial"/>
                <w:sz w:val="24"/>
              </w:rPr>
              <w:t>19,692</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14:paraId="35B4B1C3" w14:textId="77777777" w:rsidR="001D2E87" w:rsidRPr="00CE240B" w:rsidRDefault="001D2E87" w:rsidP="00CE240B">
            <w:pPr>
              <w:contextualSpacing/>
              <w:jc w:val="center"/>
              <w:rPr>
                <w:rFonts w:cs="Arial"/>
                <w:sz w:val="24"/>
              </w:rPr>
            </w:pPr>
            <w:r w:rsidRPr="00CE240B">
              <w:rPr>
                <w:rFonts w:cs="Arial"/>
                <w:color w:val="000000"/>
                <w:sz w:val="24"/>
              </w:rPr>
              <w:t>129</w:t>
            </w:r>
          </w:p>
        </w:tc>
      </w:tr>
      <w:tr w:rsidR="001D2E87" w:rsidRPr="00CE240B" w14:paraId="63ECA0E3"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B86FA" w14:textId="77777777" w:rsidR="001D2E87" w:rsidRPr="00CE240B" w:rsidRDefault="001D2E87" w:rsidP="00CE240B">
            <w:pPr>
              <w:contextualSpacing/>
              <w:rPr>
                <w:rFonts w:cs="Arial"/>
                <w:sz w:val="24"/>
              </w:rPr>
            </w:pPr>
            <w:r w:rsidRPr="00CE240B">
              <w:rPr>
                <w:rFonts w:cs="Arial"/>
                <w:sz w:val="24"/>
              </w:rPr>
              <w:lastRenderedPageBreak/>
              <w:t>SGP</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2D3607CD" w14:textId="77777777" w:rsidR="001D2E87" w:rsidRPr="00CE240B" w:rsidRDefault="001D2E87" w:rsidP="00CE240B">
            <w:pPr>
              <w:contextualSpacing/>
              <w:jc w:val="center"/>
              <w:rPr>
                <w:rFonts w:cs="Arial"/>
                <w:sz w:val="24"/>
              </w:rPr>
            </w:pPr>
            <w:r w:rsidRPr="00CE240B">
              <w:rPr>
                <w:rFonts w:cs="Arial"/>
                <w:sz w:val="24"/>
              </w:rPr>
              <w:t>3613</w:t>
            </w:r>
          </w:p>
        </w:tc>
        <w:tc>
          <w:tcPr>
            <w:tcW w:w="953" w:type="dxa"/>
            <w:tcBorders>
              <w:top w:val="nil"/>
              <w:left w:val="nil"/>
              <w:bottom w:val="single" w:sz="4" w:space="0" w:color="auto"/>
              <w:right w:val="single" w:sz="4" w:space="0" w:color="auto"/>
            </w:tcBorders>
            <w:shd w:val="clear" w:color="auto" w:fill="auto"/>
            <w:noWrap/>
            <w:vAlign w:val="center"/>
          </w:tcPr>
          <w:p w14:paraId="0CD61B4B" w14:textId="77777777" w:rsidR="001D2E87" w:rsidRPr="00CE240B" w:rsidRDefault="001D2E87" w:rsidP="00CE240B">
            <w:pPr>
              <w:contextualSpacing/>
              <w:jc w:val="center"/>
              <w:rPr>
                <w:rFonts w:cs="Arial"/>
                <w:sz w:val="24"/>
              </w:rPr>
            </w:pPr>
            <w:r w:rsidRPr="00CE240B">
              <w:rPr>
                <w:rFonts w:cs="Arial"/>
                <w:sz w:val="24"/>
              </w:rPr>
              <w:t>216</w:t>
            </w:r>
          </w:p>
        </w:tc>
        <w:tc>
          <w:tcPr>
            <w:tcW w:w="1027" w:type="dxa"/>
            <w:tcBorders>
              <w:top w:val="nil"/>
              <w:left w:val="nil"/>
              <w:bottom w:val="single" w:sz="4" w:space="0" w:color="auto"/>
              <w:right w:val="single" w:sz="4" w:space="0" w:color="auto"/>
            </w:tcBorders>
            <w:shd w:val="clear" w:color="auto" w:fill="auto"/>
            <w:noWrap/>
            <w:vAlign w:val="center"/>
          </w:tcPr>
          <w:p w14:paraId="0CE1BB3B" w14:textId="77777777" w:rsidR="001D2E87" w:rsidRPr="00CE240B" w:rsidRDefault="001D2E87" w:rsidP="00CE240B">
            <w:pPr>
              <w:contextualSpacing/>
              <w:jc w:val="center"/>
              <w:rPr>
                <w:rFonts w:cs="Arial"/>
                <w:sz w:val="24"/>
              </w:rPr>
            </w:pPr>
            <w:r w:rsidRPr="00CE240B">
              <w:rPr>
                <w:rFonts w:cs="Arial"/>
                <w:sz w:val="24"/>
              </w:rPr>
              <w:t>345</w:t>
            </w:r>
          </w:p>
        </w:tc>
        <w:tc>
          <w:tcPr>
            <w:tcW w:w="1577" w:type="dxa"/>
            <w:tcBorders>
              <w:top w:val="nil"/>
              <w:left w:val="nil"/>
              <w:bottom w:val="single" w:sz="4" w:space="0" w:color="auto"/>
              <w:right w:val="single" w:sz="4" w:space="0" w:color="auto"/>
            </w:tcBorders>
            <w:shd w:val="clear" w:color="auto" w:fill="auto"/>
            <w:noWrap/>
            <w:vAlign w:val="center"/>
          </w:tcPr>
          <w:p w14:paraId="4AD875A3" w14:textId="77777777" w:rsidR="001D2E87" w:rsidRPr="00CE240B" w:rsidRDefault="001D2E87" w:rsidP="00CE240B">
            <w:pPr>
              <w:contextualSpacing/>
              <w:jc w:val="center"/>
              <w:rPr>
                <w:rFonts w:cs="Arial"/>
                <w:sz w:val="24"/>
              </w:rPr>
            </w:pPr>
            <w:r w:rsidRPr="00CE240B">
              <w:rPr>
                <w:rFonts w:cs="Arial"/>
                <w:sz w:val="24"/>
              </w:rPr>
              <w:t>1658</w:t>
            </w:r>
          </w:p>
        </w:tc>
        <w:tc>
          <w:tcPr>
            <w:tcW w:w="1127" w:type="dxa"/>
            <w:tcBorders>
              <w:top w:val="nil"/>
              <w:left w:val="nil"/>
              <w:bottom w:val="single" w:sz="4" w:space="0" w:color="auto"/>
              <w:right w:val="single" w:sz="4" w:space="0" w:color="auto"/>
            </w:tcBorders>
            <w:shd w:val="clear" w:color="auto" w:fill="auto"/>
            <w:noWrap/>
            <w:vAlign w:val="center"/>
          </w:tcPr>
          <w:p w14:paraId="6D25D8AF" w14:textId="77777777" w:rsidR="001D2E87" w:rsidRPr="00CE240B" w:rsidRDefault="001D2E87" w:rsidP="00CE240B">
            <w:pPr>
              <w:contextualSpacing/>
              <w:jc w:val="center"/>
              <w:rPr>
                <w:rFonts w:cs="Arial"/>
                <w:sz w:val="24"/>
              </w:rPr>
            </w:pPr>
            <w:r w:rsidRPr="00CE240B">
              <w:rPr>
                <w:rFonts w:cs="Arial"/>
                <w:sz w:val="24"/>
              </w:rPr>
              <w:t>5832</w:t>
            </w:r>
          </w:p>
        </w:tc>
        <w:tc>
          <w:tcPr>
            <w:tcW w:w="1231" w:type="dxa"/>
            <w:tcBorders>
              <w:top w:val="nil"/>
              <w:left w:val="nil"/>
              <w:bottom w:val="single" w:sz="4" w:space="0" w:color="auto"/>
              <w:right w:val="single" w:sz="4" w:space="0" w:color="auto"/>
            </w:tcBorders>
            <w:shd w:val="clear" w:color="auto" w:fill="auto"/>
            <w:noWrap/>
            <w:vAlign w:val="center"/>
            <w:hideMark/>
          </w:tcPr>
          <w:p w14:paraId="5FF6B60C" w14:textId="77777777" w:rsidR="001D2E87" w:rsidRPr="00CE240B" w:rsidRDefault="001D2E87" w:rsidP="00CE240B">
            <w:pPr>
              <w:contextualSpacing/>
              <w:jc w:val="center"/>
              <w:rPr>
                <w:rFonts w:cs="Arial"/>
                <w:sz w:val="24"/>
              </w:rPr>
            </w:pPr>
            <w:r w:rsidRPr="00CE240B">
              <w:rPr>
                <w:rFonts w:cs="Arial"/>
                <w:sz w:val="24"/>
              </w:rPr>
              <w:t>19,353</w:t>
            </w:r>
          </w:p>
        </w:tc>
        <w:tc>
          <w:tcPr>
            <w:tcW w:w="817" w:type="dxa"/>
            <w:tcBorders>
              <w:top w:val="nil"/>
              <w:left w:val="nil"/>
              <w:bottom w:val="single" w:sz="4" w:space="0" w:color="auto"/>
              <w:right w:val="single" w:sz="4" w:space="0" w:color="auto"/>
            </w:tcBorders>
            <w:shd w:val="clear" w:color="auto" w:fill="auto"/>
            <w:noWrap/>
            <w:vAlign w:val="center"/>
            <w:hideMark/>
          </w:tcPr>
          <w:p w14:paraId="16B2C999" w14:textId="77777777" w:rsidR="001D2E87" w:rsidRPr="00CE240B" w:rsidRDefault="001D2E87" w:rsidP="00CE240B">
            <w:pPr>
              <w:contextualSpacing/>
              <w:jc w:val="center"/>
              <w:rPr>
                <w:rFonts w:cs="Arial"/>
                <w:sz w:val="24"/>
              </w:rPr>
            </w:pPr>
            <w:r w:rsidRPr="00CE240B">
              <w:rPr>
                <w:rFonts w:cs="Arial"/>
                <w:color w:val="000000"/>
                <w:sz w:val="24"/>
              </w:rPr>
              <w:t>301</w:t>
            </w:r>
          </w:p>
        </w:tc>
      </w:tr>
      <w:tr w:rsidR="001D2E87" w:rsidRPr="00CE240B" w14:paraId="1E51781B"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5080C" w14:textId="77777777" w:rsidR="001D2E87" w:rsidRPr="00CE240B" w:rsidRDefault="001D2E87" w:rsidP="00CE240B">
            <w:pPr>
              <w:contextualSpacing/>
              <w:rPr>
                <w:rFonts w:cs="Arial"/>
                <w:sz w:val="24"/>
              </w:rPr>
            </w:pPr>
            <w:r w:rsidRPr="00CE240B">
              <w:rPr>
                <w:rFonts w:cs="Arial"/>
                <w:sz w:val="24"/>
              </w:rPr>
              <w:t>Ferndene</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78727731" w14:textId="77777777" w:rsidR="001D2E87" w:rsidRPr="00CE240B" w:rsidRDefault="001D2E87" w:rsidP="00CE240B">
            <w:pPr>
              <w:contextualSpacing/>
              <w:jc w:val="center"/>
              <w:rPr>
                <w:rFonts w:cs="Arial"/>
                <w:sz w:val="24"/>
              </w:rPr>
            </w:pPr>
            <w:r w:rsidRPr="00CE240B">
              <w:rPr>
                <w:rFonts w:cs="Arial"/>
                <w:sz w:val="24"/>
              </w:rPr>
              <w:t>214</w:t>
            </w:r>
          </w:p>
        </w:tc>
        <w:tc>
          <w:tcPr>
            <w:tcW w:w="953" w:type="dxa"/>
            <w:tcBorders>
              <w:top w:val="nil"/>
              <w:left w:val="nil"/>
              <w:bottom w:val="single" w:sz="4" w:space="0" w:color="auto"/>
              <w:right w:val="single" w:sz="4" w:space="0" w:color="auto"/>
            </w:tcBorders>
            <w:shd w:val="clear" w:color="auto" w:fill="auto"/>
            <w:noWrap/>
            <w:vAlign w:val="center"/>
          </w:tcPr>
          <w:p w14:paraId="5A5393E7" w14:textId="77777777" w:rsidR="001D2E87" w:rsidRPr="00CE240B" w:rsidRDefault="001D2E87" w:rsidP="00CE240B">
            <w:pPr>
              <w:contextualSpacing/>
              <w:jc w:val="center"/>
              <w:rPr>
                <w:rFonts w:cs="Arial"/>
                <w:sz w:val="24"/>
              </w:rPr>
            </w:pPr>
            <w:r w:rsidRPr="00CE240B">
              <w:rPr>
                <w:rFonts w:cs="Arial"/>
                <w:sz w:val="24"/>
              </w:rPr>
              <w:t>54</w:t>
            </w:r>
          </w:p>
        </w:tc>
        <w:tc>
          <w:tcPr>
            <w:tcW w:w="1027" w:type="dxa"/>
            <w:tcBorders>
              <w:top w:val="nil"/>
              <w:left w:val="nil"/>
              <w:bottom w:val="single" w:sz="4" w:space="0" w:color="auto"/>
              <w:right w:val="single" w:sz="4" w:space="0" w:color="auto"/>
            </w:tcBorders>
            <w:shd w:val="clear" w:color="auto" w:fill="auto"/>
            <w:noWrap/>
            <w:vAlign w:val="center"/>
          </w:tcPr>
          <w:p w14:paraId="535DDD8F" w14:textId="77777777" w:rsidR="001D2E87" w:rsidRPr="00CE240B" w:rsidRDefault="001D2E87" w:rsidP="00CE240B">
            <w:pPr>
              <w:contextualSpacing/>
              <w:jc w:val="center"/>
              <w:rPr>
                <w:rFonts w:cs="Arial"/>
                <w:sz w:val="24"/>
              </w:rPr>
            </w:pPr>
            <w:r w:rsidRPr="00CE240B">
              <w:rPr>
                <w:rFonts w:cs="Arial"/>
                <w:sz w:val="24"/>
              </w:rPr>
              <w:t>136</w:t>
            </w:r>
          </w:p>
        </w:tc>
        <w:tc>
          <w:tcPr>
            <w:tcW w:w="1577" w:type="dxa"/>
            <w:tcBorders>
              <w:top w:val="nil"/>
              <w:left w:val="nil"/>
              <w:bottom w:val="single" w:sz="4" w:space="0" w:color="auto"/>
              <w:right w:val="single" w:sz="4" w:space="0" w:color="auto"/>
            </w:tcBorders>
            <w:shd w:val="clear" w:color="auto" w:fill="auto"/>
            <w:noWrap/>
            <w:vAlign w:val="center"/>
          </w:tcPr>
          <w:p w14:paraId="53098C37" w14:textId="77777777" w:rsidR="001D2E87" w:rsidRPr="00CE240B" w:rsidRDefault="001D2E87" w:rsidP="00CE240B">
            <w:pPr>
              <w:contextualSpacing/>
              <w:jc w:val="center"/>
              <w:rPr>
                <w:rFonts w:cs="Arial"/>
                <w:sz w:val="24"/>
              </w:rPr>
            </w:pPr>
            <w:r w:rsidRPr="00CE240B">
              <w:rPr>
                <w:rFonts w:cs="Arial"/>
                <w:sz w:val="24"/>
              </w:rPr>
              <w:t>512</w:t>
            </w:r>
          </w:p>
        </w:tc>
        <w:tc>
          <w:tcPr>
            <w:tcW w:w="1127" w:type="dxa"/>
            <w:tcBorders>
              <w:top w:val="nil"/>
              <w:left w:val="nil"/>
              <w:bottom w:val="single" w:sz="4" w:space="0" w:color="auto"/>
              <w:right w:val="single" w:sz="4" w:space="0" w:color="auto"/>
            </w:tcBorders>
            <w:shd w:val="clear" w:color="auto" w:fill="auto"/>
            <w:noWrap/>
            <w:vAlign w:val="center"/>
          </w:tcPr>
          <w:p w14:paraId="30550EF2" w14:textId="77777777" w:rsidR="001D2E87" w:rsidRPr="00CE240B" w:rsidRDefault="001D2E87" w:rsidP="00CE240B">
            <w:pPr>
              <w:contextualSpacing/>
              <w:jc w:val="center"/>
              <w:rPr>
                <w:rFonts w:cs="Arial"/>
                <w:sz w:val="24"/>
              </w:rPr>
            </w:pPr>
            <w:r w:rsidRPr="00CE240B">
              <w:rPr>
                <w:rFonts w:cs="Arial"/>
                <w:sz w:val="24"/>
              </w:rPr>
              <w:t>916</w:t>
            </w:r>
          </w:p>
        </w:tc>
        <w:tc>
          <w:tcPr>
            <w:tcW w:w="1231" w:type="dxa"/>
            <w:tcBorders>
              <w:top w:val="nil"/>
              <w:left w:val="nil"/>
              <w:bottom w:val="single" w:sz="4" w:space="0" w:color="auto"/>
              <w:right w:val="single" w:sz="4" w:space="0" w:color="auto"/>
            </w:tcBorders>
            <w:shd w:val="clear" w:color="auto" w:fill="auto"/>
            <w:noWrap/>
            <w:vAlign w:val="center"/>
            <w:hideMark/>
          </w:tcPr>
          <w:p w14:paraId="4A2B2225" w14:textId="77777777" w:rsidR="001D2E87" w:rsidRPr="00CE240B" w:rsidRDefault="001D2E87" w:rsidP="00CE240B">
            <w:pPr>
              <w:contextualSpacing/>
              <w:jc w:val="center"/>
              <w:rPr>
                <w:rFonts w:cs="Arial"/>
                <w:sz w:val="24"/>
              </w:rPr>
            </w:pPr>
            <w:r w:rsidRPr="00CE240B">
              <w:rPr>
                <w:rFonts w:cs="Arial"/>
                <w:sz w:val="24"/>
              </w:rPr>
              <w:t>5,374</w:t>
            </w:r>
          </w:p>
        </w:tc>
        <w:tc>
          <w:tcPr>
            <w:tcW w:w="817" w:type="dxa"/>
            <w:tcBorders>
              <w:top w:val="nil"/>
              <w:left w:val="nil"/>
              <w:bottom w:val="single" w:sz="4" w:space="0" w:color="auto"/>
              <w:right w:val="single" w:sz="4" w:space="0" w:color="auto"/>
            </w:tcBorders>
            <w:shd w:val="clear" w:color="auto" w:fill="auto"/>
            <w:noWrap/>
            <w:vAlign w:val="center"/>
            <w:hideMark/>
          </w:tcPr>
          <w:p w14:paraId="73C9C32D" w14:textId="77777777" w:rsidR="001D2E87" w:rsidRPr="00CE240B" w:rsidRDefault="001D2E87" w:rsidP="00CE240B">
            <w:pPr>
              <w:contextualSpacing/>
              <w:jc w:val="center"/>
              <w:rPr>
                <w:rFonts w:cs="Arial"/>
                <w:sz w:val="24"/>
              </w:rPr>
            </w:pPr>
            <w:r w:rsidRPr="00CE240B">
              <w:rPr>
                <w:rFonts w:cs="Arial"/>
                <w:color w:val="000000"/>
                <w:sz w:val="24"/>
              </w:rPr>
              <w:t>170</w:t>
            </w:r>
          </w:p>
        </w:tc>
      </w:tr>
      <w:tr w:rsidR="001D2E87" w:rsidRPr="00CE240B" w14:paraId="0CDBF749"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966DF" w14:textId="77777777" w:rsidR="001D2E87" w:rsidRPr="00CE240B" w:rsidRDefault="001D2E87" w:rsidP="00CE240B">
            <w:pPr>
              <w:contextualSpacing/>
              <w:rPr>
                <w:rFonts w:cs="Arial"/>
                <w:sz w:val="24"/>
              </w:rPr>
            </w:pPr>
            <w:r w:rsidRPr="00CE240B">
              <w:rPr>
                <w:rFonts w:cs="Arial"/>
                <w:sz w:val="24"/>
              </w:rPr>
              <w:t>SNH</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6A6C424A" w14:textId="77777777" w:rsidR="001D2E87" w:rsidRPr="00CE240B" w:rsidRDefault="001D2E87" w:rsidP="00CE240B">
            <w:pPr>
              <w:contextualSpacing/>
              <w:jc w:val="center"/>
              <w:rPr>
                <w:rFonts w:cs="Arial"/>
                <w:sz w:val="24"/>
              </w:rPr>
            </w:pPr>
            <w:r w:rsidRPr="00CE240B">
              <w:rPr>
                <w:rFonts w:cs="Arial"/>
                <w:sz w:val="24"/>
              </w:rPr>
              <w:t>1049</w:t>
            </w:r>
          </w:p>
        </w:tc>
        <w:tc>
          <w:tcPr>
            <w:tcW w:w="953" w:type="dxa"/>
            <w:tcBorders>
              <w:top w:val="nil"/>
              <w:left w:val="nil"/>
              <w:bottom w:val="single" w:sz="4" w:space="0" w:color="auto"/>
              <w:right w:val="single" w:sz="4" w:space="0" w:color="auto"/>
            </w:tcBorders>
            <w:shd w:val="clear" w:color="auto" w:fill="auto"/>
            <w:noWrap/>
            <w:vAlign w:val="center"/>
          </w:tcPr>
          <w:p w14:paraId="56380372" w14:textId="77777777" w:rsidR="001D2E87" w:rsidRPr="00CE240B" w:rsidRDefault="001D2E87" w:rsidP="00CE240B">
            <w:pPr>
              <w:contextualSpacing/>
              <w:jc w:val="center"/>
              <w:rPr>
                <w:rFonts w:cs="Arial"/>
                <w:sz w:val="24"/>
              </w:rPr>
            </w:pPr>
            <w:r w:rsidRPr="00CE240B">
              <w:rPr>
                <w:rFonts w:cs="Arial"/>
                <w:sz w:val="24"/>
              </w:rPr>
              <w:t>186</w:t>
            </w:r>
          </w:p>
        </w:tc>
        <w:tc>
          <w:tcPr>
            <w:tcW w:w="1027" w:type="dxa"/>
            <w:tcBorders>
              <w:top w:val="nil"/>
              <w:left w:val="nil"/>
              <w:bottom w:val="single" w:sz="4" w:space="0" w:color="auto"/>
              <w:right w:val="single" w:sz="4" w:space="0" w:color="auto"/>
            </w:tcBorders>
            <w:shd w:val="clear" w:color="auto" w:fill="auto"/>
            <w:noWrap/>
            <w:vAlign w:val="center"/>
          </w:tcPr>
          <w:p w14:paraId="3DE92234" w14:textId="77777777" w:rsidR="001D2E87" w:rsidRPr="00CE240B" w:rsidRDefault="001D2E87" w:rsidP="00CE240B">
            <w:pPr>
              <w:contextualSpacing/>
              <w:jc w:val="center"/>
              <w:rPr>
                <w:rFonts w:cs="Arial"/>
                <w:sz w:val="24"/>
              </w:rPr>
            </w:pPr>
            <w:r w:rsidRPr="00CE240B">
              <w:rPr>
                <w:rFonts w:cs="Arial"/>
                <w:sz w:val="24"/>
              </w:rPr>
              <w:t>669</w:t>
            </w:r>
          </w:p>
        </w:tc>
        <w:tc>
          <w:tcPr>
            <w:tcW w:w="1577" w:type="dxa"/>
            <w:tcBorders>
              <w:top w:val="nil"/>
              <w:left w:val="nil"/>
              <w:bottom w:val="single" w:sz="4" w:space="0" w:color="auto"/>
              <w:right w:val="single" w:sz="4" w:space="0" w:color="auto"/>
            </w:tcBorders>
            <w:shd w:val="clear" w:color="auto" w:fill="auto"/>
            <w:noWrap/>
            <w:vAlign w:val="center"/>
          </w:tcPr>
          <w:p w14:paraId="33D1ED0C" w14:textId="77777777" w:rsidR="001D2E87" w:rsidRPr="00CE240B" w:rsidRDefault="001D2E87" w:rsidP="00CE240B">
            <w:pPr>
              <w:contextualSpacing/>
              <w:jc w:val="center"/>
              <w:rPr>
                <w:rFonts w:cs="Arial"/>
                <w:sz w:val="24"/>
              </w:rPr>
            </w:pPr>
            <w:r w:rsidRPr="00CE240B">
              <w:rPr>
                <w:rFonts w:cs="Arial"/>
                <w:sz w:val="24"/>
              </w:rPr>
              <w:t>2128</w:t>
            </w:r>
          </w:p>
        </w:tc>
        <w:tc>
          <w:tcPr>
            <w:tcW w:w="1127" w:type="dxa"/>
            <w:tcBorders>
              <w:top w:val="nil"/>
              <w:left w:val="nil"/>
              <w:bottom w:val="single" w:sz="4" w:space="0" w:color="auto"/>
              <w:right w:val="single" w:sz="4" w:space="0" w:color="auto"/>
            </w:tcBorders>
            <w:shd w:val="clear" w:color="auto" w:fill="auto"/>
            <w:noWrap/>
            <w:vAlign w:val="center"/>
          </w:tcPr>
          <w:p w14:paraId="177FBC21" w14:textId="77777777" w:rsidR="001D2E87" w:rsidRPr="00CE240B" w:rsidRDefault="001D2E87" w:rsidP="00CE240B">
            <w:pPr>
              <w:contextualSpacing/>
              <w:jc w:val="center"/>
              <w:rPr>
                <w:rFonts w:cs="Arial"/>
                <w:sz w:val="24"/>
              </w:rPr>
            </w:pPr>
            <w:r w:rsidRPr="00CE240B">
              <w:rPr>
                <w:rFonts w:cs="Arial"/>
                <w:sz w:val="24"/>
              </w:rPr>
              <w:t>4032</w:t>
            </w:r>
          </w:p>
        </w:tc>
        <w:tc>
          <w:tcPr>
            <w:tcW w:w="1231" w:type="dxa"/>
            <w:tcBorders>
              <w:top w:val="nil"/>
              <w:left w:val="nil"/>
              <w:bottom w:val="single" w:sz="4" w:space="0" w:color="auto"/>
              <w:right w:val="single" w:sz="4" w:space="0" w:color="auto"/>
            </w:tcBorders>
            <w:shd w:val="clear" w:color="auto" w:fill="auto"/>
            <w:noWrap/>
            <w:vAlign w:val="center"/>
            <w:hideMark/>
          </w:tcPr>
          <w:p w14:paraId="1A60FE81" w14:textId="77777777" w:rsidR="001D2E87" w:rsidRPr="00CE240B" w:rsidRDefault="001D2E87" w:rsidP="00CE240B">
            <w:pPr>
              <w:contextualSpacing/>
              <w:jc w:val="center"/>
              <w:rPr>
                <w:rFonts w:cs="Arial"/>
                <w:sz w:val="24"/>
              </w:rPr>
            </w:pPr>
            <w:r w:rsidRPr="00CE240B">
              <w:rPr>
                <w:rFonts w:cs="Arial"/>
                <w:sz w:val="24"/>
              </w:rPr>
              <w:t>31,813</w:t>
            </w:r>
          </w:p>
        </w:tc>
        <w:tc>
          <w:tcPr>
            <w:tcW w:w="817" w:type="dxa"/>
            <w:tcBorders>
              <w:top w:val="nil"/>
              <w:left w:val="nil"/>
              <w:bottom w:val="single" w:sz="4" w:space="0" w:color="auto"/>
              <w:right w:val="single" w:sz="4" w:space="0" w:color="auto"/>
            </w:tcBorders>
            <w:shd w:val="clear" w:color="auto" w:fill="auto"/>
            <w:noWrap/>
            <w:vAlign w:val="center"/>
            <w:hideMark/>
          </w:tcPr>
          <w:p w14:paraId="16105D67" w14:textId="77777777" w:rsidR="001D2E87" w:rsidRPr="00CE240B" w:rsidRDefault="001D2E87" w:rsidP="00CE240B">
            <w:pPr>
              <w:contextualSpacing/>
              <w:jc w:val="center"/>
              <w:rPr>
                <w:rFonts w:cs="Arial"/>
                <w:sz w:val="24"/>
              </w:rPr>
            </w:pPr>
            <w:r w:rsidRPr="00CE240B">
              <w:rPr>
                <w:rFonts w:cs="Arial"/>
                <w:color w:val="000000"/>
                <w:sz w:val="24"/>
              </w:rPr>
              <w:t>127</w:t>
            </w:r>
          </w:p>
        </w:tc>
      </w:tr>
      <w:tr w:rsidR="001D2E87" w:rsidRPr="00CE240B" w14:paraId="5E09F42F"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A6E34" w14:textId="77777777" w:rsidR="001D2E87" w:rsidRPr="00CE240B" w:rsidRDefault="001D2E87" w:rsidP="00CE240B">
            <w:pPr>
              <w:contextualSpacing/>
              <w:rPr>
                <w:rFonts w:cs="Arial"/>
                <w:sz w:val="24"/>
              </w:rPr>
            </w:pPr>
            <w:r w:rsidRPr="00CE240B">
              <w:rPr>
                <w:rFonts w:cs="Arial"/>
                <w:sz w:val="24"/>
              </w:rPr>
              <w:t>WGP</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3E52B40E" w14:textId="77777777" w:rsidR="001D2E87" w:rsidRPr="00CE240B" w:rsidRDefault="001D2E87" w:rsidP="00CE240B">
            <w:pPr>
              <w:contextualSpacing/>
              <w:jc w:val="center"/>
              <w:rPr>
                <w:rFonts w:cs="Arial"/>
                <w:sz w:val="24"/>
              </w:rPr>
            </w:pPr>
            <w:r w:rsidRPr="00CE240B">
              <w:rPr>
                <w:rFonts w:cs="Arial"/>
                <w:sz w:val="24"/>
              </w:rPr>
              <w:t>2025</w:t>
            </w:r>
          </w:p>
        </w:tc>
        <w:tc>
          <w:tcPr>
            <w:tcW w:w="953" w:type="dxa"/>
            <w:tcBorders>
              <w:top w:val="nil"/>
              <w:left w:val="nil"/>
              <w:bottom w:val="single" w:sz="4" w:space="0" w:color="auto"/>
              <w:right w:val="single" w:sz="4" w:space="0" w:color="auto"/>
            </w:tcBorders>
            <w:shd w:val="clear" w:color="auto" w:fill="auto"/>
            <w:noWrap/>
            <w:vAlign w:val="center"/>
          </w:tcPr>
          <w:p w14:paraId="05D25DF9" w14:textId="77777777" w:rsidR="001D2E87" w:rsidRPr="00CE240B" w:rsidRDefault="001D2E87" w:rsidP="00CE240B">
            <w:pPr>
              <w:contextualSpacing/>
              <w:jc w:val="center"/>
              <w:rPr>
                <w:rFonts w:cs="Arial"/>
                <w:sz w:val="24"/>
              </w:rPr>
            </w:pPr>
            <w:r w:rsidRPr="00CE240B">
              <w:rPr>
                <w:rFonts w:cs="Arial"/>
                <w:sz w:val="24"/>
              </w:rPr>
              <w:t>138</w:t>
            </w:r>
          </w:p>
        </w:tc>
        <w:tc>
          <w:tcPr>
            <w:tcW w:w="1027" w:type="dxa"/>
            <w:tcBorders>
              <w:top w:val="nil"/>
              <w:left w:val="nil"/>
              <w:bottom w:val="single" w:sz="4" w:space="0" w:color="auto"/>
              <w:right w:val="single" w:sz="4" w:space="0" w:color="auto"/>
            </w:tcBorders>
            <w:shd w:val="clear" w:color="auto" w:fill="auto"/>
            <w:noWrap/>
            <w:vAlign w:val="center"/>
          </w:tcPr>
          <w:p w14:paraId="726BC79C" w14:textId="77777777" w:rsidR="001D2E87" w:rsidRPr="00CE240B" w:rsidRDefault="001D2E87" w:rsidP="00CE240B">
            <w:pPr>
              <w:contextualSpacing/>
              <w:jc w:val="center"/>
              <w:rPr>
                <w:rFonts w:cs="Arial"/>
                <w:sz w:val="24"/>
              </w:rPr>
            </w:pPr>
            <w:r w:rsidRPr="00CE240B">
              <w:rPr>
                <w:rFonts w:cs="Arial"/>
                <w:sz w:val="24"/>
              </w:rPr>
              <w:t>222</w:t>
            </w:r>
          </w:p>
        </w:tc>
        <w:tc>
          <w:tcPr>
            <w:tcW w:w="1577" w:type="dxa"/>
            <w:tcBorders>
              <w:top w:val="nil"/>
              <w:left w:val="nil"/>
              <w:bottom w:val="single" w:sz="4" w:space="0" w:color="auto"/>
              <w:right w:val="single" w:sz="4" w:space="0" w:color="auto"/>
            </w:tcBorders>
            <w:shd w:val="clear" w:color="auto" w:fill="auto"/>
            <w:noWrap/>
            <w:vAlign w:val="center"/>
          </w:tcPr>
          <w:p w14:paraId="2BD5A7AE" w14:textId="77777777" w:rsidR="001D2E87" w:rsidRPr="00CE240B" w:rsidRDefault="001D2E87" w:rsidP="00CE240B">
            <w:pPr>
              <w:contextualSpacing/>
              <w:jc w:val="center"/>
              <w:rPr>
                <w:rFonts w:cs="Arial"/>
                <w:sz w:val="24"/>
              </w:rPr>
            </w:pPr>
            <w:r w:rsidRPr="00CE240B">
              <w:rPr>
                <w:rFonts w:cs="Arial"/>
                <w:sz w:val="24"/>
              </w:rPr>
              <w:t>1051</w:t>
            </w:r>
          </w:p>
        </w:tc>
        <w:tc>
          <w:tcPr>
            <w:tcW w:w="1127" w:type="dxa"/>
            <w:tcBorders>
              <w:top w:val="nil"/>
              <w:left w:val="nil"/>
              <w:bottom w:val="single" w:sz="4" w:space="0" w:color="auto"/>
              <w:right w:val="single" w:sz="4" w:space="0" w:color="auto"/>
            </w:tcBorders>
            <w:shd w:val="clear" w:color="auto" w:fill="auto"/>
            <w:noWrap/>
            <w:vAlign w:val="center"/>
          </w:tcPr>
          <w:p w14:paraId="3E8E895D" w14:textId="77777777" w:rsidR="001D2E87" w:rsidRPr="00CE240B" w:rsidRDefault="001D2E87" w:rsidP="00CE240B">
            <w:pPr>
              <w:contextualSpacing/>
              <w:jc w:val="center"/>
              <w:rPr>
                <w:rFonts w:cs="Arial"/>
                <w:sz w:val="24"/>
              </w:rPr>
            </w:pPr>
            <w:r w:rsidRPr="00CE240B">
              <w:rPr>
                <w:rFonts w:cs="Arial"/>
                <w:sz w:val="24"/>
              </w:rPr>
              <w:t>3436</w:t>
            </w:r>
          </w:p>
        </w:tc>
        <w:tc>
          <w:tcPr>
            <w:tcW w:w="1231" w:type="dxa"/>
            <w:tcBorders>
              <w:top w:val="nil"/>
              <w:left w:val="nil"/>
              <w:bottom w:val="single" w:sz="4" w:space="0" w:color="auto"/>
              <w:right w:val="single" w:sz="4" w:space="0" w:color="auto"/>
            </w:tcBorders>
            <w:shd w:val="clear" w:color="auto" w:fill="auto"/>
            <w:noWrap/>
            <w:vAlign w:val="center"/>
            <w:hideMark/>
          </w:tcPr>
          <w:p w14:paraId="7D3895BD" w14:textId="77777777" w:rsidR="001D2E87" w:rsidRPr="00CE240B" w:rsidRDefault="001D2E87" w:rsidP="00CE240B">
            <w:pPr>
              <w:contextualSpacing/>
              <w:jc w:val="center"/>
              <w:rPr>
                <w:rFonts w:cs="Arial"/>
                <w:sz w:val="24"/>
              </w:rPr>
            </w:pPr>
            <w:r w:rsidRPr="00CE240B">
              <w:rPr>
                <w:rFonts w:cs="Arial"/>
                <w:sz w:val="24"/>
              </w:rPr>
              <w:t>12,661</w:t>
            </w:r>
          </w:p>
        </w:tc>
        <w:tc>
          <w:tcPr>
            <w:tcW w:w="817" w:type="dxa"/>
            <w:tcBorders>
              <w:top w:val="nil"/>
              <w:left w:val="nil"/>
              <w:bottom w:val="single" w:sz="4" w:space="0" w:color="auto"/>
              <w:right w:val="single" w:sz="4" w:space="0" w:color="auto"/>
            </w:tcBorders>
            <w:shd w:val="clear" w:color="auto" w:fill="auto"/>
            <w:noWrap/>
            <w:vAlign w:val="center"/>
            <w:hideMark/>
          </w:tcPr>
          <w:p w14:paraId="7ED57582" w14:textId="77777777" w:rsidR="001D2E87" w:rsidRPr="00CE240B" w:rsidRDefault="001D2E87" w:rsidP="00CE240B">
            <w:pPr>
              <w:contextualSpacing/>
              <w:jc w:val="center"/>
              <w:rPr>
                <w:rFonts w:cs="Arial"/>
                <w:sz w:val="24"/>
              </w:rPr>
            </w:pPr>
            <w:r w:rsidRPr="00CE240B">
              <w:rPr>
                <w:rFonts w:cs="Arial"/>
                <w:color w:val="000000"/>
                <w:sz w:val="24"/>
              </w:rPr>
              <w:t>271</w:t>
            </w:r>
          </w:p>
        </w:tc>
      </w:tr>
      <w:tr w:rsidR="001D2E87" w:rsidRPr="00CE240B" w14:paraId="6004EFE3"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9A7EF" w14:textId="77777777" w:rsidR="001D2E87" w:rsidRPr="00CE240B" w:rsidRDefault="001D2E87" w:rsidP="00CE240B">
            <w:pPr>
              <w:contextualSpacing/>
              <w:rPr>
                <w:rFonts w:cs="Arial"/>
                <w:sz w:val="24"/>
              </w:rPr>
            </w:pPr>
            <w:r w:rsidRPr="00CE240B">
              <w:rPr>
                <w:rFonts w:cs="Arial"/>
                <w:sz w:val="24"/>
              </w:rPr>
              <w:t>CAV</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24DC5524" w14:textId="77777777" w:rsidR="001D2E87" w:rsidRPr="00CE240B" w:rsidRDefault="001D2E87" w:rsidP="00CE240B">
            <w:pPr>
              <w:contextualSpacing/>
              <w:jc w:val="center"/>
              <w:rPr>
                <w:rFonts w:cs="Arial"/>
                <w:sz w:val="24"/>
              </w:rPr>
            </w:pPr>
            <w:r w:rsidRPr="00CE240B">
              <w:rPr>
                <w:rFonts w:cs="Arial"/>
                <w:sz w:val="24"/>
              </w:rPr>
              <w:t>496</w:t>
            </w:r>
          </w:p>
        </w:tc>
        <w:tc>
          <w:tcPr>
            <w:tcW w:w="953" w:type="dxa"/>
            <w:tcBorders>
              <w:top w:val="nil"/>
              <w:left w:val="nil"/>
              <w:bottom w:val="single" w:sz="4" w:space="0" w:color="auto"/>
              <w:right w:val="single" w:sz="4" w:space="0" w:color="auto"/>
            </w:tcBorders>
            <w:shd w:val="clear" w:color="auto" w:fill="auto"/>
            <w:noWrap/>
            <w:vAlign w:val="center"/>
          </w:tcPr>
          <w:p w14:paraId="33BB0D56" w14:textId="77777777" w:rsidR="001D2E87" w:rsidRPr="00CE240B" w:rsidRDefault="001D2E87" w:rsidP="00CE240B">
            <w:pPr>
              <w:contextualSpacing/>
              <w:jc w:val="center"/>
              <w:rPr>
                <w:rFonts w:cs="Arial"/>
                <w:sz w:val="24"/>
              </w:rPr>
            </w:pPr>
            <w:r w:rsidRPr="00CE240B">
              <w:rPr>
                <w:rFonts w:cs="Arial"/>
                <w:sz w:val="24"/>
              </w:rPr>
              <w:t>65</w:t>
            </w:r>
          </w:p>
        </w:tc>
        <w:tc>
          <w:tcPr>
            <w:tcW w:w="1027" w:type="dxa"/>
            <w:tcBorders>
              <w:top w:val="nil"/>
              <w:left w:val="nil"/>
              <w:bottom w:val="single" w:sz="4" w:space="0" w:color="auto"/>
              <w:right w:val="single" w:sz="4" w:space="0" w:color="auto"/>
            </w:tcBorders>
            <w:shd w:val="clear" w:color="auto" w:fill="auto"/>
            <w:noWrap/>
            <w:vAlign w:val="center"/>
          </w:tcPr>
          <w:p w14:paraId="29FB6C1E" w14:textId="77777777" w:rsidR="001D2E87" w:rsidRPr="00CE240B" w:rsidRDefault="001D2E87" w:rsidP="00CE240B">
            <w:pPr>
              <w:contextualSpacing/>
              <w:jc w:val="center"/>
              <w:rPr>
                <w:rFonts w:cs="Arial"/>
                <w:sz w:val="24"/>
              </w:rPr>
            </w:pPr>
            <w:r w:rsidRPr="00CE240B">
              <w:rPr>
                <w:rFonts w:cs="Arial"/>
                <w:sz w:val="24"/>
              </w:rPr>
              <w:t>Incl</w:t>
            </w:r>
          </w:p>
        </w:tc>
        <w:tc>
          <w:tcPr>
            <w:tcW w:w="1577" w:type="dxa"/>
            <w:tcBorders>
              <w:top w:val="nil"/>
              <w:left w:val="nil"/>
              <w:bottom w:val="single" w:sz="4" w:space="0" w:color="auto"/>
              <w:right w:val="single" w:sz="4" w:space="0" w:color="auto"/>
            </w:tcBorders>
            <w:shd w:val="clear" w:color="auto" w:fill="auto"/>
            <w:noWrap/>
            <w:vAlign w:val="center"/>
          </w:tcPr>
          <w:p w14:paraId="2D6F8681" w14:textId="77777777" w:rsidR="001D2E87" w:rsidRPr="00CE240B" w:rsidRDefault="001D2E87" w:rsidP="00CE240B">
            <w:pPr>
              <w:contextualSpacing/>
              <w:jc w:val="center"/>
              <w:rPr>
                <w:rFonts w:cs="Arial"/>
                <w:sz w:val="24"/>
              </w:rPr>
            </w:pPr>
            <w:r w:rsidRPr="00CE240B">
              <w:rPr>
                <w:rFonts w:cs="Arial"/>
                <w:sz w:val="24"/>
              </w:rPr>
              <w:t>79</w:t>
            </w:r>
          </w:p>
        </w:tc>
        <w:tc>
          <w:tcPr>
            <w:tcW w:w="1127" w:type="dxa"/>
            <w:tcBorders>
              <w:top w:val="nil"/>
              <w:left w:val="nil"/>
              <w:bottom w:val="single" w:sz="4" w:space="0" w:color="auto"/>
              <w:right w:val="single" w:sz="4" w:space="0" w:color="auto"/>
            </w:tcBorders>
            <w:shd w:val="clear" w:color="auto" w:fill="auto"/>
            <w:noWrap/>
            <w:vAlign w:val="center"/>
          </w:tcPr>
          <w:p w14:paraId="2A87C0E8" w14:textId="77777777" w:rsidR="001D2E87" w:rsidRPr="00CE240B" w:rsidRDefault="001D2E87" w:rsidP="00CE240B">
            <w:pPr>
              <w:contextualSpacing/>
              <w:jc w:val="center"/>
              <w:rPr>
                <w:rFonts w:cs="Arial"/>
                <w:sz w:val="24"/>
              </w:rPr>
            </w:pPr>
            <w:r w:rsidRPr="00CE240B">
              <w:rPr>
                <w:rFonts w:cs="Arial"/>
                <w:sz w:val="24"/>
              </w:rPr>
              <w:t>640</w:t>
            </w:r>
          </w:p>
        </w:tc>
        <w:tc>
          <w:tcPr>
            <w:tcW w:w="1231" w:type="dxa"/>
            <w:tcBorders>
              <w:top w:val="nil"/>
              <w:left w:val="nil"/>
              <w:bottom w:val="single" w:sz="4" w:space="0" w:color="auto"/>
              <w:right w:val="single" w:sz="4" w:space="0" w:color="auto"/>
            </w:tcBorders>
            <w:shd w:val="clear" w:color="auto" w:fill="auto"/>
            <w:noWrap/>
            <w:vAlign w:val="center"/>
            <w:hideMark/>
          </w:tcPr>
          <w:p w14:paraId="3500470B" w14:textId="77777777" w:rsidR="001D2E87" w:rsidRPr="00CE240B" w:rsidRDefault="001D2E87" w:rsidP="00CE240B">
            <w:pPr>
              <w:contextualSpacing/>
              <w:jc w:val="center"/>
              <w:rPr>
                <w:rFonts w:cs="Arial"/>
                <w:sz w:val="24"/>
              </w:rPr>
            </w:pPr>
            <w:r w:rsidRPr="00CE240B">
              <w:rPr>
                <w:rFonts w:cs="Arial"/>
                <w:sz w:val="24"/>
              </w:rPr>
              <w:t>6,296</w:t>
            </w:r>
          </w:p>
        </w:tc>
        <w:tc>
          <w:tcPr>
            <w:tcW w:w="817" w:type="dxa"/>
            <w:tcBorders>
              <w:top w:val="nil"/>
              <w:left w:val="nil"/>
              <w:bottom w:val="single" w:sz="4" w:space="0" w:color="auto"/>
              <w:right w:val="single" w:sz="4" w:space="0" w:color="auto"/>
            </w:tcBorders>
            <w:shd w:val="clear" w:color="auto" w:fill="auto"/>
            <w:noWrap/>
            <w:vAlign w:val="center"/>
            <w:hideMark/>
          </w:tcPr>
          <w:p w14:paraId="66B244C4" w14:textId="77777777" w:rsidR="001D2E87" w:rsidRPr="00CE240B" w:rsidRDefault="001D2E87" w:rsidP="00CE240B">
            <w:pPr>
              <w:contextualSpacing/>
              <w:jc w:val="center"/>
              <w:rPr>
                <w:rFonts w:cs="Arial"/>
                <w:sz w:val="24"/>
              </w:rPr>
            </w:pPr>
            <w:r w:rsidRPr="00CE240B">
              <w:rPr>
                <w:rFonts w:cs="Arial"/>
                <w:color w:val="000000"/>
                <w:sz w:val="24"/>
              </w:rPr>
              <w:t>102</w:t>
            </w:r>
          </w:p>
        </w:tc>
      </w:tr>
      <w:tr w:rsidR="001D2E87" w:rsidRPr="00CE240B" w14:paraId="413ECC7B"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3CBC1" w14:textId="77777777" w:rsidR="001D2E87" w:rsidRPr="00CE240B" w:rsidRDefault="001D2E87" w:rsidP="00CE240B">
            <w:pPr>
              <w:contextualSpacing/>
              <w:rPr>
                <w:rFonts w:cs="Arial"/>
                <w:sz w:val="24"/>
              </w:rPr>
            </w:pPr>
            <w:r w:rsidRPr="00CE240B">
              <w:rPr>
                <w:rFonts w:cs="Arial"/>
                <w:sz w:val="24"/>
              </w:rPr>
              <w:t>MWH</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4D5C815B" w14:textId="77777777" w:rsidR="001D2E87" w:rsidRPr="00CE240B" w:rsidRDefault="001D2E87" w:rsidP="00CE240B">
            <w:pPr>
              <w:contextualSpacing/>
              <w:jc w:val="center"/>
              <w:rPr>
                <w:rFonts w:cs="Arial"/>
                <w:sz w:val="24"/>
              </w:rPr>
            </w:pPr>
            <w:r w:rsidRPr="00CE240B">
              <w:rPr>
                <w:rFonts w:cs="Arial"/>
                <w:sz w:val="24"/>
              </w:rPr>
              <w:t>433</w:t>
            </w:r>
          </w:p>
        </w:tc>
        <w:tc>
          <w:tcPr>
            <w:tcW w:w="953" w:type="dxa"/>
            <w:tcBorders>
              <w:top w:val="nil"/>
              <w:left w:val="nil"/>
              <w:bottom w:val="single" w:sz="4" w:space="0" w:color="auto"/>
              <w:right w:val="single" w:sz="4" w:space="0" w:color="auto"/>
            </w:tcBorders>
            <w:shd w:val="clear" w:color="auto" w:fill="auto"/>
            <w:noWrap/>
            <w:vAlign w:val="center"/>
          </w:tcPr>
          <w:p w14:paraId="70DB5C84" w14:textId="77777777" w:rsidR="001D2E87" w:rsidRPr="00CE240B" w:rsidRDefault="001D2E87" w:rsidP="00CE240B">
            <w:pPr>
              <w:contextualSpacing/>
              <w:jc w:val="center"/>
              <w:rPr>
                <w:rFonts w:cs="Arial"/>
                <w:sz w:val="24"/>
              </w:rPr>
            </w:pPr>
            <w:r w:rsidRPr="00CE240B">
              <w:rPr>
                <w:rFonts w:cs="Arial"/>
                <w:sz w:val="24"/>
              </w:rPr>
              <w:t>216</w:t>
            </w:r>
          </w:p>
        </w:tc>
        <w:tc>
          <w:tcPr>
            <w:tcW w:w="1027" w:type="dxa"/>
            <w:tcBorders>
              <w:top w:val="nil"/>
              <w:left w:val="nil"/>
              <w:bottom w:val="single" w:sz="4" w:space="0" w:color="auto"/>
              <w:right w:val="single" w:sz="4" w:space="0" w:color="auto"/>
            </w:tcBorders>
            <w:shd w:val="clear" w:color="auto" w:fill="auto"/>
            <w:noWrap/>
            <w:vAlign w:val="center"/>
          </w:tcPr>
          <w:p w14:paraId="2A7939B4" w14:textId="77777777" w:rsidR="001D2E87" w:rsidRPr="00CE240B" w:rsidRDefault="001D2E87" w:rsidP="00CE240B">
            <w:pPr>
              <w:contextualSpacing/>
              <w:jc w:val="center"/>
              <w:rPr>
                <w:rFonts w:cs="Arial"/>
                <w:sz w:val="24"/>
              </w:rPr>
            </w:pPr>
            <w:r w:rsidRPr="00CE240B">
              <w:rPr>
                <w:rFonts w:cs="Arial"/>
                <w:sz w:val="24"/>
              </w:rPr>
              <w:t>227</w:t>
            </w:r>
          </w:p>
        </w:tc>
        <w:tc>
          <w:tcPr>
            <w:tcW w:w="1577" w:type="dxa"/>
            <w:tcBorders>
              <w:top w:val="nil"/>
              <w:left w:val="nil"/>
              <w:bottom w:val="single" w:sz="4" w:space="0" w:color="auto"/>
              <w:right w:val="single" w:sz="4" w:space="0" w:color="auto"/>
            </w:tcBorders>
            <w:shd w:val="clear" w:color="auto" w:fill="auto"/>
            <w:noWrap/>
            <w:vAlign w:val="center"/>
          </w:tcPr>
          <w:p w14:paraId="07A76AB6" w14:textId="77777777" w:rsidR="001D2E87" w:rsidRPr="00CE240B" w:rsidRDefault="001D2E87" w:rsidP="00CE240B">
            <w:pPr>
              <w:contextualSpacing/>
              <w:jc w:val="center"/>
              <w:rPr>
                <w:rFonts w:cs="Arial"/>
                <w:sz w:val="24"/>
              </w:rPr>
            </w:pPr>
            <w:r w:rsidRPr="00CE240B">
              <w:rPr>
                <w:rFonts w:cs="Arial"/>
                <w:sz w:val="24"/>
              </w:rPr>
              <w:t>1345</w:t>
            </w:r>
          </w:p>
        </w:tc>
        <w:tc>
          <w:tcPr>
            <w:tcW w:w="1127" w:type="dxa"/>
            <w:tcBorders>
              <w:top w:val="nil"/>
              <w:left w:val="nil"/>
              <w:bottom w:val="single" w:sz="4" w:space="0" w:color="auto"/>
              <w:right w:val="single" w:sz="4" w:space="0" w:color="auto"/>
            </w:tcBorders>
            <w:shd w:val="clear" w:color="auto" w:fill="auto"/>
            <w:noWrap/>
            <w:vAlign w:val="center"/>
          </w:tcPr>
          <w:p w14:paraId="3CB5840F" w14:textId="77777777" w:rsidR="001D2E87" w:rsidRPr="00CE240B" w:rsidRDefault="001D2E87" w:rsidP="00CE240B">
            <w:pPr>
              <w:contextualSpacing/>
              <w:jc w:val="center"/>
              <w:rPr>
                <w:rFonts w:cs="Arial"/>
                <w:sz w:val="24"/>
              </w:rPr>
            </w:pPr>
            <w:r w:rsidRPr="00CE240B">
              <w:rPr>
                <w:rFonts w:cs="Arial"/>
                <w:sz w:val="24"/>
              </w:rPr>
              <w:t>2221</w:t>
            </w:r>
          </w:p>
        </w:tc>
        <w:tc>
          <w:tcPr>
            <w:tcW w:w="1231" w:type="dxa"/>
            <w:tcBorders>
              <w:top w:val="nil"/>
              <w:left w:val="nil"/>
              <w:bottom w:val="single" w:sz="4" w:space="0" w:color="auto"/>
              <w:right w:val="single" w:sz="4" w:space="0" w:color="auto"/>
            </w:tcBorders>
            <w:shd w:val="clear" w:color="auto" w:fill="auto"/>
            <w:noWrap/>
            <w:vAlign w:val="center"/>
          </w:tcPr>
          <w:p w14:paraId="1A981948" w14:textId="77777777" w:rsidR="001D2E87" w:rsidRPr="00CE240B" w:rsidRDefault="001D2E87" w:rsidP="00CE240B">
            <w:pPr>
              <w:contextualSpacing/>
              <w:jc w:val="center"/>
              <w:rPr>
                <w:rFonts w:cs="Arial"/>
                <w:sz w:val="24"/>
              </w:rPr>
            </w:pPr>
            <w:r w:rsidRPr="00CE240B">
              <w:rPr>
                <w:rFonts w:cs="Arial"/>
                <w:sz w:val="24"/>
              </w:rPr>
              <w:t>13,466</w:t>
            </w:r>
          </w:p>
        </w:tc>
        <w:tc>
          <w:tcPr>
            <w:tcW w:w="817" w:type="dxa"/>
            <w:tcBorders>
              <w:top w:val="nil"/>
              <w:left w:val="nil"/>
              <w:bottom w:val="single" w:sz="4" w:space="0" w:color="auto"/>
              <w:right w:val="single" w:sz="4" w:space="0" w:color="auto"/>
            </w:tcBorders>
            <w:shd w:val="clear" w:color="auto" w:fill="auto"/>
            <w:noWrap/>
            <w:vAlign w:val="center"/>
          </w:tcPr>
          <w:p w14:paraId="580E8CDD" w14:textId="77777777" w:rsidR="001D2E87" w:rsidRPr="00CE240B" w:rsidRDefault="001D2E87" w:rsidP="00CE240B">
            <w:pPr>
              <w:contextualSpacing/>
              <w:jc w:val="center"/>
              <w:rPr>
                <w:rFonts w:cs="Arial"/>
                <w:sz w:val="24"/>
              </w:rPr>
            </w:pPr>
            <w:r w:rsidRPr="00CE240B">
              <w:rPr>
                <w:rFonts w:cs="Arial"/>
                <w:color w:val="000000"/>
                <w:sz w:val="24"/>
              </w:rPr>
              <w:t>165</w:t>
            </w:r>
          </w:p>
        </w:tc>
      </w:tr>
      <w:tr w:rsidR="001D2E87" w:rsidRPr="00CE240B" w14:paraId="638B6FCF"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76E7E" w14:textId="77777777" w:rsidR="001D2E87" w:rsidRPr="00CE240B" w:rsidRDefault="001D2E87" w:rsidP="00CE240B">
            <w:pPr>
              <w:contextualSpacing/>
              <w:rPr>
                <w:rFonts w:cs="Arial"/>
                <w:sz w:val="24"/>
              </w:rPr>
            </w:pPr>
            <w:r w:rsidRPr="00CE240B">
              <w:rPr>
                <w:rFonts w:cs="Arial"/>
                <w:sz w:val="24"/>
              </w:rPr>
              <w:t>HWP</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66968926" w14:textId="77777777" w:rsidR="001D2E87" w:rsidRPr="00CE240B" w:rsidRDefault="001D2E87" w:rsidP="00CE240B">
            <w:pPr>
              <w:contextualSpacing/>
              <w:jc w:val="center"/>
              <w:rPr>
                <w:rFonts w:cs="Arial"/>
                <w:sz w:val="24"/>
              </w:rPr>
            </w:pPr>
            <w:r w:rsidRPr="00CE240B">
              <w:rPr>
                <w:rFonts w:cs="Arial"/>
                <w:sz w:val="24"/>
              </w:rPr>
              <w:t>1259</w:t>
            </w:r>
          </w:p>
        </w:tc>
        <w:tc>
          <w:tcPr>
            <w:tcW w:w="953" w:type="dxa"/>
            <w:tcBorders>
              <w:top w:val="nil"/>
              <w:left w:val="nil"/>
              <w:bottom w:val="single" w:sz="4" w:space="0" w:color="auto"/>
              <w:right w:val="single" w:sz="4" w:space="0" w:color="auto"/>
            </w:tcBorders>
            <w:shd w:val="clear" w:color="auto" w:fill="auto"/>
            <w:noWrap/>
            <w:vAlign w:val="center"/>
          </w:tcPr>
          <w:p w14:paraId="38186B8B" w14:textId="77777777" w:rsidR="001D2E87" w:rsidRPr="00CE240B" w:rsidRDefault="001D2E87" w:rsidP="00CE240B">
            <w:pPr>
              <w:contextualSpacing/>
              <w:jc w:val="center"/>
              <w:rPr>
                <w:rFonts w:cs="Arial"/>
                <w:sz w:val="24"/>
              </w:rPr>
            </w:pPr>
            <w:r w:rsidRPr="00CE240B">
              <w:rPr>
                <w:rFonts w:cs="Arial"/>
                <w:sz w:val="24"/>
              </w:rPr>
              <w:t>412</w:t>
            </w:r>
          </w:p>
        </w:tc>
        <w:tc>
          <w:tcPr>
            <w:tcW w:w="1027" w:type="dxa"/>
            <w:tcBorders>
              <w:top w:val="nil"/>
              <w:left w:val="nil"/>
              <w:bottom w:val="single" w:sz="4" w:space="0" w:color="auto"/>
              <w:right w:val="single" w:sz="4" w:space="0" w:color="auto"/>
            </w:tcBorders>
            <w:shd w:val="clear" w:color="auto" w:fill="auto"/>
            <w:noWrap/>
            <w:vAlign w:val="center"/>
          </w:tcPr>
          <w:p w14:paraId="1BE28D30" w14:textId="77777777" w:rsidR="001D2E87" w:rsidRPr="00CE240B" w:rsidRDefault="001D2E87" w:rsidP="00CE240B">
            <w:pPr>
              <w:contextualSpacing/>
              <w:jc w:val="center"/>
              <w:rPr>
                <w:rFonts w:cs="Arial"/>
                <w:sz w:val="24"/>
              </w:rPr>
            </w:pPr>
            <w:r w:rsidRPr="00CE240B">
              <w:rPr>
                <w:rFonts w:cs="Arial"/>
                <w:sz w:val="24"/>
              </w:rPr>
              <w:t>389</w:t>
            </w:r>
          </w:p>
        </w:tc>
        <w:tc>
          <w:tcPr>
            <w:tcW w:w="1577" w:type="dxa"/>
            <w:tcBorders>
              <w:top w:val="nil"/>
              <w:left w:val="nil"/>
              <w:bottom w:val="single" w:sz="4" w:space="0" w:color="auto"/>
              <w:right w:val="single" w:sz="4" w:space="0" w:color="auto"/>
            </w:tcBorders>
            <w:shd w:val="clear" w:color="auto" w:fill="auto"/>
            <w:noWrap/>
            <w:vAlign w:val="center"/>
          </w:tcPr>
          <w:p w14:paraId="5D4F2E2C" w14:textId="77777777" w:rsidR="001D2E87" w:rsidRPr="00CE240B" w:rsidRDefault="001D2E87" w:rsidP="00CE240B">
            <w:pPr>
              <w:contextualSpacing/>
              <w:jc w:val="center"/>
              <w:rPr>
                <w:rFonts w:cs="Arial"/>
                <w:sz w:val="24"/>
              </w:rPr>
            </w:pPr>
            <w:r w:rsidRPr="00CE240B">
              <w:rPr>
                <w:rFonts w:cs="Arial"/>
                <w:sz w:val="24"/>
              </w:rPr>
              <w:t>1296</w:t>
            </w:r>
          </w:p>
        </w:tc>
        <w:tc>
          <w:tcPr>
            <w:tcW w:w="1127" w:type="dxa"/>
            <w:tcBorders>
              <w:top w:val="nil"/>
              <w:left w:val="nil"/>
              <w:bottom w:val="single" w:sz="4" w:space="0" w:color="auto"/>
              <w:right w:val="single" w:sz="4" w:space="0" w:color="auto"/>
            </w:tcBorders>
            <w:shd w:val="clear" w:color="auto" w:fill="auto"/>
            <w:noWrap/>
            <w:vAlign w:val="center"/>
          </w:tcPr>
          <w:p w14:paraId="41AB2F9E" w14:textId="77777777" w:rsidR="001D2E87" w:rsidRPr="00CE240B" w:rsidRDefault="001D2E87" w:rsidP="00CE240B">
            <w:pPr>
              <w:contextualSpacing/>
              <w:jc w:val="center"/>
              <w:rPr>
                <w:rFonts w:cs="Arial"/>
                <w:sz w:val="24"/>
              </w:rPr>
            </w:pPr>
            <w:r w:rsidRPr="00CE240B">
              <w:rPr>
                <w:rFonts w:cs="Arial"/>
                <w:sz w:val="24"/>
              </w:rPr>
              <w:t>3356</w:t>
            </w:r>
          </w:p>
        </w:tc>
        <w:tc>
          <w:tcPr>
            <w:tcW w:w="1231" w:type="dxa"/>
            <w:tcBorders>
              <w:top w:val="nil"/>
              <w:left w:val="nil"/>
              <w:bottom w:val="single" w:sz="4" w:space="0" w:color="auto"/>
              <w:right w:val="single" w:sz="4" w:space="0" w:color="auto"/>
            </w:tcBorders>
            <w:shd w:val="clear" w:color="auto" w:fill="auto"/>
            <w:noWrap/>
            <w:vAlign w:val="center"/>
          </w:tcPr>
          <w:p w14:paraId="5F4E8DDF" w14:textId="77777777" w:rsidR="001D2E87" w:rsidRPr="00CE240B" w:rsidRDefault="001D2E87" w:rsidP="00CE240B">
            <w:pPr>
              <w:contextualSpacing/>
              <w:jc w:val="center"/>
              <w:rPr>
                <w:rFonts w:cs="Arial"/>
                <w:sz w:val="24"/>
              </w:rPr>
            </w:pPr>
            <w:r w:rsidRPr="00CE240B">
              <w:rPr>
                <w:rFonts w:cs="Arial"/>
                <w:sz w:val="24"/>
              </w:rPr>
              <w:t>16,692</w:t>
            </w:r>
          </w:p>
        </w:tc>
        <w:tc>
          <w:tcPr>
            <w:tcW w:w="817" w:type="dxa"/>
            <w:tcBorders>
              <w:top w:val="nil"/>
              <w:left w:val="nil"/>
              <w:bottom w:val="single" w:sz="4" w:space="0" w:color="auto"/>
              <w:right w:val="single" w:sz="4" w:space="0" w:color="auto"/>
            </w:tcBorders>
            <w:shd w:val="clear" w:color="auto" w:fill="auto"/>
            <w:noWrap/>
            <w:vAlign w:val="center"/>
          </w:tcPr>
          <w:p w14:paraId="63A59D2B" w14:textId="77777777" w:rsidR="001D2E87" w:rsidRPr="00CE240B" w:rsidRDefault="001D2E87" w:rsidP="00CE240B">
            <w:pPr>
              <w:contextualSpacing/>
              <w:jc w:val="center"/>
              <w:rPr>
                <w:rFonts w:cs="Arial"/>
                <w:sz w:val="24"/>
              </w:rPr>
            </w:pPr>
            <w:r w:rsidRPr="00CE240B">
              <w:rPr>
                <w:rFonts w:cs="Arial"/>
                <w:color w:val="000000"/>
                <w:sz w:val="24"/>
              </w:rPr>
              <w:t>201</w:t>
            </w:r>
          </w:p>
        </w:tc>
      </w:tr>
      <w:tr w:rsidR="001D2E87" w:rsidRPr="00CE240B" w14:paraId="66AC5ADD"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D3555" w14:textId="77777777" w:rsidR="001D2E87" w:rsidRPr="00CE240B" w:rsidRDefault="001D2E87" w:rsidP="00CE240B">
            <w:pPr>
              <w:contextualSpacing/>
              <w:rPr>
                <w:rFonts w:cs="Arial"/>
                <w:sz w:val="24"/>
              </w:rPr>
            </w:pPr>
            <w:r w:rsidRPr="00CE240B">
              <w:rPr>
                <w:rFonts w:cs="Arial"/>
                <w:sz w:val="24"/>
              </w:rPr>
              <w:t>Rose Lodge</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6803F59D" w14:textId="77777777" w:rsidR="001D2E87" w:rsidRPr="00CE240B" w:rsidRDefault="001D2E87" w:rsidP="00CE240B">
            <w:pPr>
              <w:contextualSpacing/>
              <w:jc w:val="center"/>
              <w:rPr>
                <w:rFonts w:cs="Arial"/>
                <w:sz w:val="24"/>
              </w:rPr>
            </w:pPr>
            <w:r w:rsidRPr="00CE240B">
              <w:rPr>
                <w:rFonts w:cs="Arial"/>
                <w:sz w:val="24"/>
              </w:rPr>
              <w:t>38</w:t>
            </w:r>
          </w:p>
        </w:tc>
        <w:tc>
          <w:tcPr>
            <w:tcW w:w="953" w:type="dxa"/>
            <w:tcBorders>
              <w:top w:val="nil"/>
              <w:left w:val="nil"/>
              <w:bottom w:val="single" w:sz="4" w:space="0" w:color="auto"/>
              <w:right w:val="single" w:sz="4" w:space="0" w:color="auto"/>
            </w:tcBorders>
            <w:shd w:val="clear" w:color="auto" w:fill="auto"/>
            <w:noWrap/>
            <w:vAlign w:val="center"/>
          </w:tcPr>
          <w:p w14:paraId="7AF26C10" w14:textId="77777777" w:rsidR="001D2E87" w:rsidRPr="00CE240B" w:rsidRDefault="001D2E87" w:rsidP="00CE240B">
            <w:pPr>
              <w:contextualSpacing/>
              <w:jc w:val="center"/>
              <w:rPr>
                <w:rFonts w:cs="Arial"/>
                <w:sz w:val="24"/>
              </w:rPr>
            </w:pPr>
            <w:r w:rsidRPr="00CE240B">
              <w:rPr>
                <w:rFonts w:cs="Arial"/>
                <w:sz w:val="24"/>
              </w:rPr>
              <w:t>22</w:t>
            </w:r>
          </w:p>
        </w:tc>
        <w:tc>
          <w:tcPr>
            <w:tcW w:w="1027" w:type="dxa"/>
            <w:tcBorders>
              <w:top w:val="nil"/>
              <w:left w:val="nil"/>
              <w:bottom w:val="single" w:sz="4" w:space="0" w:color="auto"/>
              <w:right w:val="single" w:sz="4" w:space="0" w:color="auto"/>
            </w:tcBorders>
            <w:shd w:val="clear" w:color="auto" w:fill="auto"/>
            <w:noWrap/>
            <w:vAlign w:val="center"/>
          </w:tcPr>
          <w:p w14:paraId="41288E75" w14:textId="77777777" w:rsidR="001D2E87" w:rsidRPr="00CE240B" w:rsidRDefault="001D2E87" w:rsidP="00CE240B">
            <w:pPr>
              <w:contextualSpacing/>
              <w:jc w:val="center"/>
              <w:rPr>
                <w:rFonts w:cs="Arial"/>
                <w:sz w:val="24"/>
              </w:rPr>
            </w:pPr>
            <w:r w:rsidRPr="00CE240B">
              <w:rPr>
                <w:rFonts w:cs="Arial"/>
                <w:sz w:val="24"/>
              </w:rPr>
              <w:t>26</w:t>
            </w:r>
          </w:p>
        </w:tc>
        <w:tc>
          <w:tcPr>
            <w:tcW w:w="1577" w:type="dxa"/>
            <w:tcBorders>
              <w:top w:val="nil"/>
              <w:left w:val="nil"/>
              <w:bottom w:val="single" w:sz="4" w:space="0" w:color="auto"/>
              <w:right w:val="single" w:sz="4" w:space="0" w:color="auto"/>
            </w:tcBorders>
            <w:shd w:val="clear" w:color="auto" w:fill="auto"/>
            <w:noWrap/>
            <w:vAlign w:val="center"/>
          </w:tcPr>
          <w:p w14:paraId="4BEE0707" w14:textId="77777777" w:rsidR="001D2E87" w:rsidRPr="00CE240B" w:rsidRDefault="001D2E87" w:rsidP="00CE240B">
            <w:pPr>
              <w:contextualSpacing/>
              <w:jc w:val="center"/>
              <w:rPr>
                <w:rFonts w:cs="Arial"/>
                <w:sz w:val="24"/>
              </w:rPr>
            </w:pPr>
            <w:r w:rsidRPr="00CE240B">
              <w:rPr>
                <w:rFonts w:cs="Arial"/>
                <w:sz w:val="24"/>
              </w:rPr>
              <w:t>52</w:t>
            </w:r>
          </w:p>
        </w:tc>
        <w:tc>
          <w:tcPr>
            <w:tcW w:w="1127" w:type="dxa"/>
            <w:tcBorders>
              <w:top w:val="nil"/>
              <w:left w:val="nil"/>
              <w:bottom w:val="single" w:sz="4" w:space="0" w:color="auto"/>
              <w:right w:val="single" w:sz="4" w:space="0" w:color="auto"/>
            </w:tcBorders>
            <w:shd w:val="clear" w:color="auto" w:fill="auto"/>
            <w:noWrap/>
            <w:vAlign w:val="center"/>
          </w:tcPr>
          <w:p w14:paraId="0590804C" w14:textId="77777777" w:rsidR="001D2E87" w:rsidRPr="00CE240B" w:rsidRDefault="001D2E87" w:rsidP="00CE240B">
            <w:pPr>
              <w:contextualSpacing/>
              <w:jc w:val="center"/>
              <w:rPr>
                <w:rFonts w:cs="Arial"/>
                <w:sz w:val="24"/>
              </w:rPr>
            </w:pPr>
            <w:r w:rsidRPr="00CE240B">
              <w:rPr>
                <w:rFonts w:cs="Arial"/>
                <w:sz w:val="24"/>
              </w:rPr>
              <w:t>138</w:t>
            </w:r>
          </w:p>
        </w:tc>
        <w:tc>
          <w:tcPr>
            <w:tcW w:w="1231" w:type="dxa"/>
            <w:tcBorders>
              <w:top w:val="nil"/>
              <w:left w:val="nil"/>
              <w:bottom w:val="single" w:sz="4" w:space="0" w:color="auto"/>
              <w:right w:val="single" w:sz="4" w:space="0" w:color="auto"/>
            </w:tcBorders>
            <w:shd w:val="clear" w:color="auto" w:fill="auto"/>
            <w:noWrap/>
            <w:vAlign w:val="center"/>
          </w:tcPr>
          <w:p w14:paraId="1396948A" w14:textId="77777777" w:rsidR="001D2E87" w:rsidRPr="00CE240B" w:rsidRDefault="001D2E87" w:rsidP="00CE240B">
            <w:pPr>
              <w:contextualSpacing/>
              <w:jc w:val="center"/>
              <w:rPr>
                <w:rFonts w:cs="Arial"/>
                <w:sz w:val="24"/>
              </w:rPr>
            </w:pPr>
            <w:r w:rsidRPr="00CE240B">
              <w:rPr>
                <w:rFonts w:cs="Arial"/>
                <w:sz w:val="24"/>
              </w:rPr>
              <w:t>1,252</w:t>
            </w:r>
          </w:p>
        </w:tc>
        <w:tc>
          <w:tcPr>
            <w:tcW w:w="817" w:type="dxa"/>
            <w:tcBorders>
              <w:top w:val="nil"/>
              <w:left w:val="nil"/>
              <w:bottom w:val="single" w:sz="4" w:space="0" w:color="auto"/>
              <w:right w:val="single" w:sz="4" w:space="0" w:color="auto"/>
            </w:tcBorders>
            <w:shd w:val="clear" w:color="auto" w:fill="auto"/>
            <w:noWrap/>
            <w:vAlign w:val="center"/>
          </w:tcPr>
          <w:p w14:paraId="12CD3D10" w14:textId="77777777" w:rsidR="001D2E87" w:rsidRPr="00CE240B" w:rsidRDefault="001D2E87" w:rsidP="00CE240B">
            <w:pPr>
              <w:contextualSpacing/>
              <w:jc w:val="center"/>
              <w:rPr>
                <w:rFonts w:cs="Arial"/>
                <w:sz w:val="24"/>
              </w:rPr>
            </w:pPr>
            <w:r w:rsidRPr="00CE240B">
              <w:rPr>
                <w:rFonts w:cs="Arial"/>
                <w:color w:val="000000"/>
                <w:sz w:val="24"/>
              </w:rPr>
              <w:t>110</w:t>
            </w:r>
          </w:p>
        </w:tc>
      </w:tr>
      <w:tr w:rsidR="001D2E87" w:rsidRPr="00CE240B" w14:paraId="6B8432AD" w14:textId="77777777" w:rsidTr="00F32B64">
        <w:trPr>
          <w:trHeight w:val="571"/>
          <w:jc w:val="center"/>
        </w:trPr>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6B822" w14:textId="77777777" w:rsidR="001D2E87" w:rsidRPr="00CE240B" w:rsidRDefault="001D2E87" w:rsidP="00CE240B">
            <w:pPr>
              <w:contextualSpacing/>
              <w:rPr>
                <w:rFonts w:cs="Arial"/>
                <w:sz w:val="24"/>
              </w:rPr>
            </w:pPr>
            <w:r w:rsidRPr="00CE240B">
              <w:rPr>
                <w:rFonts w:cs="Arial"/>
                <w:sz w:val="24"/>
              </w:rPr>
              <w:t>Carleton Clinic</w:t>
            </w:r>
          </w:p>
        </w:tc>
        <w:tc>
          <w:tcPr>
            <w:tcW w:w="1115" w:type="dxa"/>
            <w:tcBorders>
              <w:top w:val="nil"/>
              <w:left w:val="single" w:sz="4" w:space="0" w:color="auto"/>
              <w:bottom w:val="single" w:sz="4" w:space="0" w:color="auto"/>
              <w:right w:val="single" w:sz="4" w:space="0" w:color="auto"/>
            </w:tcBorders>
            <w:shd w:val="clear" w:color="auto" w:fill="auto"/>
            <w:noWrap/>
            <w:vAlign w:val="center"/>
          </w:tcPr>
          <w:p w14:paraId="5172E71D" w14:textId="77777777" w:rsidR="001D2E87" w:rsidRPr="00CE240B" w:rsidRDefault="001D2E87" w:rsidP="00CE240B">
            <w:pPr>
              <w:contextualSpacing/>
              <w:jc w:val="center"/>
              <w:rPr>
                <w:rFonts w:cs="Arial"/>
                <w:sz w:val="24"/>
              </w:rPr>
            </w:pPr>
            <w:r w:rsidRPr="00CE240B">
              <w:rPr>
                <w:rFonts w:cs="Arial"/>
                <w:sz w:val="24"/>
              </w:rPr>
              <w:t>311</w:t>
            </w:r>
          </w:p>
        </w:tc>
        <w:tc>
          <w:tcPr>
            <w:tcW w:w="953" w:type="dxa"/>
            <w:tcBorders>
              <w:top w:val="nil"/>
              <w:left w:val="nil"/>
              <w:bottom w:val="single" w:sz="4" w:space="0" w:color="auto"/>
              <w:right w:val="single" w:sz="4" w:space="0" w:color="auto"/>
            </w:tcBorders>
            <w:shd w:val="clear" w:color="auto" w:fill="auto"/>
            <w:noWrap/>
            <w:vAlign w:val="center"/>
          </w:tcPr>
          <w:p w14:paraId="401919A1" w14:textId="77777777" w:rsidR="001D2E87" w:rsidRPr="00CE240B" w:rsidRDefault="001D2E87" w:rsidP="00CE240B">
            <w:pPr>
              <w:contextualSpacing/>
              <w:jc w:val="center"/>
              <w:rPr>
                <w:rFonts w:cs="Arial"/>
                <w:sz w:val="24"/>
              </w:rPr>
            </w:pPr>
            <w:r w:rsidRPr="00CE240B">
              <w:rPr>
                <w:rFonts w:cs="Arial"/>
                <w:sz w:val="24"/>
              </w:rPr>
              <w:t>114</w:t>
            </w:r>
          </w:p>
        </w:tc>
        <w:tc>
          <w:tcPr>
            <w:tcW w:w="1027" w:type="dxa"/>
            <w:tcBorders>
              <w:top w:val="nil"/>
              <w:left w:val="nil"/>
              <w:bottom w:val="single" w:sz="4" w:space="0" w:color="auto"/>
              <w:right w:val="single" w:sz="4" w:space="0" w:color="auto"/>
            </w:tcBorders>
            <w:shd w:val="clear" w:color="auto" w:fill="auto"/>
            <w:noWrap/>
            <w:vAlign w:val="center"/>
          </w:tcPr>
          <w:p w14:paraId="1DF90404" w14:textId="77777777" w:rsidR="001D2E87" w:rsidRPr="00CE240B" w:rsidRDefault="001D2E87" w:rsidP="00CE240B">
            <w:pPr>
              <w:contextualSpacing/>
              <w:jc w:val="center"/>
              <w:rPr>
                <w:rFonts w:cs="Arial"/>
                <w:sz w:val="24"/>
              </w:rPr>
            </w:pPr>
            <w:r w:rsidRPr="00CE240B">
              <w:rPr>
                <w:rFonts w:cs="Arial"/>
                <w:sz w:val="24"/>
              </w:rPr>
              <w:t>356</w:t>
            </w:r>
          </w:p>
        </w:tc>
        <w:tc>
          <w:tcPr>
            <w:tcW w:w="1577" w:type="dxa"/>
            <w:tcBorders>
              <w:top w:val="nil"/>
              <w:left w:val="nil"/>
              <w:bottom w:val="single" w:sz="4" w:space="0" w:color="auto"/>
              <w:right w:val="single" w:sz="4" w:space="0" w:color="auto"/>
            </w:tcBorders>
            <w:shd w:val="clear" w:color="auto" w:fill="auto"/>
            <w:noWrap/>
            <w:vAlign w:val="center"/>
          </w:tcPr>
          <w:p w14:paraId="751BCEB6" w14:textId="77777777" w:rsidR="001D2E87" w:rsidRPr="00CE240B" w:rsidRDefault="001D2E87" w:rsidP="00CE240B">
            <w:pPr>
              <w:contextualSpacing/>
              <w:jc w:val="center"/>
              <w:rPr>
                <w:rFonts w:cs="Arial"/>
                <w:sz w:val="24"/>
              </w:rPr>
            </w:pPr>
            <w:r w:rsidRPr="00CE240B">
              <w:rPr>
                <w:rFonts w:cs="Arial"/>
                <w:sz w:val="24"/>
              </w:rPr>
              <w:t>612</w:t>
            </w:r>
          </w:p>
        </w:tc>
        <w:tc>
          <w:tcPr>
            <w:tcW w:w="1127" w:type="dxa"/>
            <w:tcBorders>
              <w:top w:val="nil"/>
              <w:left w:val="nil"/>
              <w:bottom w:val="single" w:sz="4" w:space="0" w:color="auto"/>
              <w:right w:val="single" w:sz="4" w:space="0" w:color="auto"/>
            </w:tcBorders>
            <w:shd w:val="clear" w:color="auto" w:fill="auto"/>
            <w:noWrap/>
            <w:vAlign w:val="center"/>
          </w:tcPr>
          <w:p w14:paraId="46D62456" w14:textId="77777777" w:rsidR="001D2E87" w:rsidRPr="00CE240B" w:rsidRDefault="001D2E87" w:rsidP="00CE240B">
            <w:pPr>
              <w:contextualSpacing/>
              <w:jc w:val="center"/>
              <w:rPr>
                <w:rFonts w:cs="Arial"/>
                <w:sz w:val="24"/>
              </w:rPr>
            </w:pPr>
            <w:r w:rsidRPr="00CE240B">
              <w:rPr>
                <w:rFonts w:cs="Arial"/>
                <w:sz w:val="24"/>
              </w:rPr>
              <w:t>1393</w:t>
            </w:r>
          </w:p>
        </w:tc>
        <w:tc>
          <w:tcPr>
            <w:tcW w:w="1231" w:type="dxa"/>
            <w:tcBorders>
              <w:top w:val="nil"/>
              <w:left w:val="nil"/>
              <w:bottom w:val="single" w:sz="4" w:space="0" w:color="auto"/>
              <w:right w:val="single" w:sz="4" w:space="0" w:color="auto"/>
            </w:tcBorders>
            <w:shd w:val="clear" w:color="auto" w:fill="auto"/>
            <w:noWrap/>
            <w:vAlign w:val="center"/>
          </w:tcPr>
          <w:p w14:paraId="203CD9C6" w14:textId="77777777" w:rsidR="001D2E87" w:rsidRPr="00CE240B" w:rsidRDefault="001D2E87" w:rsidP="00CE240B">
            <w:pPr>
              <w:contextualSpacing/>
              <w:jc w:val="center"/>
              <w:rPr>
                <w:rFonts w:cs="Arial"/>
                <w:sz w:val="24"/>
              </w:rPr>
            </w:pPr>
            <w:r w:rsidRPr="00CE240B">
              <w:rPr>
                <w:rFonts w:cs="Arial"/>
                <w:sz w:val="24"/>
              </w:rPr>
              <w:t>11,237</w:t>
            </w:r>
          </w:p>
        </w:tc>
        <w:tc>
          <w:tcPr>
            <w:tcW w:w="817" w:type="dxa"/>
            <w:tcBorders>
              <w:top w:val="nil"/>
              <w:left w:val="nil"/>
              <w:bottom w:val="single" w:sz="4" w:space="0" w:color="auto"/>
              <w:right w:val="single" w:sz="4" w:space="0" w:color="auto"/>
            </w:tcBorders>
            <w:shd w:val="clear" w:color="auto" w:fill="auto"/>
            <w:noWrap/>
            <w:vAlign w:val="center"/>
          </w:tcPr>
          <w:p w14:paraId="597B554C" w14:textId="77777777" w:rsidR="001D2E87" w:rsidRPr="00CE240B" w:rsidRDefault="001D2E87" w:rsidP="00CE240B">
            <w:pPr>
              <w:contextualSpacing/>
              <w:jc w:val="center"/>
              <w:rPr>
                <w:rFonts w:cs="Arial"/>
                <w:sz w:val="24"/>
              </w:rPr>
            </w:pPr>
            <w:r w:rsidRPr="00CE240B">
              <w:rPr>
                <w:rFonts w:cs="Arial"/>
                <w:color w:val="000000"/>
                <w:sz w:val="24"/>
              </w:rPr>
              <w:t>124</w:t>
            </w:r>
          </w:p>
        </w:tc>
      </w:tr>
    </w:tbl>
    <w:bookmarkEnd w:id="0"/>
    <w:p w14:paraId="49991088" w14:textId="7A966543" w:rsidR="001D2E87" w:rsidRPr="00CE240B" w:rsidRDefault="001D2E87" w:rsidP="00CE240B">
      <w:pPr>
        <w:contextualSpacing/>
        <w:jc w:val="center"/>
        <w:rPr>
          <w:rFonts w:cs="Arial"/>
          <w:sz w:val="24"/>
        </w:rPr>
      </w:pPr>
      <w:r>
        <w:t>Table 7</w:t>
      </w:r>
      <w:r w:rsidR="00F32B64">
        <w:t xml:space="preserve"> P</w:t>
      </w:r>
      <w:r w:rsidR="00F32B64" w:rsidRPr="00CE240B">
        <w:rPr>
          <w:rFonts w:cs="Arial"/>
          <w:sz w:val="24"/>
        </w:rPr>
        <w:t xml:space="preserve">rincipal </w:t>
      </w:r>
      <w:r w:rsidR="00F32B64">
        <w:rPr>
          <w:rFonts w:cs="Arial"/>
          <w:sz w:val="24"/>
        </w:rPr>
        <w:t>E</w:t>
      </w:r>
      <w:r w:rsidR="00F32B64" w:rsidRPr="00CE240B">
        <w:rPr>
          <w:rFonts w:cs="Arial"/>
          <w:sz w:val="24"/>
        </w:rPr>
        <w:t xml:space="preserve">lements of </w:t>
      </w:r>
      <w:r w:rsidR="00F32B64">
        <w:rPr>
          <w:rFonts w:cs="Arial"/>
          <w:sz w:val="24"/>
        </w:rPr>
        <w:t>E</w:t>
      </w:r>
      <w:r w:rsidR="00F32B64" w:rsidRPr="00CE240B">
        <w:rPr>
          <w:rFonts w:cs="Arial"/>
          <w:sz w:val="24"/>
        </w:rPr>
        <w:t>xpenditure</w:t>
      </w:r>
    </w:p>
    <w:p w14:paraId="015218DE" w14:textId="77777777" w:rsidR="00F32B64" w:rsidRDefault="00F32B64" w:rsidP="00CE240B">
      <w:pPr>
        <w:contextualSpacing/>
        <w:rPr>
          <w:rFonts w:cs="Arial"/>
          <w:b/>
          <w:sz w:val="24"/>
        </w:rPr>
      </w:pPr>
    </w:p>
    <w:p w14:paraId="1ED14298" w14:textId="76B7B971" w:rsidR="001D2E87" w:rsidRDefault="001D2E87" w:rsidP="00CE240B">
      <w:pPr>
        <w:contextualSpacing/>
        <w:rPr>
          <w:rFonts w:cs="Arial"/>
          <w:b/>
          <w:color w:val="0070C0"/>
          <w:sz w:val="24"/>
        </w:rPr>
      </w:pPr>
      <w:r w:rsidRPr="007E7D73">
        <w:rPr>
          <w:rFonts w:cs="Arial"/>
          <w:b/>
          <w:color w:val="0070C0"/>
          <w:sz w:val="24"/>
        </w:rPr>
        <w:t>3.5.5</w:t>
      </w:r>
      <w:r w:rsidRPr="007E7D73">
        <w:rPr>
          <w:rFonts w:cs="Arial"/>
          <w:b/>
          <w:color w:val="0070C0"/>
          <w:sz w:val="24"/>
        </w:rPr>
        <w:tab/>
        <w:t>Six Facet Survey and Backlog Maintenance</w:t>
      </w:r>
    </w:p>
    <w:p w14:paraId="70A7C4A6" w14:textId="77777777" w:rsidR="007E7D73" w:rsidRPr="007E7D73" w:rsidRDefault="007E7D73" w:rsidP="00CE240B">
      <w:pPr>
        <w:contextualSpacing/>
        <w:rPr>
          <w:rFonts w:cs="Arial"/>
          <w:b/>
          <w:color w:val="0070C0"/>
          <w:sz w:val="24"/>
        </w:rPr>
      </w:pPr>
    </w:p>
    <w:p w14:paraId="5CF49536" w14:textId="77777777" w:rsidR="001D2E87" w:rsidRDefault="001D2E87" w:rsidP="00CE240B">
      <w:pPr>
        <w:contextualSpacing/>
        <w:rPr>
          <w:rFonts w:cs="Arial"/>
          <w:sz w:val="24"/>
        </w:rPr>
      </w:pPr>
      <w:r w:rsidRPr="00CE240B">
        <w:rPr>
          <w:rFonts w:cs="Arial"/>
          <w:sz w:val="24"/>
        </w:rPr>
        <w:t xml:space="preserve">This section details the condition of the estate which has been assessed using the Department of </w:t>
      </w:r>
      <w:proofErr w:type="gramStart"/>
      <w:r w:rsidRPr="00CE240B">
        <w:rPr>
          <w:rFonts w:cs="Arial"/>
          <w:sz w:val="24"/>
        </w:rPr>
        <w:t>Healths  ‘</w:t>
      </w:r>
      <w:proofErr w:type="gramEnd"/>
      <w:r w:rsidRPr="00CE240B">
        <w:rPr>
          <w:rFonts w:cs="Arial"/>
          <w:sz w:val="24"/>
        </w:rPr>
        <w:t>Risk Based Methodology for Establishing and Managing Backlog’, to create a series of detailed six facet surveys.</w:t>
      </w:r>
    </w:p>
    <w:p w14:paraId="458F6941" w14:textId="77777777" w:rsidR="00730763" w:rsidRPr="00CE240B" w:rsidRDefault="00730763" w:rsidP="00CE240B">
      <w:pPr>
        <w:contextualSpacing/>
        <w:rPr>
          <w:rFonts w:cs="Arial"/>
          <w:sz w:val="24"/>
        </w:rPr>
      </w:pPr>
    </w:p>
    <w:p w14:paraId="2E0D2A36" w14:textId="77777777" w:rsidR="001D2E87" w:rsidRPr="00CE240B" w:rsidRDefault="001D2E87" w:rsidP="00CE240B">
      <w:pPr>
        <w:contextualSpacing/>
        <w:rPr>
          <w:rFonts w:cs="Arial"/>
          <w:sz w:val="24"/>
        </w:rPr>
      </w:pPr>
      <w:proofErr w:type="gramStart"/>
      <w:r w:rsidRPr="00CE240B">
        <w:rPr>
          <w:rFonts w:cs="Arial"/>
          <w:sz w:val="24"/>
        </w:rPr>
        <w:t>This  enables</w:t>
      </w:r>
      <w:proofErr w:type="gramEnd"/>
      <w:r w:rsidRPr="00CE240B">
        <w:rPr>
          <w:rFonts w:cs="Arial"/>
          <w:sz w:val="24"/>
        </w:rPr>
        <w:t xml:space="preserve"> an assessment of the Trusts current estate </w:t>
      </w:r>
      <w:proofErr w:type="gramStart"/>
      <w:r w:rsidRPr="00CE240B">
        <w:rPr>
          <w:rFonts w:cs="Arial"/>
          <w:sz w:val="24"/>
        </w:rPr>
        <w:t>with regard to</w:t>
      </w:r>
      <w:proofErr w:type="gramEnd"/>
      <w:r w:rsidRPr="00CE240B">
        <w:rPr>
          <w:rFonts w:cs="Arial"/>
          <w:sz w:val="24"/>
        </w:rPr>
        <w:t xml:space="preserve"> fitness for purpose in terms of use, condition and compliance. The six facets which are assessed and ranked </w:t>
      </w:r>
      <w:proofErr w:type="gramStart"/>
      <w:r w:rsidRPr="00CE240B">
        <w:rPr>
          <w:rFonts w:cs="Arial"/>
          <w:sz w:val="24"/>
        </w:rPr>
        <w:t>are:-</w:t>
      </w:r>
      <w:proofErr w:type="gramEnd"/>
    </w:p>
    <w:p w14:paraId="4A191B2E"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Physical Condition</w:t>
      </w:r>
    </w:p>
    <w:p w14:paraId="40348B14"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Fire, Health and Safety</w:t>
      </w:r>
    </w:p>
    <w:p w14:paraId="3AC8502A"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Quality</w:t>
      </w:r>
    </w:p>
    <w:p w14:paraId="31B82331"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Space Utilisation</w:t>
      </w:r>
    </w:p>
    <w:p w14:paraId="002AD0AB"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Functional Suitability</w:t>
      </w:r>
    </w:p>
    <w:p w14:paraId="0593D6A3" w14:textId="77777777" w:rsidR="001D2E87" w:rsidRPr="00CE240B" w:rsidRDefault="001D2E87" w:rsidP="002867BC">
      <w:pPr>
        <w:pStyle w:val="ListParagraph"/>
        <w:numPr>
          <w:ilvl w:val="0"/>
          <w:numId w:val="31"/>
        </w:numPr>
        <w:spacing w:before="120" w:after="120"/>
        <w:ind w:right="340"/>
        <w:jc w:val="both"/>
        <w:rPr>
          <w:rFonts w:cs="Arial"/>
          <w:sz w:val="24"/>
        </w:rPr>
      </w:pPr>
      <w:r w:rsidRPr="00CE240B">
        <w:rPr>
          <w:rFonts w:cs="Arial"/>
          <w:sz w:val="24"/>
        </w:rPr>
        <w:t>Environmental Planning</w:t>
      </w:r>
    </w:p>
    <w:p w14:paraId="139DECA2" w14:textId="0504EB55" w:rsidR="001D2E87" w:rsidRPr="00CE240B" w:rsidRDefault="001D2E87" w:rsidP="00CE240B">
      <w:pPr>
        <w:pStyle w:val="BlockText"/>
        <w:spacing w:line="240" w:lineRule="auto"/>
        <w:ind w:left="0"/>
        <w:contextualSpacing/>
        <w:rPr>
          <w:rFonts w:ascii="Arial" w:hAnsi="Arial" w:cs="Arial"/>
          <w:color w:val="auto"/>
        </w:rPr>
      </w:pPr>
      <w:r w:rsidRPr="00CE240B">
        <w:rPr>
          <w:rFonts w:ascii="Arial" w:hAnsi="Arial" w:cs="Arial"/>
          <w:color w:val="auto"/>
        </w:rPr>
        <w:t xml:space="preserve">Following site surveys and desk top reviews, the appropriate scores are made against each building for the various elements. </w:t>
      </w:r>
      <w:r w:rsidR="00730763">
        <w:rPr>
          <w:rFonts w:ascii="Arial" w:hAnsi="Arial" w:cs="Arial"/>
          <w:color w:val="auto"/>
        </w:rPr>
        <w:t xml:space="preserve"> </w:t>
      </w:r>
      <w:r w:rsidRPr="00CE240B">
        <w:rPr>
          <w:rFonts w:ascii="Arial" w:hAnsi="Arial" w:cs="Arial"/>
          <w:color w:val="auto"/>
        </w:rPr>
        <w:t>T</w:t>
      </w:r>
      <w:r w:rsidR="005B3C80">
        <w:rPr>
          <w:rFonts w:ascii="Arial" w:hAnsi="Arial" w:cs="Arial"/>
          <w:color w:val="auto"/>
        </w:rPr>
        <w:t xml:space="preserve">ables 8 – 19 below </w:t>
      </w:r>
      <w:r w:rsidRPr="00CE240B">
        <w:rPr>
          <w:rFonts w:ascii="Arial" w:hAnsi="Arial" w:cs="Arial"/>
          <w:color w:val="auto"/>
        </w:rPr>
        <w:t>detail the scores for each of the facets followed, showing the overall total followed by the main si</w:t>
      </w:r>
      <w:r w:rsidR="005B3C80">
        <w:rPr>
          <w:rFonts w:ascii="Arial" w:hAnsi="Arial" w:cs="Arial"/>
          <w:color w:val="auto"/>
        </w:rPr>
        <w:t>t</w:t>
      </w:r>
      <w:r w:rsidRPr="00CE240B">
        <w:rPr>
          <w:rFonts w:ascii="Arial" w:hAnsi="Arial" w:cs="Arial"/>
          <w:color w:val="auto"/>
        </w:rPr>
        <w:t xml:space="preserve">es and a summary of the smaller sites. This is followed by a summary of the key findings.  </w:t>
      </w:r>
    </w:p>
    <w:p w14:paraId="2C8BB44B" w14:textId="77777777" w:rsidR="001D2E87" w:rsidRDefault="001D2E87" w:rsidP="00CE240B">
      <w:pPr>
        <w:pStyle w:val="NoSpacing"/>
        <w:contextualSpacing/>
        <w:rPr>
          <w:rFonts w:ascii="Arial" w:hAnsi="Arial" w:cs="Arial"/>
        </w:rPr>
      </w:pPr>
    </w:p>
    <w:p w14:paraId="060E26EE" w14:textId="77777777" w:rsidR="007E7D73" w:rsidRDefault="007E7D73" w:rsidP="00CE240B">
      <w:pPr>
        <w:pStyle w:val="NoSpacing"/>
        <w:contextualSpacing/>
        <w:rPr>
          <w:rFonts w:ascii="Arial" w:hAnsi="Arial" w:cs="Arial"/>
        </w:rPr>
      </w:pPr>
    </w:p>
    <w:p w14:paraId="3008BD64" w14:textId="77777777" w:rsidR="007E7D73" w:rsidRDefault="007E7D73" w:rsidP="00CE240B">
      <w:pPr>
        <w:pStyle w:val="NoSpacing"/>
        <w:contextualSpacing/>
        <w:rPr>
          <w:rFonts w:ascii="Arial" w:hAnsi="Arial" w:cs="Arial"/>
        </w:rPr>
      </w:pPr>
    </w:p>
    <w:p w14:paraId="405708F4" w14:textId="77777777" w:rsidR="007E7D73" w:rsidRDefault="007E7D73" w:rsidP="00CE240B">
      <w:pPr>
        <w:pStyle w:val="NoSpacing"/>
        <w:contextualSpacing/>
        <w:rPr>
          <w:rFonts w:ascii="Arial" w:hAnsi="Arial" w:cs="Arial"/>
        </w:rPr>
      </w:pPr>
    </w:p>
    <w:p w14:paraId="0DC4591A" w14:textId="77777777" w:rsidR="007E7D73" w:rsidRPr="00CE240B" w:rsidRDefault="007E7D73" w:rsidP="00CE240B">
      <w:pPr>
        <w:pStyle w:val="NoSpacing"/>
        <w:contextualSpacing/>
        <w:rPr>
          <w:rFonts w:ascii="Arial" w:hAnsi="Arial" w:cs="Arial"/>
        </w:rPr>
      </w:pPr>
    </w:p>
    <w:tbl>
      <w:tblPr>
        <w:tblW w:w="9311" w:type="dxa"/>
        <w:tblInd w:w="123" w:type="dxa"/>
        <w:tblLook w:val="04A0" w:firstRow="1" w:lastRow="0" w:firstColumn="1" w:lastColumn="0" w:noHBand="0" w:noVBand="1"/>
      </w:tblPr>
      <w:tblGrid>
        <w:gridCol w:w="2946"/>
        <w:gridCol w:w="1432"/>
        <w:gridCol w:w="1591"/>
        <w:gridCol w:w="1750"/>
        <w:gridCol w:w="1592"/>
      </w:tblGrid>
      <w:tr w:rsidR="001D2E87" w:rsidRPr="00CE240B" w14:paraId="6BB42BEE" w14:textId="77777777" w:rsidTr="00A2260C">
        <w:trPr>
          <w:trHeight w:val="302"/>
        </w:trPr>
        <w:tc>
          <w:tcPr>
            <w:tcW w:w="9303" w:type="dxa"/>
            <w:gridSpan w:val="5"/>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6905FB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ALL SITES</w:t>
            </w:r>
          </w:p>
        </w:tc>
      </w:tr>
      <w:tr w:rsidR="001D2E87" w:rsidRPr="00CE240B" w14:paraId="24EC984E" w14:textId="77777777" w:rsidTr="00A2260C">
        <w:trPr>
          <w:trHeight w:val="309"/>
        </w:trPr>
        <w:tc>
          <w:tcPr>
            <w:tcW w:w="29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6401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35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CD650F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6A98ABBB" w14:textId="77777777" w:rsidTr="00A2260C">
        <w:trPr>
          <w:trHeight w:val="309"/>
        </w:trPr>
        <w:tc>
          <w:tcPr>
            <w:tcW w:w="2946" w:type="dxa"/>
            <w:vMerge/>
            <w:tcBorders>
              <w:top w:val="single" w:sz="4" w:space="0" w:color="auto"/>
              <w:left w:val="single" w:sz="4" w:space="0" w:color="auto"/>
              <w:bottom w:val="single" w:sz="4" w:space="0" w:color="auto"/>
              <w:right w:val="single" w:sz="4" w:space="0" w:color="auto"/>
            </w:tcBorders>
            <w:vAlign w:val="center"/>
            <w:hideMark/>
          </w:tcPr>
          <w:p w14:paraId="239B9EE3" w14:textId="77777777" w:rsidR="001D2E87" w:rsidRPr="00CE240B" w:rsidRDefault="001D2E87" w:rsidP="00CE240B">
            <w:pPr>
              <w:contextualSpacing/>
              <w:rPr>
                <w:rFonts w:cs="Arial"/>
                <w:b/>
                <w:bCs/>
                <w:color w:val="000000"/>
                <w:sz w:val="24"/>
              </w:rPr>
            </w:pP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242B26E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68168B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D9A9EF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3FD1B1A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11345EA1"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105E3"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084BD75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7.5</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6090100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81.5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1C3889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10.7</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155C4E4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0.3</w:t>
            </w:r>
          </w:p>
        </w:tc>
      </w:tr>
      <w:tr w:rsidR="001D2E87" w:rsidRPr="00CE240B" w14:paraId="5C5CB196"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EEFA0"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ADB9C4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5.9</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60615E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83.2</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82D97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10.9</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70DCA96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FD1A2DB"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5A321"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820087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25.5</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FF0E72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63.7</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7E00ED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10.8</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09A73CB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8B73392"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18BFD"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144606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23</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733DE3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75.5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BE0825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1.5</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3EF499A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26C9A04"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423FB5" w14:textId="77777777" w:rsidR="001D2E87" w:rsidRPr="00CE240B" w:rsidRDefault="001D2E87" w:rsidP="00CE240B">
            <w:pPr>
              <w:contextualSpacing/>
              <w:rPr>
                <w:rFonts w:cs="Arial"/>
                <w:b/>
                <w:bCs/>
                <w:color w:val="000000"/>
                <w:sz w:val="24"/>
              </w:rPr>
            </w:pPr>
            <w:r w:rsidRPr="00CE240B">
              <w:rPr>
                <w:rFonts w:cs="Arial"/>
                <w:b/>
                <w:bCs/>
                <w:color w:val="000000"/>
                <w:sz w:val="24"/>
              </w:rPr>
              <w:lastRenderedPageBreak/>
              <w:t>Environmental management</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0392CA2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16264B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60.5</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6BE371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36.6</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6A5538B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2.7</w:t>
            </w:r>
          </w:p>
        </w:tc>
      </w:tr>
      <w:tr w:rsidR="001D2E87" w:rsidRPr="00CE240B" w14:paraId="357E959D"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D82BC"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4D6D6D1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9FF02D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71DCD9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5D6637F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74B5FE16" w14:textId="77777777" w:rsidTr="00A2260C">
        <w:trPr>
          <w:trHeight w:val="309"/>
        </w:trPr>
        <w:tc>
          <w:tcPr>
            <w:tcW w:w="2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E846C"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59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7D6AFBA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85.8</w:t>
            </w:r>
          </w:p>
        </w:tc>
        <w:tc>
          <w:tcPr>
            <w:tcW w:w="159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C44F60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9.4</w:t>
            </w:r>
          </w:p>
        </w:tc>
        <w:tc>
          <w:tcPr>
            <w:tcW w:w="1591"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9F6BF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0.8</w:t>
            </w:r>
          </w:p>
        </w:tc>
        <w:tc>
          <w:tcPr>
            <w:tcW w:w="1592" w:type="dxa"/>
            <w:tcBorders>
              <w:top w:val="nil"/>
              <w:left w:val="single" w:sz="4" w:space="0" w:color="auto"/>
              <w:bottom w:val="single" w:sz="8" w:space="0" w:color="auto"/>
              <w:right w:val="single" w:sz="8" w:space="0" w:color="auto"/>
            </w:tcBorders>
            <w:shd w:val="clear" w:color="000000" w:fill="FF0000"/>
            <w:vAlign w:val="center"/>
            <w:hideMark/>
          </w:tcPr>
          <w:p w14:paraId="1AFCF0F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4.1</w:t>
            </w:r>
          </w:p>
        </w:tc>
      </w:tr>
    </w:tbl>
    <w:p w14:paraId="5BDAC389" w14:textId="0CEA1E77" w:rsidR="001D2E87" w:rsidRDefault="00730763" w:rsidP="00730763">
      <w:pPr>
        <w:contextualSpacing/>
        <w:jc w:val="center"/>
        <w:rPr>
          <w:rFonts w:cs="Arial"/>
          <w:sz w:val="24"/>
        </w:rPr>
      </w:pPr>
      <w:r>
        <w:rPr>
          <w:rFonts w:cs="Arial"/>
          <w:sz w:val="24"/>
        </w:rPr>
        <w:t>Table 8</w:t>
      </w:r>
      <w:r w:rsidR="005B3C80">
        <w:rPr>
          <w:rFonts w:cs="Arial"/>
          <w:sz w:val="24"/>
        </w:rPr>
        <w:t xml:space="preserve"> Facet Surveys</w:t>
      </w:r>
    </w:p>
    <w:p w14:paraId="2214FD3A" w14:textId="77777777" w:rsidR="00730763" w:rsidRDefault="00730763" w:rsidP="00CE240B">
      <w:pPr>
        <w:contextualSpacing/>
        <w:rPr>
          <w:rFonts w:cs="Arial"/>
          <w:sz w:val="24"/>
        </w:rPr>
      </w:pPr>
    </w:p>
    <w:p w14:paraId="27D6CDEC" w14:textId="77777777" w:rsidR="00730763" w:rsidRDefault="00730763" w:rsidP="00CE240B">
      <w:pPr>
        <w:contextualSpacing/>
        <w:rPr>
          <w:rFonts w:cs="Arial"/>
          <w:sz w:val="24"/>
        </w:rPr>
      </w:pPr>
    </w:p>
    <w:tbl>
      <w:tblPr>
        <w:tblW w:w="9347" w:type="dxa"/>
        <w:tblInd w:w="123" w:type="dxa"/>
        <w:tblLook w:val="04A0" w:firstRow="1" w:lastRow="0" w:firstColumn="1" w:lastColumn="0" w:noHBand="0" w:noVBand="1"/>
      </w:tblPr>
      <w:tblGrid>
        <w:gridCol w:w="2850"/>
        <w:gridCol w:w="1496"/>
        <w:gridCol w:w="1623"/>
        <w:gridCol w:w="1750"/>
        <w:gridCol w:w="1628"/>
      </w:tblGrid>
      <w:tr w:rsidR="001D2E87" w:rsidRPr="00CE240B" w14:paraId="08A6A75F" w14:textId="77777777" w:rsidTr="00A2260C">
        <w:trPr>
          <w:trHeight w:val="303"/>
        </w:trPr>
        <w:tc>
          <w:tcPr>
            <w:tcW w:w="9347"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728C3A5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NORTHGATE HOSPITAL (POST – MSU DEVELOPMENT)</w:t>
            </w:r>
          </w:p>
        </w:tc>
      </w:tr>
      <w:tr w:rsidR="001D2E87" w:rsidRPr="00CE240B" w14:paraId="17CF0D70" w14:textId="77777777" w:rsidTr="007E7D73">
        <w:trPr>
          <w:trHeight w:val="288"/>
        </w:trPr>
        <w:tc>
          <w:tcPr>
            <w:tcW w:w="2850" w:type="dxa"/>
            <w:vMerge w:val="restart"/>
            <w:tcBorders>
              <w:top w:val="nil"/>
              <w:left w:val="single" w:sz="8" w:space="0" w:color="auto"/>
              <w:bottom w:val="single" w:sz="8" w:space="0" w:color="000000"/>
              <w:right w:val="single" w:sz="8" w:space="0" w:color="auto"/>
            </w:tcBorders>
            <w:shd w:val="clear" w:color="auto" w:fill="auto"/>
            <w:vAlign w:val="center"/>
            <w:hideMark/>
          </w:tcPr>
          <w:p w14:paraId="7C6FAEE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97" w:type="dxa"/>
            <w:gridSpan w:val="4"/>
            <w:tcBorders>
              <w:top w:val="nil"/>
              <w:left w:val="nil"/>
              <w:bottom w:val="single" w:sz="8" w:space="0" w:color="auto"/>
              <w:right w:val="single" w:sz="8" w:space="0" w:color="000000"/>
            </w:tcBorders>
            <w:shd w:val="clear" w:color="auto" w:fill="auto"/>
            <w:vAlign w:val="center"/>
            <w:hideMark/>
          </w:tcPr>
          <w:p w14:paraId="63964B2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33C8CBF7" w14:textId="77777777" w:rsidTr="007E7D73">
        <w:trPr>
          <w:trHeight w:val="288"/>
        </w:trPr>
        <w:tc>
          <w:tcPr>
            <w:tcW w:w="2850" w:type="dxa"/>
            <w:vMerge/>
            <w:tcBorders>
              <w:top w:val="nil"/>
              <w:left w:val="single" w:sz="8" w:space="0" w:color="auto"/>
              <w:bottom w:val="single" w:sz="8" w:space="0" w:color="000000"/>
              <w:right w:val="single" w:sz="8" w:space="0" w:color="auto"/>
            </w:tcBorders>
            <w:vAlign w:val="center"/>
            <w:hideMark/>
          </w:tcPr>
          <w:p w14:paraId="7D434079" w14:textId="77777777" w:rsidR="001D2E87" w:rsidRPr="00CE240B" w:rsidRDefault="001D2E87" w:rsidP="00CE240B">
            <w:pPr>
              <w:contextualSpacing/>
              <w:rPr>
                <w:rFonts w:cs="Arial"/>
                <w:b/>
                <w:bCs/>
                <w:color w:val="000000"/>
                <w:sz w:val="24"/>
              </w:rPr>
            </w:pPr>
          </w:p>
        </w:tc>
        <w:tc>
          <w:tcPr>
            <w:tcW w:w="1496" w:type="dxa"/>
            <w:tcBorders>
              <w:top w:val="nil"/>
              <w:left w:val="nil"/>
              <w:bottom w:val="single" w:sz="8" w:space="0" w:color="auto"/>
              <w:right w:val="single" w:sz="8" w:space="0" w:color="auto"/>
            </w:tcBorders>
            <w:shd w:val="clear" w:color="000000" w:fill="92D050"/>
            <w:vAlign w:val="center"/>
            <w:hideMark/>
          </w:tcPr>
          <w:p w14:paraId="180D6A6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23" w:type="dxa"/>
            <w:tcBorders>
              <w:top w:val="nil"/>
              <w:left w:val="nil"/>
              <w:bottom w:val="single" w:sz="8" w:space="0" w:color="auto"/>
              <w:right w:val="single" w:sz="8" w:space="0" w:color="auto"/>
            </w:tcBorders>
            <w:shd w:val="clear" w:color="000000" w:fill="FFFF00"/>
            <w:vAlign w:val="center"/>
            <w:hideMark/>
          </w:tcPr>
          <w:p w14:paraId="55B7C26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750" w:type="dxa"/>
            <w:tcBorders>
              <w:top w:val="nil"/>
              <w:left w:val="nil"/>
              <w:bottom w:val="single" w:sz="8" w:space="0" w:color="auto"/>
              <w:right w:val="single" w:sz="8" w:space="0" w:color="auto"/>
            </w:tcBorders>
            <w:shd w:val="clear" w:color="000000" w:fill="FFC000"/>
            <w:vAlign w:val="center"/>
            <w:hideMark/>
          </w:tcPr>
          <w:p w14:paraId="05AA43E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28" w:type="dxa"/>
            <w:tcBorders>
              <w:top w:val="nil"/>
              <w:left w:val="nil"/>
              <w:bottom w:val="single" w:sz="8" w:space="0" w:color="auto"/>
              <w:right w:val="single" w:sz="8" w:space="0" w:color="auto"/>
            </w:tcBorders>
            <w:shd w:val="clear" w:color="000000" w:fill="FF0000"/>
            <w:vAlign w:val="center"/>
            <w:hideMark/>
          </w:tcPr>
          <w:p w14:paraId="6FFC0E9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125E099F"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39458831"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496" w:type="dxa"/>
            <w:tcBorders>
              <w:top w:val="nil"/>
              <w:left w:val="nil"/>
              <w:bottom w:val="single" w:sz="8" w:space="0" w:color="auto"/>
              <w:right w:val="single" w:sz="8" w:space="0" w:color="auto"/>
            </w:tcBorders>
            <w:shd w:val="clear" w:color="000000" w:fill="92D050"/>
            <w:vAlign w:val="center"/>
            <w:hideMark/>
          </w:tcPr>
          <w:p w14:paraId="3B8681E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64.4</w:t>
            </w:r>
          </w:p>
        </w:tc>
        <w:tc>
          <w:tcPr>
            <w:tcW w:w="1623" w:type="dxa"/>
            <w:tcBorders>
              <w:top w:val="nil"/>
              <w:left w:val="nil"/>
              <w:bottom w:val="single" w:sz="8" w:space="0" w:color="auto"/>
              <w:right w:val="single" w:sz="8" w:space="0" w:color="auto"/>
            </w:tcBorders>
            <w:shd w:val="clear" w:color="000000" w:fill="FFFF00"/>
            <w:vAlign w:val="center"/>
            <w:hideMark/>
          </w:tcPr>
          <w:p w14:paraId="3231C33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35.4</w:t>
            </w:r>
          </w:p>
        </w:tc>
        <w:tc>
          <w:tcPr>
            <w:tcW w:w="1750" w:type="dxa"/>
            <w:tcBorders>
              <w:top w:val="nil"/>
              <w:left w:val="nil"/>
              <w:bottom w:val="single" w:sz="8" w:space="0" w:color="auto"/>
              <w:right w:val="single" w:sz="8" w:space="0" w:color="auto"/>
            </w:tcBorders>
            <w:shd w:val="clear" w:color="000000" w:fill="FFC000"/>
            <w:vAlign w:val="center"/>
            <w:hideMark/>
          </w:tcPr>
          <w:p w14:paraId="3A1C234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8" w:type="dxa"/>
            <w:tcBorders>
              <w:top w:val="nil"/>
              <w:left w:val="nil"/>
              <w:bottom w:val="single" w:sz="8" w:space="0" w:color="auto"/>
              <w:right w:val="single" w:sz="8" w:space="0" w:color="auto"/>
            </w:tcBorders>
            <w:shd w:val="clear" w:color="000000" w:fill="FF0000"/>
            <w:vAlign w:val="center"/>
            <w:hideMark/>
          </w:tcPr>
          <w:p w14:paraId="64830B8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3C02E0B"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3CA3C87E"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496" w:type="dxa"/>
            <w:tcBorders>
              <w:top w:val="nil"/>
              <w:left w:val="nil"/>
              <w:bottom w:val="single" w:sz="8" w:space="0" w:color="auto"/>
              <w:right w:val="single" w:sz="8" w:space="0" w:color="auto"/>
            </w:tcBorders>
            <w:shd w:val="clear" w:color="000000" w:fill="92D050"/>
            <w:vAlign w:val="center"/>
            <w:hideMark/>
          </w:tcPr>
          <w:p w14:paraId="724F584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43.8</w:t>
            </w:r>
          </w:p>
        </w:tc>
        <w:tc>
          <w:tcPr>
            <w:tcW w:w="1623" w:type="dxa"/>
            <w:tcBorders>
              <w:top w:val="nil"/>
              <w:left w:val="nil"/>
              <w:bottom w:val="single" w:sz="8" w:space="0" w:color="auto"/>
              <w:right w:val="single" w:sz="8" w:space="0" w:color="auto"/>
            </w:tcBorders>
            <w:shd w:val="clear" w:color="000000" w:fill="FFFF00"/>
            <w:vAlign w:val="center"/>
            <w:hideMark/>
          </w:tcPr>
          <w:p w14:paraId="68FB433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50.1</w:t>
            </w:r>
          </w:p>
        </w:tc>
        <w:tc>
          <w:tcPr>
            <w:tcW w:w="1750" w:type="dxa"/>
            <w:tcBorders>
              <w:top w:val="nil"/>
              <w:left w:val="nil"/>
              <w:bottom w:val="single" w:sz="8" w:space="0" w:color="auto"/>
              <w:right w:val="single" w:sz="8" w:space="0" w:color="auto"/>
            </w:tcBorders>
            <w:shd w:val="clear" w:color="000000" w:fill="FFC000"/>
            <w:vAlign w:val="center"/>
            <w:hideMark/>
          </w:tcPr>
          <w:p w14:paraId="0A4F36B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6.1</w:t>
            </w:r>
          </w:p>
        </w:tc>
        <w:tc>
          <w:tcPr>
            <w:tcW w:w="1628" w:type="dxa"/>
            <w:tcBorders>
              <w:top w:val="nil"/>
              <w:left w:val="nil"/>
              <w:bottom w:val="single" w:sz="8" w:space="0" w:color="auto"/>
              <w:right w:val="single" w:sz="8" w:space="0" w:color="auto"/>
            </w:tcBorders>
            <w:shd w:val="clear" w:color="000000" w:fill="FF0000"/>
            <w:vAlign w:val="center"/>
            <w:hideMark/>
          </w:tcPr>
          <w:p w14:paraId="1BF366E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40C9319"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5EB352AE"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496" w:type="dxa"/>
            <w:tcBorders>
              <w:top w:val="nil"/>
              <w:left w:val="nil"/>
              <w:bottom w:val="single" w:sz="8" w:space="0" w:color="auto"/>
              <w:right w:val="single" w:sz="8" w:space="0" w:color="auto"/>
            </w:tcBorders>
            <w:shd w:val="clear" w:color="000000" w:fill="92D050"/>
            <w:vAlign w:val="center"/>
            <w:hideMark/>
          </w:tcPr>
          <w:p w14:paraId="2077D2A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56.4</w:t>
            </w:r>
          </w:p>
        </w:tc>
        <w:tc>
          <w:tcPr>
            <w:tcW w:w="1623" w:type="dxa"/>
            <w:tcBorders>
              <w:top w:val="nil"/>
              <w:left w:val="nil"/>
              <w:bottom w:val="single" w:sz="8" w:space="0" w:color="auto"/>
              <w:right w:val="single" w:sz="8" w:space="0" w:color="auto"/>
            </w:tcBorders>
            <w:shd w:val="clear" w:color="000000" w:fill="FFFF00"/>
            <w:vAlign w:val="center"/>
            <w:hideMark/>
          </w:tcPr>
          <w:p w14:paraId="2FD80FC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43.6</w:t>
            </w:r>
          </w:p>
        </w:tc>
        <w:tc>
          <w:tcPr>
            <w:tcW w:w="1750" w:type="dxa"/>
            <w:tcBorders>
              <w:top w:val="nil"/>
              <w:left w:val="nil"/>
              <w:bottom w:val="single" w:sz="8" w:space="0" w:color="auto"/>
              <w:right w:val="single" w:sz="8" w:space="0" w:color="auto"/>
            </w:tcBorders>
            <w:shd w:val="clear" w:color="000000" w:fill="FFC000"/>
            <w:vAlign w:val="center"/>
            <w:hideMark/>
          </w:tcPr>
          <w:p w14:paraId="0EE316D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8" w:type="dxa"/>
            <w:tcBorders>
              <w:top w:val="nil"/>
              <w:left w:val="nil"/>
              <w:bottom w:val="single" w:sz="8" w:space="0" w:color="auto"/>
              <w:right w:val="single" w:sz="8" w:space="0" w:color="auto"/>
            </w:tcBorders>
            <w:shd w:val="clear" w:color="000000" w:fill="FF0000"/>
            <w:vAlign w:val="center"/>
            <w:hideMark/>
          </w:tcPr>
          <w:p w14:paraId="38F0417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ED80AE6"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2174259D"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496" w:type="dxa"/>
            <w:tcBorders>
              <w:top w:val="nil"/>
              <w:left w:val="nil"/>
              <w:bottom w:val="single" w:sz="8" w:space="0" w:color="auto"/>
              <w:right w:val="single" w:sz="8" w:space="0" w:color="auto"/>
            </w:tcBorders>
            <w:shd w:val="clear" w:color="000000" w:fill="92D050"/>
            <w:vAlign w:val="center"/>
            <w:hideMark/>
          </w:tcPr>
          <w:p w14:paraId="7FD3B1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33.3</w:t>
            </w:r>
          </w:p>
        </w:tc>
        <w:tc>
          <w:tcPr>
            <w:tcW w:w="1623" w:type="dxa"/>
            <w:tcBorders>
              <w:top w:val="nil"/>
              <w:left w:val="nil"/>
              <w:bottom w:val="single" w:sz="8" w:space="0" w:color="auto"/>
              <w:right w:val="single" w:sz="8" w:space="0" w:color="auto"/>
            </w:tcBorders>
            <w:shd w:val="clear" w:color="000000" w:fill="FFFF00"/>
            <w:vAlign w:val="center"/>
            <w:hideMark/>
          </w:tcPr>
          <w:p w14:paraId="774D87E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66.7</w:t>
            </w:r>
          </w:p>
        </w:tc>
        <w:tc>
          <w:tcPr>
            <w:tcW w:w="1750" w:type="dxa"/>
            <w:tcBorders>
              <w:top w:val="nil"/>
              <w:left w:val="nil"/>
              <w:bottom w:val="single" w:sz="8" w:space="0" w:color="auto"/>
              <w:right w:val="single" w:sz="8" w:space="0" w:color="auto"/>
            </w:tcBorders>
            <w:shd w:val="clear" w:color="000000" w:fill="FFC000"/>
            <w:vAlign w:val="center"/>
            <w:hideMark/>
          </w:tcPr>
          <w:p w14:paraId="7464052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8" w:type="dxa"/>
            <w:tcBorders>
              <w:top w:val="nil"/>
              <w:left w:val="nil"/>
              <w:bottom w:val="single" w:sz="8" w:space="0" w:color="auto"/>
              <w:right w:val="single" w:sz="8" w:space="0" w:color="auto"/>
            </w:tcBorders>
            <w:shd w:val="clear" w:color="000000" w:fill="FF0000"/>
            <w:vAlign w:val="center"/>
            <w:hideMark/>
          </w:tcPr>
          <w:p w14:paraId="3C25BD3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7F6E59A"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1126C3F8"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496" w:type="dxa"/>
            <w:tcBorders>
              <w:top w:val="nil"/>
              <w:left w:val="nil"/>
              <w:bottom w:val="single" w:sz="8" w:space="0" w:color="auto"/>
              <w:right w:val="single" w:sz="8" w:space="0" w:color="auto"/>
            </w:tcBorders>
            <w:shd w:val="clear" w:color="000000" w:fill="92D050"/>
            <w:vAlign w:val="center"/>
            <w:hideMark/>
          </w:tcPr>
          <w:p w14:paraId="1738AD3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3" w:type="dxa"/>
            <w:tcBorders>
              <w:top w:val="nil"/>
              <w:left w:val="nil"/>
              <w:bottom w:val="single" w:sz="8" w:space="0" w:color="auto"/>
              <w:right w:val="single" w:sz="8" w:space="0" w:color="auto"/>
            </w:tcBorders>
            <w:shd w:val="clear" w:color="000000" w:fill="FFFF00"/>
            <w:vAlign w:val="center"/>
            <w:hideMark/>
          </w:tcPr>
          <w:p w14:paraId="745A636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77.5</w:t>
            </w:r>
          </w:p>
        </w:tc>
        <w:tc>
          <w:tcPr>
            <w:tcW w:w="1750" w:type="dxa"/>
            <w:tcBorders>
              <w:top w:val="nil"/>
              <w:left w:val="nil"/>
              <w:bottom w:val="single" w:sz="8" w:space="0" w:color="auto"/>
              <w:right w:val="single" w:sz="8" w:space="0" w:color="auto"/>
            </w:tcBorders>
            <w:shd w:val="clear" w:color="000000" w:fill="FFC000"/>
            <w:vAlign w:val="center"/>
            <w:hideMark/>
          </w:tcPr>
          <w:p w14:paraId="4AA3943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22.5</w:t>
            </w:r>
          </w:p>
        </w:tc>
        <w:tc>
          <w:tcPr>
            <w:tcW w:w="1628" w:type="dxa"/>
            <w:tcBorders>
              <w:top w:val="nil"/>
              <w:left w:val="nil"/>
              <w:bottom w:val="single" w:sz="8" w:space="0" w:color="auto"/>
              <w:right w:val="single" w:sz="8" w:space="0" w:color="auto"/>
            </w:tcBorders>
            <w:shd w:val="clear" w:color="000000" w:fill="FF0000"/>
            <w:vAlign w:val="center"/>
            <w:hideMark/>
          </w:tcPr>
          <w:p w14:paraId="007A1EA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A844280"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05D3253C"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496" w:type="dxa"/>
            <w:tcBorders>
              <w:top w:val="nil"/>
              <w:left w:val="nil"/>
              <w:bottom w:val="single" w:sz="8" w:space="0" w:color="auto"/>
              <w:right w:val="single" w:sz="8" w:space="0" w:color="auto"/>
            </w:tcBorders>
            <w:shd w:val="clear" w:color="000000" w:fill="92D050"/>
            <w:vAlign w:val="center"/>
            <w:hideMark/>
          </w:tcPr>
          <w:p w14:paraId="1048170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23" w:type="dxa"/>
            <w:tcBorders>
              <w:top w:val="nil"/>
              <w:left w:val="nil"/>
              <w:bottom w:val="single" w:sz="8" w:space="0" w:color="auto"/>
              <w:right w:val="single" w:sz="8" w:space="0" w:color="auto"/>
            </w:tcBorders>
            <w:shd w:val="clear" w:color="000000" w:fill="FFFF00"/>
            <w:vAlign w:val="center"/>
            <w:hideMark/>
          </w:tcPr>
          <w:p w14:paraId="38A87C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750" w:type="dxa"/>
            <w:tcBorders>
              <w:top w:val="nil"/>
              <w:left w:val="nil"/>
              <w:bottom w:val="single" w:sz="8" w:space="0" w:color="auto"/>
              <w:right w:val="single" w:sz="8" w:space="0" w:color="auto"/>
            </w:tcBorders>
            <w:shd w:val="clear" w:color="000000" w:fill="FFC000"/>
            <w:vAlign w:val="center"/>
            <w:hideMark/>
          </w:tcPr>
          <w:p w14:paraId="32BD183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28" w:type="dxa"/>
            <w:tcBorders>
              <w:top w:val="nil"/>
              <w:left w:val="nil"/>
              <w:bottom w:val="single" w:sz="8" w:space="0" w:color="auto"/>
              <w:right w:val="single" w:sz="8" w:space="0" w:color="auto"/>
            </w:tcBorders>
            <w:shd w:val="clear" w:color="000000" w:fill="FF0000"/>
            <w:vAlign w:val="center"/>
            <w:hideMark/>
          </w:tcPr>
          <w:p w14:paraId="1B57988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6E3BA4A0" w14:textId="77777777" w:rsidTr="007E7D73">
        <w:trPr>
          <w:trHeight w:val="288"/>
        </w:trPr>
        <w:tc>
          <w:tcPr>
            <w:tcW w:w="2850" w:type="dxa"/>
            <w:tcBorders>
              <w:top w:val="nil"/>
              <w:left w:val="single" w:sz="12" w:space="0" w:color="auto"/>
              <w:bottom w:val="single" w:sz="8" w:space="0" w:color="auto"/>
              <w:right w:val="single" w:sz="8" w:space="0" w:color="auto"/>
            </w:tcBorders>
            <w:shd w:val="clear" w:color="auto" w:fill="auto"/>
            <w:vAlign w:val="center"/>
            <w:hideMark/>
          </w:tcPr>
          <w:p w14:paraId="0EF7E3D9"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496" w:type="dxa"/>
            <w:tcBorders>
              <w:top w:val="nil"/>
              <w:left w:val="nil"/>
              <w:bottom w:val="single" w:sz="8" w:space="0" w:color="auto"/>
              <w:right w:val="single" w:sz="8" w:space="0" w:color="auto"/>
            </w:tcBorders>
            <w:shd w:val="clear" w:color="000000" w:fill="92D050"/>
            <w:vAlign w:val="center"/>
            <w:hideMark/>
          </w:tcPr>
          <w:p w14:paraId="56ECA9E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90.7</w:t>
            </w:r>
          </w:p>
        </w:tc>
        <w:tc>
          <w:tcPr>
            <w:tcW w:w="1623" w:type="dxa"/>
            <w:tcBorders>
              <w:top w:val="nil"/>
              <w:left w:val="nil"/>
              <w:bottom w:val="single" w:sz="8" w:space="0" w:color="auto"/>
              <w:right w:val="single" w:sz="8" w:space="0" w:color="auto"/>
            </w:tcBorders>
            <w:shd w:val="clear" w:color="000000" w:fill="FFFF00"/>
            <w:vAlign w:val="center"/>
            <w:hideMark/>
          </w:tcPr>
          <w:p w14:paraId="503F44A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5.2</w:t>
            </w:r>
          </w:p>
        </w:tc>
        <w:tc>
          <w:tcPr>
            <w:tcW w:w="1750" w:type="dxa"/>
            <w:tcBorders>
              <w:top w:val="nil"/>
              <w:left w:val="nil"/>
              <w:bottom w:val="single" w:sz="8" w:space="0" w:color="auto"/>
              <w:right w:val="single" w:sz="8" w:space="0" w:color="auto"/>
            </w:tcBorders>
            <w:shd w:val="clear" w:color="000000" w:fill="FFC000"/>
            <w:vAlign w:val="center"/>
            <w:hideMark/>
          </w:tcPr>
          <w:p w14:paraId="263ABCC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8" w:type="dxa"/>
            <w:tcBorders>
              <w:top w:val="nil"/>
              <w:left w:val="nil"/>
              <w:bottom w:val="single" w:sz="8" w:space="0" w:color="auto"/>
              <w:right w:val="single" w:sz="8" w:space="0" w:color="auto"/>
            </w:tcBorders>
            <w:shd w:val="clear" w:color="000000" w:fill="FF0000"/>
            <w:vAlign w:val="center"/>
            <w:hideMark/>
          </w:tcPr>
          <w:p w14:paraId="3668D18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4.1</w:t>
            </w:r>
          </w:p>
        </w:tc>
      </w:tr>
    </w:tbl>
    <w:p w14:paraId="012773E2" w14:textId="46F2D8B8" w:rsidR="001D2E87" w:rsidRPr="005B3C80" w:rsidRDefault="00730763" w:rsidP="00730763">
      <w:pPr>
        <w:contextualSpacing/>
        <w:jc w:val="center"/>
        <w:rPr>
          <w:rFonts w:cs="Arial"/>
          <w:bCs/>
          <w:sz w:val="24"/>
        </w:rPr>
      </w:pPr>
      <w:r w:rsidRPr="005B3C80">
        <w:rPr>
          <w:rFonts w:cs="Arial"/>
          <w:bCs/>
          <w:sz w:val="24"/>
        </w:rPr>
        <w:t>Table 9</w:t>
      </w:r>
      <w:r w:rsidR="005B3C80">
        <w:rPr>
          <w:rFonts w:cs="Arial"/>
          <w:bCs/>
          <w:sz w:val="24"/>
        </w:rPr>
        <w:t xml:space="preserve"> Facet Surveys</w:t>
      </w:r>
    </w:p>
    <w:p w14:paraId="61954BFD" w14:textId="77777777" w:rsidR="001D2E87" w:rsidRPr="00CE240B" w:rsidRDefault="001D2E87" w:rsidP="00CE240B">
      <w:pPr>
        <w:contextualSpacing/>
        <w:rPr>
          <w:rFonts w:cs="Arial"/>
          <w:b/>
          <w:sz w:val="24"/>
        </w:rPr>
      </w:pPr>
    </w:p>
    <w:tbl>
      <w:tblPr>
        <w:tblW w:w="9381" w:type="dxa"/>
        <w:tblInd w:w="123" w:type="dxa"/>
        <w:tblLook w:val="04A0" w:firstRow="1" w:lastRow="0" w:firstColumn="1" w:lastColumn="0" w:noHBand="0" w:noVBand="1"/>
      </w:tblPr>
      <w:tblGrid>
        <w:gridCol w:w="2795"/>
        <w:gridCol w:w="1542"/>
        <w:gridCol w:w="1647"/>
        <w:gridCol w:w="1750"/>
        <w:gridCol w:w="1647"/>
      </w:tblGrid>
      <w:tr w:rsidR="001D2E87" w:rsidRPr="00CE240B" w14:paraId="52B2EAE9" w14:textId="77777777" w:rsidTr="00A2260C">
        <w:trPr>
          <w:trHeight w:val="325"/>
        </w:trPr>
        <w:tc>
          <w:tcPr>
            <w:tcW w:w="9381"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37910D2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FERNDENE</w:t>
            </w:r>
          </w:p>
        </w:tc>
      </w:tr>
      <w:tr w:rsidR="001D2E87" w:rsidRPr="00CE240B" w14:paraId="1FC3ACC4" w14:textId="77777777" w:rsidTr="00A2260C">
        <w:trPr>
          <w:trHeight w:val="336"/>
        </w:trPr>
        <w:tc>
          <w:tcPr>
            <w:tcW w:w="2795" w:type="dxa"/>
            <w:vMerge w:val="restart"/>
            <w:tcBorders>
              <w:top w:val="nil"/>
              <w:left w:val="single" w:sz="8" w:space="0" w:color="auto"/>
              <w:bottom w:val="single" w:sz="8" w:space="0" w:color="000000"/>
              <w:right w:val="single" w:sz="8" w:space="0" w:color="auto"/>
            </w:tcBorders>
            <w:shd w:val="clear" w:color="auto" w:fill="auto"/>
            <w:vAlign w:val="center"/>
            <w:hideMark/>
          </w:tcPr>
          <w:p w14:paraId="34EAC0A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586" w:type="dxa"/>
            <w:gridSpan w:val="4"/>
            <w:tcBorders>
              <w:top w:val="nil"/>
              <w:left w:val="nil"/>
              <w:bottom w:val="single" w:sz="8" w:space="0" w:color="auto"/>
              <w:right w:val="single" w:sz="8" w:space="0" w:color="000000"/>
            </w:tcBorders>
            <w:shd w:val="clear" w:color="auto" w:fill="auto"/>
            <w:vAlign w:val="center"/>
            <w:hideMark/>
          </w:tcPr>
          <w:p w14:paraId="2CED1EC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65F8342D" w14:textId="77777777" w:rsidTr="0040240B">
        <w:trPr>
          <w:trHeight w:val="219"/>
        </w:trPr>
        <w:tc>
          <w:tcPr>
            <w:tcW w:w="2795" w:type="dxa"/>
            <w:vMerge/>
            <w:tcBorders>
              <w:top w:val="nil"/>
              <w:left w:val="single" w:sz="8" w:space="0" w:color="auto"/>
              <w:bottom w:val="single" w:sz="8" w:space="0" w:color="000000"/>
              <w:right w:val="single" w:sz="8" w:space="0" w:color="auto"/>
            </w:tcBorders>
            <w:vAlign w:val="center"/>
            <w:hideMark/>
          </w:tcPr>
          <w:p w14:paraId="30C78C35" w14:textId="77777777" w:rsidR="001D2E87" w:rsidRPr="00CE240B" w:rsidRDefault="001D2E87" w:rsidP="00CE240B">
            <w:pPr>
              <w:contextualSpacing/>
              <w:rPr>
                <w:rFonts w:cs="Arial"/>
                <w:b/>
                <w:bCs/>
                <w:color w:val="000000"/>
                <w:sz w:val="24"/>
              </w:rPr>
            </w:pPr>
          </w:p>
        </w:tc>
        <w:tc>
          <w:tcPr>
            <w:tcW w:w="1646" w:type="dxa"/>
            <w:tcBorders>
              <w:top w:val="nil"/>
              <w:left w:val="nil"/>
              <w:bottom w:val="single" w:sz="8" w:space="0" w:color="auto"/>
              <w:right w:val="single" w:sz="8" w:space="0" w:color="auto"/>
            </w:tcBorders>
            <w:shd w:val="clear" w:color="000000" w:fill="92D050"/>
            <w:vAlign w:val="center"/>
            <w:hideMark/>
          </w:tcPr>
          <w:p w14:paraId="725A9F2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47" w:type="dxa"/>
            <w:tcBorders>
              <w:top w:val="nil"/>
              <w:left w:val="nil"/>
              <w:bottom w:val="single" w:sz="8" w:space="0" w:color="auto"/>
              <w:right w:val="single" w:sz="8" w:space="0" w:color="auto"/>
            </w:tcBorders>
            <w:shd w:val="clear" w:color="000000" w:fill="FFFF00"/>
            <w:vAlign w:val="center"/>
            <w:hideMark/>
          </w:tcPr>
          <w:p w14:paraId="1998631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46" w:type="dxa"/>
            <w:tcBorders>
              <w:top w:val="nil"/>
              <w:left w:val="nil"/>
              <w:bottom w:val="single" w:sz="8" w:space="0" w:color="auto"/>
              <w:right w:val="single" w:sz="8" w:space="0" w:color="auto"/>
            </w:tcBorders>
            <w:shd w:val="clear" w:color="000000" w:fill="FFC000"/>
            <w:vAlign w:val="center"/>
            <w:hideMark/>
          </w:tcPr>
          <w:p w14:paraId="061E9E5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47" w:type="dxa"/>
            <w:tcBorders>
              <w:top w:val="nil"/>
              <w:left w:val="nil"/>
              <w:bottom w:val="single" w:sz="8" w:space="0" w:color="auto"/>
              <w:right w:val="single" w:sz="8" w:space="0" w:color="auto"/>
            </w:tcBorders>
            <w:shd w:val="clear" w:color="000000" w:fill="FF0000"/>
            <w:vAlign w:val="center"/>
            <w:hideMark/>
          </w:tcPr>
          <w:p w14:paraId="5FAC099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64FD7B1F" w14:textId="77777777" w:rsidTr="00A2260C">
        <w:trPr>
          <w:trHeight w:val="341"/>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7DF69223"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46" w:type="dxa"/>
            <w:tcBorders>
              <w:top w:val="nil"/>
              <w:left w:val="nil"/>
              <w:bottom w:val="single" w:sz="8" w:space="0" w:color="auto"/>
              <w:right w:val="single" w:sz="8" w:space="0" w:color="auto"/>
            </w:tcBorders>
            <w:shd w:val="clear" w:color="000000" w:fill="92D050"/>
            <w:vAlign w:val="center"/>
            <w:hideMark/>
          </w:tcPr>
          <w:p w14:paraId="7751493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FF00"/>
            <w:vAlign w:val="center"/>
            <w:hideMark/>
          </w:tcPr>
          <w:p w14:paraId="0472B09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46" w:type="dxa"/>
            <w:tcBorders>
              <w:top w:val="nil"/>
              <w:left w:val="nil"/>
              <w:bottom w:val="single" w:sz="8" w:space="0" w:color="auto"/>
              <w:right w:val="single" w:sz="8" w:space="0" w:color="auto"/>
            </w:tcBorders>
            <w:shd w:val="clear" w:color="000000" w:fill="FFC000"/>
            <w:vAlign w:val="center"/>
            <w:hideMark/>
          </w:tcPr>
          <w:p w14:paraId="3EEDD3E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44E6CAC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A0BAABA" w14:textId="77777777" w:rsidTr="00A2260C">
        <w:trPr>
          <w:trHeight w:val="235"/>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6B693DC2"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46" w:type="dxa"/>
            <w:tcBorders>
              <w:top w:val="nil"/>
              <w:left w:val="nil"/>
              <w:bottom w:val="single" w:sz="8" w:space="0" w:color="auto"/>
              <w:right w:val="single" w:sz="8" w:space="0" w:color="auto"/>
            </w:tcBorders>
            <w:shd w:val="clear" w:color="000000" w:fill="92D050"/>
            <w:vAlign w:val="center"/>
            <w:hideMark/>
          </w:tcPr>
          <w:p w14:paraId="3F73321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FF00"/>
            <w:vAlign w:val="center"/>
            <w:hideMark/>
          </w:tcPr>
          <w:p w14:paraId="4155648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46" w:type="dxa"/>
            <w:tcBorders>
              <w:top w:val="nil"/>
              <w:left w:val="nil"/>
              <w:bottom w:val="single" w:sz="8" w:space="0" w:color="auto"/>
              <w:right w:val="single" w:sz="8" w:space="0" w:color="auto"/>
            </w:tcBorders>
            <w:shd w:val="clear" w:color="000000" w:fill="FFC000"/>
            <w:vAlign w:val="center"/>
            <w:hideMark/>
          </w:tcPr>
          <w:p w14:paraId="03FDCC5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3A95A5F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00C3AF8" w14:textId="77777777" w:rsidTr="00A2260C">
        <w:trPr>
          <w:trHeight w:val="338"/>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4CA1606F"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46" w:type="dxa"/>
            <w:tcBorders>
              <w:top w:val="nil"/>
              <w:left w:val="nil"/>
              <w:bottom w:val="single" w:sz="8" w:space="0" w:color="auto"/>
              <w:right w:val="single" w:sz="8" w:space="0" w:color="auto"/>
            </w:tcBorders>
            <w:shd w:val="clear" w:color="000000" w:fill="92D050"/>
            <w:vAlign w:val="center"/>
            <w:hideMark/>
          </w:tcPr>
          <w:p w14:paraId="65FD6B5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FF00"/>
            <w:vAlign w:val="center"/>
            <w:hideMark/>
          </w:tcPr>
          <w:p w14:paraId="460D0EA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46" w:type="dxa"/>
            <w:tcBorders>
              <w:top w:val="nil"/>
              <w:left w:val="nil"/>
              <w:bottom w:val="single" w:sz="8" w:space="0" w:color="auto"/>
              <w:right w:val="single" w:sz="8" w:space="0" w:color="auto"/>
            </w:tcBorders>
            <w:shd w:val="clear" w:color="000000" w:fill="FFC000"/>
            <w:vAlign w:val="center"/>
            <w:hideMark/>
          </w:tcPr>
          <w:p w14:paraId="7DF8E3A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5042719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FC64A76" w14:textId="77777777" w:rsidTr="00A2260C">
        <w:trPr>
          <w:trHeight w:val="354"/>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103F0DC5"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46" w:type="dxa"/>
            <w:tcBorders>
              <w:top w:val="nil"/>
              <w:left w:val="nil"/>
              <w:bottom w:val="single" w:sz="8" w:space="0" w:color="auto"/>
              <w:right w:val="single" w:sz="8" w:space="0" w:color="auto"/>
            </w:tcBorders>
            <w:shd w:val="clear" w:color="000000" w:fill="92D050"/>
            <w:vAlign w:val="center"/>
            <w:hideMark/>
          </w:tcPr>
          <w:p w14:paraId="5DFFF19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FF00"/>
            <w:vAlign w:val="center"/>
            <w:hideMark/>
          </w:tcPr>
          <w:p w14:paraId="3EE4227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46" w:type="dxa"/>
            <w:tcBorders>
              <w:top w:val="nil"/>
              <w:left w:val="nil"/>
              <w:bottom w:val="single" w:sz="8" w:space="0" w:color="auto"/>
              <w:right w:val="single" w:sz="8" w:space="0" w:color="auto"/>
            </w:tcBorders>
            <w:shd w:val="clear" w:color="000000" w:fill="FFC000"/>
            <w:vAlign w:val="center"/>
            <w:hideMark/>
          </w:tcPr>
          <w:p w14:paraId="510A3B2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108CAC9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744A667" w14:textId="77777777" w:rsidTr="00A2260C">
        <w:trPr>
          <w:trHeight w:val="360"/>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75238BBF"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46" w:type="dxa"/>
            <w:tcBorders>
              <w:top w:val="nil"/>
              <w:left w:val="nil"/>
              <w:bottom w:val="single" w:sz="8" w:space="0" w:color="auto"/>
              <w:right w:val="single" w:sz="8" w:space="0" w:color="auto"/>
            </w:tcBorders>
            <w:shd w:val="clear" w:color="000000" w:fill="92D050"/>
            <w:vAlign w:val="center"/>
            <w:hideMark/>
          </w:tcPr>
          <w:p w14:paraId="6FB51A6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47" w:type="dxa"/>
            <w:tcBorders>
              <w:top w:val="nil"/>
              <w:left w:val="nil"/>
              <w:bottom w:val="single" w:sz="8" w:space="0" w:color="auto"/>
              <w:right w:val="single" w:sz="8" w:space="0" w:color="auto"/>
            </w:tcBorders>
            <w:shd w:val="clear" w:color="000000" w:fill="FFFF00"/>
            <w:vAlign w:val="center"/>
            <w:hideMark/>
          </w:tcPr>
          <w:p w14:paraId="11C25FD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46" w:type="dxa"/>
            <w:tcBorders>
              <w:top w:val="nil"/>
              <w:left w:val="nil"/>
              <w:bottom w:val="single" w:sz="8" w:space="0" w:color="auto"/>
              <w:right w:val="single" w:sz="8" w:space="0" w:color="auto"/>
            </w:tcBorders>
            <w:shd w:val="clear" w:color="000000" w:fill="FFC000"/>
            <w:vAlign w:val="center"/>
            <w:hideMark/>
          </w:tcPr>
          <w:p w14:paraId="68E3C2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04A98AF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5D9B65B3" w14:textId="77777777" w:rsidTr="00A2260C">
        <w:trPr>
          <w:trHeight w:val="353"/>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1FB0AF9C"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46" w:type="dxa"/>
            <w:tcBorders>
              <w:top w:val="nil"/>
              <w:left w:val="nil"/>
              <w:bottom w:val="single" w:sz="8" w:space="0" w:color="auto"/>
              <w:right w:val="single" w:sz="8" w:space="0" w:color="auto"/>
            </w:tcBorders>
            <w:shd w:val="clear" w:color="000000" w:fill="92D050"/>
            <w:vAlign w:val="center"/>
            <w:hideMark/>
          </w:tcPr>
          <w:p w14:paraId="584DC69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47" w:type="dxa"/>
            <w:tcBorders>
              <w:top w:val="nil"/>
              <w:left w:val="nil"/>
              <w:bottom w:val="single" w:sz="8" w:space="0" w:color="auto"/>
              <w:right w:val="single" w:sz="8" w:space="0" w:color="auto"/>
            </w:tcBorders>
            <w:shd w:val="clear" w:color="000000" w:fill="FFFF00"/>
            <w:vAlign w:val="center"/>
            <w:hideMark/>
          </w:tcPr>
          <w:p w14:paraId="3AC9782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46" w:type="dxa"/>
            <w:tcBorders>
              <w:top w:val="nil"/>
              <w:left w:val="nil"/>
              <w:bottom w:val="single" w:sz="8" w:space="0" w:color="auto"/>
              <w:right w:val="single" w:sz="8" w:space="0" w:color="auto"/>
            </w:tcBorders>
            <w:shd w:val="clear" w:color="000000" w:fill="FFC000"/>
            <w:vAlign w:val="center"/>
            <w:hideMark/>
          </w:tcPr>
          <w:p w14:paraId="5E1391C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47" w:type="dxa"/>
            <w:tcBorders>
              <w:top w:val="nil"/>
              <w:left w:val="nil"/>
              <w:bottom w:val="single" w:sz="8" w:space="0" w:color="auto"/>
              <w:right w:val="single" w:sz="8" w:space="0" w:color="auto"/>
            </w:tcBorders>
            <w:shd w:val="clear" w:color="000000" w:fill="FF0000"/>
            <w:vAlign w:val="center"/>
            <w:hideMark/>
          </w:tcPr>
          <w:p w14:paraId="2FCCC48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02F3F202" w14:textId="77777777" w:rsidTr="00A2260C">
        <w:trPr>
          <w:trHeight w:val="346"/>
        </w:trPr>
        <w:tc>
          <w:tcPr>
            <w:tcW w:w="2795" w:type="dxa"/>
            <w:tcBorders>
              <w:top w:val="nil"/>
              <w:left w:val="single" w:sz="12" w:space="0" w:color="auto"/>
              <w:bottom w:val="single" w:sz="8" w:space="0" w:color="auto"/>
              <w:right w:val="single" w:sz="8" w:space="0" w:color="auto"/>
            </w:tcBorders>
            <w:shd w:val="clear" w:color="auto" w:fill="auto"/>
            <w:vAlign w:val="center"/>
            <w:hideMark/>
          </w:tcPr>
          <w:p w14:paraId="2D995FE4"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46" w:type="dxa"/>
            <w:tcBorders>
              <w:top w:val="nil"/>
              <w:left w:val="nil"/>
              <w:bottom w:val="single" w:sz="8" w:space="0" w:color="auto"/>
              <w:right w:val="single" w:sz="8" w:space="0" w:color="auto"/>
            </w:tcBorders>
            <w:shd w:val="clear" w:color="000000" w:fill="92D050"/>
            <w:vAlign w:val="center"/>
            <w:hideMark/>
          </w:tcPr>
          <w:p w14:paraId="70007BD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73.9</w:t>
            </w:r>
          </w:p>
        </w:tc>
        <w:tc>
          <w:tcPr>
            <w:tcW w:w="1647" w:type="dxa"/>
            <w:tcBorders>
              <w:top w:val="nil"/>
              <w:left w:val="nil"/>
              <w:bottom w:val="single" w:sz="8" w:space="0" w:color="auto"/>
              <w:right w:val="single" w:sz="8" w:space="0" w:color="auto"/>
            </w:tcBorders>
            <w:shd w:val="clear" w:color="000000" w:fill="FFFF00"/>
            <w:vAlign w:val="center"/>
            <w:hideMark/>
          </w:tcPr>
          <w:p w14:paraId="5D9B513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6" w:type="dxa"/>
            <w:tcBorders>
              <w:top w:val="nil"/>
              <w:left w:val="nil"/>
              <w:bottom w:val="single" w:sz="8" w:space="0" w:color="auto"/>
              <w:right w:val="single" w:sz="8" w:space="0" w:color="auto"/>
            </w:tcBorders>
            <w:shd w:val="clear" w:color="000000" w:fill="FFC000"/>
            <w:vAlign w:val="center"/>
            <w:hideMark/>
          </w:tcPr>
          <w:p w14:paraId="2A87F66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47" w:type="dxa"/>
            <w:tcBorders>
              <w:top w:val="nil"/>
              <w:left w:val="nil"/>
              <w:bottom w:val="single" w:sz="8" w:space="0" w:color="auto"/>
              <w:right w:val="single" w:sz="8" w:space="0" w:color="auto"/>
            </w:tcBorders>
            <w:shd w:val="clear" w:color="000000" w:fill="FF0000"/>
            <w:vAlign w:val="center"/>
            <w:hideMark/>
          </w:tcPr>
          <w:p w14:paraId="3D04F9E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26.1</w:t>
            </w:r>
          </w:p>
        </w:tc>
      </w:tr>
    </w:tbl>
    <w:p w14:paraId="6397D718" w14:textId="281B973E" w:rsidR="001D2E87" w:rsidRDefault="00730763" w:rsidP="00730763">
      <w:pPr>
        <w:contextualSpacing/>
        <w:jc w:val="center"/>
        <w:rPr>
          <w:rFonts w:cs="Arial"/>
          <w:bCs/>
          <w:sz w:val="24"/>
        </w:rPr>
      </w:pPr>
      <w:r w:rsidRPr="005B3C80">
        <w:rPr>
          <w:rFonts w:cs="Arial"/>
          <w:bCs/>
          <w:sz w:val="24"/>
        </w:rPr>
        <w:t>Table 10</w:t>
      </w:r>
      <w:r w:rsidR="005B3C80">
        <w:rPr>
          <w:rFonts w:cs="Arial"/>
          <w:bCs/>
          <w:sz w:val="24"/>
        </w:rPr>
        <w:t xml:space="preserve"> Facet Surveys</w:t>
      </w:r>
    </w:p>
    <w:p w14:paraId="585DD98A" w14:textId="77777777" w:rsidR="007E7D73" w:rsidRDefault="007E7D73" w:rsidP="00730763">
      <w:pPr>
        <w:contextualSpacing/>
        <w:jc w:val="center"/>
        <w:rPr>
          <w:rFonts w:cs="Arial"/>
          <w:bCs/>
          <w:sz w:val="24"/>
        </w:rPr>
      </w:pPr>
    </w:p>
    <w:p w14:paraId="05DAE544" w14:textId="77777777" w:rsidR="007E7D73" w:rsidRDefault="007E7D73" w:rsidP="00730763">
      <w:pPr>
        <w:contextualSpacing/>
        <w:jc w:val="center"/>
        <w:rPr>
          <w:rFonts w:cs="Arial"/>
          <w:bCs/>
          <w:sz w:val="24"/>
        </w:rPr>
      </w:pPr>
    </w:p>
    <w:p w14:paraId="676A9489" w14:textId="77777777" w:rsidR="007E7D73" w:rsidRDefault="007E7D73" w:rsidP="00730763">
      <w:pPr>
        <w:contextualSpacing/>
        <w:jc w:val="center"/>
        <w:rPr>
          <w:rFonts w:cs="Arial"/>
          <w:bCs/>
          <w:sz w:val="24"/>
        </w:rPr>
      </w:pPr>
    </w:p>
    <w:p w14:paraId="3C3479F6" w14:textId="77777777" w:rsidR="007E7D73" w:rsidRDefault="007E7D73" w:rsidP="00730763">
      <w:pPr>
        <w:contextualSpacing/>
        <w:jc w:val="center"/>
        <w:rPr>
          <w:rFonts w:cs="Arial"/>
          <w:bCs/>
          <w:sz w:val="24"/>
        </w:rPr>
      </w:pPr>
    </w:p>
    <w:p w14:paraId="24A2D847" w14:textId="77777777" w:rsidR="007E7D73" w:rsidRDefault="007E7D73" w:rsidP="00730763">
      <w:pPr>
        <w:contextualSpacing/>
        <w:jc w:val="center"/>
        <w:rPr>
          <w:rFonts w:cs="Arial"/>
          <w:bCs/>
          <w:sz w:val="24"/>
        </w:rPr>
      </w:pPr>
    </w:p>
    <w:p w14:paraId="0F0E98E5" w14:textId="77777777" w:rsidR="007E7D73" w:rsidRPr="005B3C80" w:rsidRDefault="007E7D73" w:rsidP="00730763">
      <w:pPr>
        <w:contextualSpacing/>
        <w:jc w:val="center"/>
        <w:rPr>
          <w:rFonts w:cs="Arial"/>
          <w:bCs/>
          <w:sz w:val="24"/>
        </w:rPr>
      </w:pPr>
    </w:p>
    <w:p w14:paraId="200AE2A3" w14:textId="77777777" w:rsidR="001D2E87" w:rsidRPr="00CE240B" w:rsidRDefault="001D2E87" w:rsidP="00CE240B">
      <w:pPr>
        <w:contextualSpacing/>
        <w:rPr>
          <w:rFonts w:cs="Arial"/>
          <w:b/>
          <w:sz w:val="24"/>
        </w:rPr>
      </w:pPr>
    </w:p>
    <w:tbl>
      <w:tblPr>
        <w:tblW w:w="9259" w:type="dxa"/>
        <w:tblInd w:w="123" w:type="dxa"/>
        <w:tblLook w:val="04A0" w:firstRow="1" w:lastRow="0" w:firstColumn="1" w:lastColumn="0" w:noHBand="0" w:noVBand="1"/>
      </w:tblPr>
      <w:tblGrid>
        <w:gridCol w:w="2757"/>
        <w:gridCol w:w="1496"/>
        <w:gridCol w:w="1624"/>
        <w:gridCol w:w="1750"/>
        <w:gridCol w:w="1632"/>
      </w:tblGrid>
      <w:tr w:rsidR="001D2E87" w:rsidRPr="00CE240B" w14:paraId="4D0544BA" w14:textId="77777777" w:rsidTr="00E86E3C">
        <w:trPr>
          <w:trHeight w:val="397"/>
        </w:trPr>
        <w:tc>
          <w:tcPr>
            <w:tcW w:w="9259"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5CA5504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ST NICHOLAS HOSPITAL</w:t>
            </w:r>
          </w:p>
        </w:tc>
      </w:tr>
      <w:tr w:rsidR="001D2E87" w:rsidRPr="00CE240B" w14:paraId="7968BA78" w14:textId="77777777" w:rsidTr="00E86E3C">
        <w:trPr>
          <w:trHeight w:val="349"/>
        </w:trPr>
        <w:tc>
          <w:tcPr>
            <w:tcW w:w="2757" w:type="dxa"/>
            <w:vMerge w:val="restart"/>
            <w:tcBorders>
              <w:top w:val="nil"/>
              <w:left w:val="single" w:sz="8" w:space="0" w:color="auto"/>
              <w:bottom w:val="single" w:sz="8" w:space="0" w:color="000000"/>
              <w:right w:val="single" w:sz="8" w:space="0" w:color="auto"/>
            </w:tcBorders>
            <w:shd w:val="clear" w:color="auto" w:fill="auto"/>
            <w:vAlign w:val="center"/>
            <w:hideMark/>
          </w:tcPr>
          <w:p w14:paraId="5E2A6F5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501" w:type="dxa"/>
            <w:gridSpan w:val="4"/>
            <w:tcBorders>
              <w:top w:val="nil"/>
              <w:left w:val="nil"/>
              <w:bottom w:val="single" w:sz="8" w:space="0" w:color="auto"/>
              <w:right w:val="single" w:sz="8" w:space="0" w:color="000000"/>
            </w:tcBorders>
            <w:shd w:val="clear" w:color="auto" w:fill="auto"/>
            <w:vAlign w:val="center"/>
            <w:hideMark/>
          </w:tcPr>
          <w:p w14:paraId="1CFEE37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16C904BA" w14:textId="77777777" w:rsidTr="00E86E3C">
        <w:trPr>
          <w:trHeight w:val="334"/>
        </w:trPr>
        <w:tc>
          <w:tcPr>
            <w:tcW w:w="2757" w:type="dxa"/>
            <w:vMerge/>
            <w:tcBorders>
              <w:top w:val="nil"/>
              <w:left w:val="single" w:sz="8" w:space="0" w:color="auto"/>
              <w:bottom w:val="single" w:sz="8" w:space="0" w:color="000000"/>
              <w:right w:val="single" w:sz="8" w:space="0" w:color="auto"/>
            </w:tcBorders>
            <w:vAlign w:val="center"/>
            <w:hideMark/>
          </w:tcPr>
          <w:p w14:paraId="41C68BEC" w14:textId="77777777" w:rsidR="001D2E87" w:rsidRPr="00CE240B" w:rsidRDefault="001D2E87" w:rsidP="00CE240B">
            <w:pPr>
              <w:contextualSpacing/>
              <w:rPr>
                <w:rFonts w:cs="Arial"/>
                <w:b/>
                <w:bCs/>
                <w:color w:val="000000"/>
                <w:sz w:val="24"/>
              </w:rPr>
            </w:pPr>
          </w:p>
        </w:tc>
        <w:tc>
          <w:tcPr>
            <w:tcW w:w="1623" w:type="dxa"/>
            <w:tcBorders>
              <w:top w:val="nil"/>
              <w:left w:val="nil"/>
              <w:bottom w:val="single" w:sz="8" w:space="0" w:color="auto"/>
              <w:right w:val="single" w:sz="8" w:space="0" w:color="auto"/>
            </w:tcBorders>
            <w:shd w:val="clear" w:color="000000" w:fill="92D050"/>
            <w:vAlign w:val="center"/>
            <w:hideMark/>
          </w:tcPr>
          <w:p w14:paraId="78F2C02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24" w:type="dxa"/>
            <w:tcBorders>
              <w:top w:val="nil"/>
              <w:left w:val="nil"/>
              <w:bottom w:val="single" w:sz="8" w:space="0" w:color="auto"/>
              <w:right w:val="single" w:sz="8" w:space="0" w:color="auto"/>
            </w:tcBorders>
            <w:shd w:val="clear" w:color="000000" w:fill="FFFF00"/>
            <w:vAlign w:val="center"/>
            <w:hideMark/>
          </w:tcPr>
          <w:p w14:paraId="13C2E68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23" w:type="dxa"/>
            <w:tcBorders>
              <w:top w:val="nil"/>
              <w:left w:val="nil"/>
              <w:bottom w:val="single" w:sz="8" w:space="0" w:color="auto"/>
              <w:right w:val="single" w:sz="8" w:space="0" w:color="auto"/>
            </w:tcBorders>
            <w:shd w:val="clear" w:color="000000" w:fill="FFC000"/>
            <w:vAlign w:val="center"/>
            <w:hideMark/>
          </w:tcPr>
          <w:p w14:paraId="37125F7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29" w:type="dxa"/>
            <w:tcBorders>
              <w:top w:val="nil"/>
              <w:left w:val="nil"/>
              <w:bottom w:val="single" w:sz="8" w:space="0" w:color="auto"/>
              <w:right w:val="single" w:sz="8" w:space="0" w:color="auto"/>
            </w:tcBorders>
            <w:shd w:val="clear" w:color="000000" w:fill="FF0000"/>
            <w:vAlign w:val="center"/>
            <w:hideMark/>
          </w:tcPr>
          <w:p w14:paraId="56E47E2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222C0283"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38C70386"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23" w:type="dxa"/>
            <w:tcBorders>
              <w:top w:val="nil"/>
              <w:left w:val="nil"/>
              <w:bottom w:val="single" w:sz="8" w:space="0" w:color="auto"/>
              <w:right w:val="single" w:sz="8" w:space="0" w:color="auto"/>
            </w:tcBorders>
            <w:shd w:val="clear" w:color="000000" w:fill="92D050"/>
            <w:vAlign w:val="center"/>
            <w:hideMark/>
          </w:tcPr>
          <w:p w14:paraId="45DF0F1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4" w:type="dxa"/>
            <w:tcBorders>
              <w:top w:val="nil"/>
              <w:left w:val="nil"/>
              <w:bottom w:val="single" w:sz="8" w:space="0" w:color="auto"/>
              <w:right w:val="single" w:sz="8" w:space="0" w:color="auto"/>
            </w:tcBorders>
            <w:shd w:val="clear" w:color="000000" w:fill="FFFF00"/>
            <w:vAlign w:val="center"/>
            <w:hideMark/>
          </w:tcPr>
          <w:p w14:paraId="1953807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86.5</w:t>
            </w:r>
          </w:p>
        </w:tc>
        <w:tc>
          <w:tcPr>
            <w:tcW w:w="1623" w:type="dxa"/>
            <w:tcBorders>
              <w:top w:val="nil"/>
              <w:left w:val="nil"/>
              <w:bottom w:val="single" w:sz="8" w:space="0" w:color="auto"/>
              <w:right w:val="single" w:sz="8" w:space="0" w:color="auto"/>
            </w:tcBorders>
            <w:shd w:val="clear" w:color="000000" w:fill="FFC000"/>
            <w:vAlign w:val="center"/>
            <w:hideMark/>
          </w:tcPr>
          <w:p w14:paraId="3373054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13.5</w:t>
            </w:r>
          </w:p>
        </w:tc>
        <w:tc>
          <w:tcPr>
            <w:tcW w:w="1629" w:type="dxa"/>
            <w:tcBorders>
              <w:top w:val="nil"/>
              <w:left w:val="nil"/>
              <w:bottom w:val="single" w:sz="8" w:space="0" w:color="auto"/>
              <w:right w:val="single" w:sz="8" w:space="0" w:color="auto"/>
            </w:tcBorders>
            <w:shd w:val="clear" w:color="000000" w:fill="FF0000"/>
            <w:vAlign w:val="center"/>
            <w:hideMark/>
          </w:tcPr>
          <w:p w14:paraId="5E9F592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B012E0C"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0D693129"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23" w:type="dxa"/>
            <w:tcBorders>
              <w:top w:val="nil"/>
              <w:left w:val="nil"/>
              <w:bottom w:val="single" w:sz="8" w:space="0" w:color="auto"/>
              <w:right w:val="single" w:sz="8" w:space="0" w:color="auto"/>
            </w:tcBorders>
            <w:shd w:val="clear" w:color="000000" w:fill="92D050"/>
            <w:vAlign w:val="center"/>
            <w:hideMark/>
          </w:tcPr>
          <w:p w14:paraId="178FB60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4" w:type="dxa"/>
            <w:tcBorders>
              <w:top w:val="nil"/>
              <w:left w:val="nil"/>
              <w:bottom w:val="single" w:sz="8" w:space="0" w:color="auto"/>
              <w:right w:val="single" w:sz="8" w:space="0" w:color="auto"/>
            </w:tcBorders>
            <w:shd w:val="clear" w:color="000000" w:fill="FFFF00"/>
            <w:vAlign w:val="center"/>
            <w:hideMark/>
          </w:tcPr>
          <w:p w14:paraId="7F46227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90.8</w:t>
            </w:r>
          </w:p>
        </w:tc>
        <w:tc>
          <w:tcPr>
            <w:tcW w:w="1623" w:type="dxa"/>
            <w:tcBorders>
              <w:top w:val="nil"/>
              <w:left w:val="nil"/>
              <w:bottom w:val="single" w:sz="8" w:space="0" w:color="auto"/>
              <w:right w:val="single" w:sz="8" w:space="0" w:color="auto"/>
            </w:tcBorders>
            <w:shd w:val="clear" w:color="000000" w:fill="FFC000"/>
            <w:vAlign w:val="center"/>
            <w:hideMark/>
          </w:tcPr>
          <w:p w14:paraId="40A55B3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9.2</w:t>
            </w:r>
          </w:p>
        </w:tc>
        <w:tc>
          <w:tcPr>
            <w:tcW w:w="1629" w:type="dxa"/>
            <w:tcBorders>
              <w:top w:val="nil"/>
              <w:left w:val="nil"/>
              <w:bottom w:val="single" w:sz="8" w:space="0" w:color="auto"/>
              <w:right w:val="single" w:sz="8" w:space="0" w:color="auto"/>
            </w:tcBorders>
            <w:shd w:val="clear" w:color="000000" w:fill="FF0000"/>
            <w:vAlign w:val="center"/>
            <w:hideMark/>
          </w:tcPr>
          <w:p w14:paraId="22A83B8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3862817"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67504113"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23" w:type="dxa"/>
            <w:tcBorders>
              <w:top w:val="nil"/>
              <w:left w:val="nil"/>
              <w:bottom w:val="single" w:sz="8" w:space="0" w:color="auto"/>
              <w:right w:val="single" w:sz="8" w:space="0" w:color="auto"/>
            </w:tcBorders>
            <w:shd w:val="clear" w:color="000000" w:fill="92D050"/>
            <w:vAlign w:val="center"/>
            <w:hideMark/>
          </w:tcPr>
          <w:p w14:paraId="0CDD510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4" w:type="dxa"/>
            <w:tcBorders>
              <w:top w:val="nil"/>
              <w:left w:val="nil"/>
              <w:bottom w:val="single" w:sz="8" w:space="0" w:color="auto"/>
              <w:right w:val="single" w:sz="8" w:space="0" w:color="auto"/>
            </w:tcBorders>
            <w:shd w:val="clear" w:color="000000" w:fill="FFFF00"/>
            <w:vAlign w:val="center"/>
            <w:hideMark/>
          </w:tcPr>
          <w:p w14:paraId="2179DB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98.5</w:t>
            </w:r>
          </w:p>
        </w:tc>
        <w:tc>
          <w:tcPr>
            <w:tcW w:w="1623" w:type="dxa"/>
            <w:tcBorders>
              <w:top w:val="nil"/>
              <w:left w:val="nil"/>
              <w:bottom w:val="single" w:sz="8" w:space="0" w:color="auto"/>
              <w:right w:val="single" w:sz="8" w:space="0" w:color="auto"/>
            </w:tcBorders>
            <w:shd w:val="clear" w:color="000000" w:fill="FFC000"/>
            <w:vAlign w:val="center"/>
            <w:hideMark/>
          </w:tcPr>
          <w:p w14:paraId="5AE6773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1.5</w:t>
            </w:r>
          </w:p>
        </w:tc>
        <w:tc>
          <w:tcPr>
            <w:tcW w:w="1629" w:type="dxa"/>
            <w:tcBorders>
              <w:top w:val="nil"/>
              <w:left w:val="nil"/>
              <w:bottom w:val="single" w:sz="8" w:space="0" w:color="auto"/>
              <w:right w:val="single" w:sz="8" w:space="0" w:color="auto"/>
            </w:tcBorders>
            <w:shd w:val="clear" w:color="000000" w:fill="FF0000"/>
            <w:vAlign w:val="center"/>
            <w:hideMark/>
          </w:tcPr>
          <w:p w14:paraId="56778DC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B5342DE"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0CBCC151"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23" w:type="dxa"/>
            <w:tcBorders>
              <w:top w:val="nil"/>
              <w:left w:val="nil"/>
              <w:bottom w:val="single" w:sz="8" w:space="0" w:color="auto"/>
              <w:right w:val="single" w:sz="8" w:space="0" w:color="auto"/>
            </w:tcBorders>
            <w:shd w:val="clear" w:color="000000" w:fill="92D050"/>
            <w:vAlign w:val="center"/>
            <w:hideMark/>
          </w:tcPr>
          <w:p w14:paraId="4050F46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21.3</w:t>
            </w:r>
          </w:p>
        </w:tc>
        <w:tc>
          <w:tcPr>
            <w:tcW w:w="1624" w:type="dxa"/>
            <w:tcBorders>
              <w:top w:val="nil"/>
              <w:left w:val="nil"/>
              <w:bottom w:val="single" w:sz="8" w:space="0" w:color="auto"/>
              <w:right w:val="single" w:sz="8" w:space="0" w:color="auto"/>
            </w:tcBorders>
            <w:shd w:val="clear" w:color="000000" w:fill="FFFF00"/>
            <w:vAlign w:val="center"/>
            <w:hideMark/>
          </w:tcPr>
          <w:p w14:paraId="7CBDD5A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74.7</w:t>
            </w:r>
          </w:p>
        </w:tc>
        <w:tc>
          <w:tcPr>
            <w:tcW w:w="1623" w:type="dxa"/>
            <w:tcBorders>
              <w:top w:val="nil"/>
              <w:left w:val="nil"/>
              <w:bottom w:val="single" w:sz="8" w:space="0" w:color="auto"/>
              <w:right w:val="single" w:sz="8" w:space="0" w:color="auto"/>
            </w:tcBorders>
            <w:shd w:val="clear" w:color="000000" w:fill="FFC000"/>
            <w:vAlign w:val="center"/>
            <w:hideMark/>
          </w:tcPr>
          <w:p w14:paraId="19BB7D7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w:t>
            </w:r>
          </w:p>
        </w:tc>
        <w:tc>
          <w:tcPr>
            <w:tcW w:w="1629" w:type="dxa"/>
            <w:tcBorders>
              <w:top w:val="nil"/>
              <w:left w:val="nil"/>
              <w:bottom w:val="single" w:sz="8" w:space="0" w:color="auto"/>
              <w:right w:val="single" w:sz="8" w:space="0" w:color="auto"/>
            </w:tcBorders>
            <w:shd w:val="clear" w:color="000000" w:fill="FF0000"/>
            <w:vAlign w:val="center"/>
            <w:hideMark/>
          </w:tcPr>
          <w:p w14:paraId="48C9A88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08BDFFF"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44393A35" w14:textId="77777777" w:rsidR="001D2E87" w:rsidRPr="00CE240B" w:rsidRDefault="001D2E87" w:rsidP="00CE240B">
            <w:pPr>
              <w:contextualSpacing/>
              <w:rPr>
                <w:rFonts w:cs="Arial"/>
                <w:b/>
                <w:bCs/>
                <w:color w:val="000000"/>
                <w:sz w:val="24"/>
              </w:rPr>
            </w:pPr>
            <w:r w:rsidRPr="00CE240B">
              <w:rPr>
                <w:rFonts w:cs="Arial"/>
                <w:b/>
                <w:bCs/>
                <w:color w:val="000000"/>
                <w:sz w:val="24"/>
              </w:rPr>
              <w:lastRenderedPageBreak/>
              <w:t>Environmental management</w:t>
            </w:r>
          </w:p>
        </w:tc>
        <w:tc>
          <w:tcPr>
            <w:tcW w:w="1623" w:type="dxa"/>
            <w:tcBorders>
              <w:top w:val="nil"/>
              <w:left w:val="nil"/>
              <w:bottom w:val="single" w:sz="8" w:space="0" w:color="auto"/>
              <w:right w:val="single" w:sz="8" w:space="0" w:color="auto"/>
            </w:tcBorders>
            <w:shd w:val="clear" w:color="000000" w:fill="92D050"/>
            <w:vAlign w:val="center"/>
            <w:hideMark/>
          </w:tcPr>
          <w:p w14:paraId="627ACAF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4" w:type="dxa"/>
            <w:tcBorders>
              <w:top w:val="nil"/>
              <w:left w:val="nil"/>
              <w:bottom w:val="single" w:sz="8" w:space="0" w:color="auto"/>
              <w:right w:val="single" w:sz="8" w:space="0" w:color="auto"/>
            </w:tcBorders>
            <w:shd w:val="clear" w:color="000000" w:fill="FFFF00"/>
            <w:vAlign w:val="center"/>
            <w:hideMark/>
          </w:tcPr>
          <w:p w14:paraId="1BC912B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96</w:t>
            </w:r>
          </w:p>
        </w:tc>
        <w:tc>
          <w:tcPr>
            <w:tcW w:w="1623" w:type="dxa"/>
            <w:tcBorders>
              <w:top w:val="nil"/>
              <w:left w:val="nil"/>
              <w:bottom w:val="single" w:sz="8" w:space="0" w:color="auto"/>
              <w:right w:val="single" w:sz="8" w:space="0" w:color="auto"/>
            </w:tcBorders>
            <w:shd w:val="clear" w:color="000000" w:fill="FFC000"/>
            <w:vAlign w:val="center"/>
            <w:hideMark/>
          </w:tcPr>
          <w:p w14:paraId="0BDEC32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w:t>
            </w:r>
          </w:p>
        </w:tc>
        <w:tc>
          <w:tcPr>
            <w:tcW w:w="1629" w:type="dxa"/>
            <w:tcBorders>
              <w:top w:val="nil"/>
              <w:left w:val="nil"/>
              <w:bottom w:val="single" w:sz="8" w:space="0" w:color="auto"/>
              <w:right w:val="single" w:sz="8" w:space="0" w:color="auto"/>
            </w:tcBorders>
            <w:shd w:val="clear" w:color="000000" w:fill="FF0000"/>
            <w:vAlign w:val="center"/>
            <w:hideMark/>
          </w:tcPr>
          <w:p w14:paraId="7BF27BF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w:t>
            </w:r>
          </w:p>
        </w:tc>
      </w:tr>
      <w:tr w:rsidR="001D2E87" w:rsidRPr="00CE240B" w14:paraId="0901E11B"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311D04F1"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23" w:type="dxa"/>
            <w:tcBorders>
              <w:top w:val="nil"/>
              <w:left w:val="nil"/>
              <w:bottom w:val="single" w:sz="8" w:space="0" w:color="auto"/>
              <w:right w:val="single" w:sz="8" w:space="0" w:color="auto"/>
            </w:tcBorders>
            <w:shd w:val="clear" w:color="000000" w:fill="92D050"/>
            <w:vAlign w:val="center"/>
            <w:hideMark/>
          </w:tcPr>
          <w:p w14:paraId="41535A1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24" w:type="dxa"/>
            <w:tcBorders>
              <w:top w:val="nil"/>
              <w:left w:val="nil"/>
              <w:bottom w:val="single" w:sz="8" w:space="0" w:color="auto"/>
              <w:right w:val="single" w:sz="8" w:space="0" w:color="auto"/>
            </w:tcBorders>
            <w:shd w:val="clear" w:color="000000" w:fill="FFFF00"/>
            <w:vAlign w:val="center"/>
            <w:hideMark/>
          </w:tcPr>
          <w:p w14:paraId="35B3AAE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23" w:type="dxa"/>
            <w:tcBorders>
              <w:top w:val="nil"/>
              <w:left w:val="nil"/>
              <w:bottom w:val="single" w:sz="8" w:space="0" w:color="auto"/>
              <w:right w:val="single" w:sz="8" w:space="0" w:color="auto"/>
            </w:tcBorders>
            <w:shd w:val="clear" w:color="000000" w:fill="FFC000"/>
            <w:vAlign w:val="center"/>
            <w:hideMark/>
          </w:tcPr>
          <w:p w14:paraId="48AF25A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29" w:type="dxa"/>
            <w:tcBorders>
              <w:top w:val="nil"/>
              <w:left w:val="nil"/>
              <w:bottom w:val="single" w:sz="8" w:space="0" w:color="auto"/>
              <w:right w:val="single" w:sz="8" w:space="0" w:color="auto"/>
            </w:tcBorders>
            <w:shd w:val="clear" w:color="000000" w:fill="FF0000"/>
            <w:vAlign w:val="center"/>
            <w:hideMark/>
          </w:tcPr>
          <w:p w14:paraId="024415B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50759C81" w14:textId="77777777" w:rsidTr="00E86E3C">
        <w:trPr>
          <w:trHeight w:val="378"/>
        </w:trPr>
        <w:tc>
          <w:tcPr>
            <w:tcW w:w="2757" w:type="dxa"/>
            <w:tcBorders>
              <w:top w:val="nil"/>
              <w:left w:val="single" w:sz="12" w:space="0" w:color="auto"/>
              <w:bottom w:val="single" w:sz="8" w:space="0" w:color="auto"/>
              <w:right w:val="single" w:sz="8" w:space="0" w:color="auto"/>
            </w:tcBorders>
            <w:shd w:val="clear" w:color="auto" w:fill="auto"/>
            <w:vAlign w:val="center"/>
            <w:hideMark/>
          </w:tcPr>
          <w:p w14:paraId="28257133"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23" w:type="dxa"/>
            <w:tcBorders>
              <w:top w:val="nil"/>
              <w:left w:val="nil"/>
              <w:bottom w:val="single" w:sz="8" w:space="0" w:color="auto"/>
              <w:right w:val="single" w:sz="8" w:space="0" w:color="auto"/>
            </w:tcBorders>
            <w:shd w:val="clear" w:color="000000" w:fill="92D050"/>
            <w:vAlign w:val="center"/>
            <w:hideMark/>
          </w:tcPr>
          <w:p w14:paraId="3F74785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77.5</w:t>
            </w:r>
          </w:p>
        </w:tc>
        <w:tc>
          <w:tcPr>
            <w:tcW w:w="1624" w:type="dxa"/>
            <w:tcBorders>
              <w:top w:val="nil"/>
              <w:left w:val="nil"/>
              <w:bottom w:val="single" w:sz="8" w:space="0" w:color="auto"/>
              <w:right w:val="single" w:sz="8" w:space="0" w:color="auto"/>
            </w:tcBorders>
            <w:shd w:val="clear" w:color="000000" w:fill="FFFF00"/>
            <w:vAlign w:val="center"/>
            <w:hideMark/>
          </w:tcPr>
          <w:p w14:paraId="7238EBB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21.4</w:t>
            </w:r>
          </w:p>
        </w:tc>
        <w:tc>
          <w:tcPr>
            <w:tcW w:w="1623" w:type="dxa"/>
            <w:tcBorders>
              <w:top w:val="nil"/>
              <w:left w:val="nil"/>
              <w:bottom w:val="single" w:sz="8" w:space="0" w:color="auto"/>
              <w:right w:val="single" w:sz="8" w:space="0" w:color="auto"/>
            </w:tcBorders>
            <w:shd w:val="clear" w:color="000000" w:fill="FFC000"/>
            <w:vAlign w:val="center"/>
            <w:hideMark/>
          </w:tcPr>
          <w:p w14:paraId="0CB6DE3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9" w:type="dxa"/>
            <w:tcBorders>
              <w:top w:val="nil"/>
              <w:left w:val="nil"/>
              <w:bottom w:val="single" w:sz="8" w:space="0" w:color="auto"/>
              <w:right w:val="single" w:sz="8" w:space="0" w:color="auto"/>
            </w:tcBorders>
            <w:shd w:val="clear" w:color="000000" w:fill="FF0000"/>
            <w:vAlign w:val="center"/>
            <w:hideMark/>
          </w:tcPr>
          <w:p w14:paraId="5E78843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w:t>
            </w:r>
          </w:p>
        </w:tc>
      </w:tr>
    </w:tbl>
    <w:p w14:paraId="4B01EF3B" w14:textId="5DDA8DAB" w:rsidR="001D2E87" w:rsidRPr="005B3C80" w:rsidRDefault="00730763" w:rsidP="00730763">
      <w:pPr>
        <w:contextualSpacing/>
        <w:jc w:val="center"/>
        <w:rPr>
          <w:rFonts w:cs="Arial"/>
          <w:bCs/>
          <w:sz w:val="24"/>
        </w:rPr>
      </w:pPr>
      <w:r w:rsidRPr="005B3C80">
        <w:rPr>
          <w:rFonts w:cs="Arial"/>
          <w:bCs/>
          <w:sz w:val="24"/>
        </w:rPr>
        <w:t>Table 11</w:t>
      </w:r>
      <w:r w:rsidR="005B3C80">
        <w:rPr>
          <w:rFonts w:cs="Arial"/>
          <w:bCs/>
          <w:sz w:val="24"/>
        </w:rPr>
        <w:t xml:space="preserve"> Facet Surveys</w:t>
      </w:r>
    </w:p>
    <w:p w14:paraId="2B52EF60" w14:textId="27B5F976" w:rsidR="00CE240B" w:rsidRDefault="00CE240B" w:rsidP="00CE240B">
      <w:pPr>
        <w:contextualSpacing/>
        <w:rPr>
          <w:rFonts w:cs="Arial"/>
          <w:b/>
          <w:sz w:val="24"/>
        </w:rPr>
      </w:pPr>
    </w:p>
    <w:p w14:paraId="244399A1" w14:textId="77777777" w:rsidR="001D2E87" w:rsidRPr="00CE240B" w:rsidRDefault="001D2E87" w:rsidP="00CE240B">
      <w:pPr>
        <w:contextualSpacing/>
        <w:rPr>
          <w:rFonts w:cs="Arial"/>
          <w:b/>
          <w:sz w:val="24"/>
        </w:rPr>
      </w:pPr>
    </w:p>
    <w:tbl>
      <w:tblPr>
        <w:tblW w:w="9239" w:type="dxa"/>
        <w:tblInd w:w="123" w:type="dxa"/>
        <w:tblLook w:val="04A0" w:firstRow="1" w:lastRow="0" w:firstColumn="1" w:lastColumn="0" w:noHBand="0" w:noVBand="1"/>
      </w:tblPr>
      <w:tblGrid>
        <w:gridCol w:w="2753"/>
        <w:gridCol w:w="1492"/>
        <w:gridCol w:w="1622"/>
        <w:gridCol w:w="1750"/>
        <w:gridCol w:w="1622"/>
      </w:tblGrid>
      <w:tr w:rsidR="001D2E87" w:rsidRPr="00CE240B" w14:paraId="7A1CF8AC" w14:textId="77777777" w:rsidTr="00E86E3C">
        <w:trPr>
          <w:trHeight w:val="329"/>
        </w:trPr>
        <w:tc>
          <w:tcPr>
            <w:tcW w:w="9239"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50697E3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WALKERGATE PARK</w:t>
            </w:r>
          </w:p>
        </w:tc>
      </w:tr>
      <w:tr w:rsidR="001D2E87" w:rsidRPr="00CE240B" w14:paraId="4C702E04" w14:textId="77777777" w:rsidTr="00E86E3C">
        <w:trPr>
          <w:trHeight w:val="289"/>
        </w:trPr>
        <w:tc>
          <w:tcPr>
            <w:tcW w:w="2753" w:type="dxa"/>
            <w:vMerge w:val="restart"/>
            <w:tcBorders>
              <w:top w:val="nil"/>
              <w:left w:val="single" w:sz="8" w:space="0" w:color="auto"/>
              <w:bottom w:val="single" w:sz="8" w:space="0" w:color="000000"/>
              <w:right w:val="single" w:sz="8" w:space="0" w:color="auto"/>
            </w:tcBorders>
            <w:shd w:val="clear" w:color="auto" w:fill="auto"/>
            <w:vAlign w:val="center"/>
            <w:hideMark/>
          </w:tcPr>
          <w:p w14:paraId="447CCAC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86" w:type="dxa"/>
            <w:gridSpan w:val="4"/>
            <w:tcBorders>
              <w:top w:val="nil"/>
              <w:left w:val="nil"/>
              <w:bottom w:val="single" w:sz="8" w:space="0" w:color="auto"/>
              <w:right w:val="single" w:sz="8" w:space="0" w:color="000000"/>
            </w:tcBorders>
            <w:shd w:val="clear" w:color="auto" w:fill="auto"/>
            <w:vAlign w:val="center"/>
            <w:hideMark/>
          </w:tcPr>
          <w:p w14:paraId="027B3A1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05127E19" w14:textId="77777777" w:rsidTr="00E86E3C">
        <w:trPr>
          <w:trHeight w:val="276"/>
        </w:trPr>
        <w:tc>
          <w:tcPr>
            <w:tcW w:w="2753" w:type="dxa"/>
            <w:vMerge/>
            <w:tcBorders>
              <w:top w:val="nil"/>
              <w:left w:val="single" w:sz="8" w:space="0" w:color="auto"/>
              <w:bottom w:val="single" w:sz="8" w:space="0" w:color="000000"/>
              <w:right w:val="single" w:sz="8" w:space="0" w:color="auto"/>
            </w:tcBorders>
            <w:vAlign w:val="center"/>
            <w:hideMark/>
          </w:tcPr>
          <w:p w14:paraId="06A22900" w14:textId="77777777" w:rsidR="001D2E87" w:rsidRPr="00CE240B" w:rsidRDefault="001D2E87" w:rsidP="00CE240B">
            <w:pPr>
              <w:contextualSpacing/>
              <w:rPr>
                <w:rFonts w:cs="Arial"/>
                <w:b/>
                <w:bCs/>
                <w:color w:val="000000"/>
                <w:sz w:val="24"/>
              </w:rPr>
            </w:pPr>
          </w:p>
        </w:tc>
        <w:tc>
          <w:tcPr>
            <w:tcW w:w="1621" w:type="dxa"/>
            <w:tcBorders>
              <w:top w:val="nil"/>
              <w:left w:val="nil"/>
              <w:bottom w:val="single" w:sz="8" w:space="0" w:color="auto"/>
              <w:right w:val="single" w:sz="8" w:space="0" w:color="auto"/>
            </w:tcBorders>
            <w:shd w:val="clear" w:color="000000" w:fill="92D050"/>
            <w:vAlign w:val="center"/>
            <w:hideMark/>
          </w:tcPr>
          <w:p w14:paraId="160B8B7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22" w:type="dxa"/>
            <w:tcBorders>
              <w:top w:val="nil"/>
              <w:left w:val="nil"/>
              <w:bottom w:val="single" w:sz="8" w:space="0" w:color="auto"/>
              <w:right w:val="single" w:sz="8" w:space="0" w:color="auto"/>
            </w:tcBorders>
            <w:shd w:val="clear" w:color="000000" w:fill="FFFF00"/>
            <w:vAlign w:val="center"/>
            <w:hideMark/>
          </w:tcPr>
          <w:p w14:paraId="53F1287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21" w:type="dxa"/>
            <w:tcBorders>
              <w:top w:val="nil"/>
              <w:left w:val="nil"/>
              <w:bottom w:val="single" w:sz="8" w:space="0" w:color="auto"/>
              <w:right w:val="single" w:sz="8" w:space="0" w:color="auto"/>
            </w:tcBorders>
            <w:shd w:val="clear" w:color="000000" w:fill="FFC000"/>
            <w:vAlign w:val="center"/>
            <w:hideMark/>
          </w:tcPr>
          <w:p w14:paraId="65AB5DA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22" w:type="dxa"/>
            <w:tcBorders>
              <w:top w:val="nil"/>
              <w:left w:val="nil"/>
              <w:bottom w:val="single" w:sz="8" w:space="0" w:color="auto"/>
              <w:right w:val="single" w:sz="8" w:space="0" w:color="auto"/>
            </w:tcBorders>
            <w:shd w:val="clear" w:color="000000" w:fill="FF0000"/>
            <w:vAlign w:val="center"/>
            <w:hideMark/>
          </w:tcPr>
          <w:p w14:paraId="7A3602B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4B162674"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317C3C4E"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21" w:type="dxa"/>
            <w:tcBorders>
              <w:top w:val="nil"/>
              <w:left w:val="nil"/>
              <w:bottom w:val="single" w:sz="8" w:space="0" w:color="auto"/>
              <w:right w:val="single" w:sz="8" w:space="0" w:color="auto"/>
            </w:tcBorders>
            <w:shd w:val="clear" w:color="000000" w:fill="92D050"/>
            <w:vAlign w:val="center"/>
            <w:hideMark/>
          </w:tcPr>
          <w:p w14:paraId="0622512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FF00"/>
            <w:vAlign w:val="center"/>
            <w:hideMark/>
          </w:tcPr>
          <w:p w14:paraId="6D9036A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93.6</w:t>
            </w:r>
          </w:p>
        </w:tc>
        <w:tc>
          <w:tcPr>
            <w:tcW w:w="1621" w:type="dxa"/>
            <w:tcBorders>
              <w:top w:val="nil"/>
              <w:left w:val="nil"/>
              <w:bottom w:val="single" w:sz="8" w:space="0" w:color="auto"/>
              <w:right w:val="single" w:sz="8" w:space="0" w:color="auto"/>
            </w:tcBorders>
            <w:shd w:val="clear" w:color="000000" w:fill="FFC000"/>
            <w:vAlign w:val="center"/>
            <w:hideMark/>
          </w:tcPr>
          <w:p w14:paraId="508EB88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6.4</w:t>
            </w:r>
          </w:p>
        </w:tc>
        <w:tc>
          <w:tcPr>
            <w:tcW w:w="1622" w:type="dxa"/>
            <w:tcBorders>
              <w:top w:val="nil"/>
              <w:left w:val="nil"/>
              <w:bottom w:val="single" w:sz="8" w:space="0" w:color="auto"/>
              <w:right w:val="single" w:sz="8" w:space="0" w:color="auto"/>
            </w:tcBorders>
            <w:shd w:val="clear" w:color="000000" w:fill="FF0000"/>
            <w:vAlign w:val="center"/>
            <w:hideMark/>
          </w:tcPr>
          <w:p w14:paraId="0E4A150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1EC68BB"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2BCE19B7"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21" w:type="dxa"/>
            <w:tcBorders>
              <w:top w:val="nil"/>
              <w:left w:val="nil"/>
              <w:bottom w:val="single" w:sz="8" w:space="0" w:color="auto"/>
              <w:right w:val="single" w:sz="8" w:space="0" w:color="auto"/>
            </w:tcBorders>
            <w:shd w:val="clear" w:color="000000" w:fill="92D050"/>
            <w:vAlign w:val="center"/>
            <w:hideMark/>
          </w:tcPr>
          <w:p w14:paraId="1CBD58B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FF00"/>
            <w:vAlign w:val="center"/>
            <w:hideMark/>
          </w:tcPr>
          <w:p w14:paraId="27008EF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21" w:type="dxa"/>
            <w:tcBorders>
              <w:top w:val="nil"/>
              <w:left w:val="nil"/>
              <w:bottom w:val="single" w:sz="8" w:space="0" w:color="auto"/>
              <w:right w:val="single" w:sz="8" w:space="0" w:color="auto"/>
            </w:tcBorders>
            <w:shd w:val="clear" w:color="000000" w:fill="FFC000"/>
            <w:vAlign w:val="center"/>
            <w:hideMark/>
          </w:tcPr>
          <w:p w14:paraId="5B7A501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7E5F1D1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5EA76A41"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057A9232"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21" w:type="dxa"/>
            <w:tcBorders>
              <w:top w:val="nil"/>
              <w:left w:val="nil"/>
              <w:bottom w:val="single" w:sz="8" w:space="0" w:color="auto"/>
              <w:right w:val="single" w:sz="8" w:space="0" w:color="auto"/>
            </w:tcBorders>
            <w:shd w:val="clear" w:color="000000" w:fill="92D050"/>
            <w:vAlign w:val="center"/>
            <w:hideMark/>
          </w:tcPr>
          <w:p w14:paraId="4A474DD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89</w:t>
            </w:r>
          </w:p>
        </w:tc>
        <w:tc>
          <w:tcPr>
            <w:tcW w:w="1622" w:type="dxa"/>
            <w:tcBorders>
              <w:top w:val="nil"/>
              <w:left w:val="nil"/>
              <w:bottom w:val="single" w:sz="8" w:space="0" w:color="auto"/>
              <w:right w:val="single" w:sz="8" w:space="0" w:color="auto"/>
            </w:tcBorders>
            <w:shd w:val="clear" w:color="000000" w:fill="FFFF00"/>
            <w:vAlign w:val="center"/>
            <w:hideMark/>
          </w:tcPr>
          <w:p w14:paraId="2C8254D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w:t>
            </w:r>
          </w:p>
        </w:tc>
        <w:tc>
          <w:tcPr>
            <w:tcW w:w="1621" w:type="dxa"/>
            <w:tcBorders>
              <w:top w:val="nil"/>
              <w:left w:val="nil"/>
              <w:bottom w:val="single" w:sz="8" w:space="0" w:color="auto"/>
              <w:right w:val="single" w:sz="8" w:space="0" w:color="auto"/>
            </w:tcBorders>
            <w:shd w:val="clear" w:color="000000" w:fill="FFC000"/>
            <w:vAlign w:val="center"/>
            <w:hideMark/>
          </w:tcPr>
          <w:p w14:paraId="1EFCF81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69C5A71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C94E9AB"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57A41E19"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21" w:type="dxa"/>
            <w:tcBorders>
              <w:top w:val="nil"/>
              <w:left w:val="nil"/>
              <w:bottom w:val="single" w:sz="8" w:space="0" w:color="auto"/>
              <w:right w:val="single" w:sz="8" w:space="0" w:color="auto"/>
            </w:tcBorders>
            <w:shd w:val="clear" w:color="000000" w:fill="92D050"/>
            <w:vAlign w:val="center"/>
            <w:hideMark/>
          </w:tcPr>
          <w:p w14:paraId="4E2380C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89</w:t>
            </w:r>
          </w:p>
        </w:tc>
        <w:tc>
          <w:tcPr>
            <w:tcW w:w="1622" w:type="dxa"/>
            <w:tcBorders>
              <w:top w:val="nil"/>
              <w:left w:val="nil"/>
              <w:bottom w:val="single" w:sz="8" w:space="0" w:color="auto"/>
              <w:right w:val="single" w:sz="8" w:space="0" w:color="auto"/>
            </w:tcBorders>
            <w:shd w:val="clear" w:color="000000" w:fill="FFFF00"/>
            <w:vAlign w:val="center"/>
            <w:hideMark/>
          </w:tcPr>
          <w:p w14:paraId="4310D22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w:t>
            </w:r>
          </w:p>
        </w:tc>
        <w:tc>
          <w:tcPr>
            <w:tcW w:w="1621" w:type="dxa"/>
            <w:tcBorders>
              <w:top w:val="nil"/>
              <w:left w:val="nil"/>
              <w:bottom w:val="single" w:sz="8" w:space="0" w:color="auto"/>
              <w:right w:val="single" w:sz="8" w:space="0" w:color="auto"/>
            </w:tcBorders>
            <w:shd w:val="clear" w:color="000000" w:fill="FFC000"/>
            <w:vAlign w:val="center"/>
            <w:hideMark/>
          </w:tcPr>
          <w:p w14:paraId="775BC76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16FEEB4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9E4CEF0"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07D52E06"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21" w:type="dxa"/>
            <w:tcBorders>
              <w:top w:val="nil"/>
              <w:left w:val="nil"/>
              <w:bottom w:val="single" w:sz="8" w:space="0" w:color="auto"/>
              <w:right w:val="single" w:sz="8" w:space="0" w:color="auto"/>
            </w:tcBorders>
            <w:shd w:val="clear" w:color="000000" w:fill="92D050"/>
            <w:vAlign w:val="center"/>
            <w:hideMark/>
          </w:tcPr>
          <w:p w14:paraId="18535B0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2" w:type="dxa"/>
            <w:tcBorders>
              <w:top w:val="nil"/>
              <w:left w:val="nil"/>
              <w:bottom w:val="single" w:sz="8" w:space="0" w:color="auto"/>
              <w:right w:val="single" w:sz="8" w:space="0" w:color="auto"/>
            </w:tcBorders>
            <w:shd w:val="clear" w:color="000000" w:fill="FFFF00"/>
            <w:vAlign w:val="center"/>
            <w:hideMark/>
          </w:tcPr>
          <w:p w14:paraId="50D89E0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21" w:type="dxa"/>
            <w:tcBorders>
              <w:top w:val="nil"/>
              <w:left w:val="nil"/>
              <w:bottom w:val="single" w:sz="8" w:space="0" w:color="auto"/>
              <w:right w:val="single" w:sz="8" w:space="0" w:color="auto"/>
            </w:tcBorders>
            <w:shd w:val="clear" w:color="000000" w:fill="FFC000"/>
            <w:vAlign w:val="center"/>
            <w:hideMark/>
          </w:tcPr>
          <w:p w14:paraId="2133FF2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62D0A8B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2E9F66B"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59E3CD50"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21" w:type="dxa"/>
            <w:tcBorders>
              <w:top w:val="nil"/>
              <w:left w:val="nil"/>
              <w:bottom w:val="single" w:sz="8" w:space="0" w:color="auto"/>
              <w:right w:val="single" w:sz="8" w:space="0" w:color="auto"/>
            </w:tcBorders>
            <w:shd w:val="clear" w:color="000000" w:fill="92D050"/>
            <w:vAlign w:val="center"/>
            <w:hideMark/>
          </w:tcPr>
          <w:p w14:paraId="1348674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22" w:type="dxa"/>
            <w:tcBorders>
              <w:top w:val="nil"/>
              <w:left w:val="nil"/>
              <w:bottom w:val="single" w:sz="8" w:space="0" w:color="auto"/>
              <w:right w:val="single" w:sz="8" w:space="0" w:color="auto"/>
            </w:tcBorders>
            <w:shd w:val="clear" w:color="000000" w:fill="FFFF00"/>
            <w:vAlign w:val="center"/>
            <w:hideMark/>
          </w:tcPr>
          <w:p w14:paraId="5BAEFA3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21" w:type="dxa"/>
            <w:tcBorders>
              <w:top w:val="nil"/>
              <w:left w:val="nil"/>
              <w:bottom w:val="single" w:sz="8" w:space="0" w:color="auto"/>
              <w:right w:val="single" w:sz="8" w:space="0" w:color="auto"/>
            </w:tcBorders>
            <w:shd w:val="clear" w:color="000000" w:fill="FFC000"/>
            <w:vAlign w:val="center"/>
            <w:hideMark/>
          </w:tcPr>
          <w:p w14:paraId="62C2E22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22" w:type="dxa"/>
            <w:tcBorders>
              <w:top w:val="nil"/>
              <w:left w:val="nil"/>
              <w:bottom w:val="single" w:sz="8" w:space="0" w:color="auto"/>
              <w:right w:val="single" w:sz="8" w:space="0" w:color="auto"/>
            </w:tcBorders>
            <w:shd w:val="clear" w:color="000000" w:fill="FF0000"/>
            <w:vAlign w:val="center"/>
            <w:hideMark/>
          </w:tcPr>
          <w:p w14:paraId="696A025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41E0CF80" w14:textId="77777777" w:rsidTr="00E86E3C">
        <w:trPr>
          <w:trHeight w:val="313"/>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049F1CAC"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21" w:type="dxa"/>
            <w:tcBorders>
              <w:top w:val="nil"/>
              <w:left w:val="nil"/>
              <w:bottom w:val="single" w:sz="8" w:space="0" w:color="auto"/>
              <w:right w:val="single" w:sz="8" w:space="0" w:color="auto"/>
            </w:tcBorders>
            <w:shd w:val="clear" w:color="000000" w:fill="92D050"/>
            <w:vAlign w:val="center"/>
            <w:hideMark/>
          </w:tcPr>
          <w:p w14:paraId="671BB5F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94 </w:t>
            </w:r>
          </w:p>
        </w:tc>
        <w:tc>
          <w:tcPr>
            <w:tcW w:w="1622" w:type="dxa"/>
            <w:tcBorders>
              <w:top w:val="nil"/>
              <w:left w:val="nil"/>
              <w:bottom w:val="single" w:sz="8" w:space="0" w:color="auto"/>
              <w:right w:val="single" w:sz="8" w:space="0" w:color="auto"/>
            </w:tcBorders>
            <w:shd w:val="clear" w:color="000000" w:fill="FFFF00"/>
            <w:vAlign w:val="center"/>
            <w:hideMark/>
          </w:tcPr>
          <w:p w14:paraId="2D21C45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1" w:type="dxa"/>
            <w:tcBorders>
              <w:top w:val="nil"/>
              <w:left w:val="nil"/>
              <w:bottom w:val="single" w:sz="8" w:space="0" w:color="auto"/>
              <w:right w:val="single" w:sz="8" w:space="0" w:color="auto"/>
            </w:tcBorders>
            <w:shd w:val="clear" w:color="000000" w:fill="FFC000"/>
            <w:vAlign w:val="center"/>
            <w:hideMark/>
          </w:tcPr>
          <w:p w14:paraId="0376FDA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2" w:type="dxa"/>
            <w:tcBorders>
              <w:top w:val="nil"/>
              <w:left w:val="nil"/>
              <w:bottom w:val="single" w:sz="8" w:space="0" w:color="auto"/>
              <w:right w:val="single" w:sz="8" w:space="0" w:color="auto"/>
            </w:tcBorders>
            <w:shd w:val="clear" w:color="000000" w:fill="FF0000"/>
            <w:vAlign w:val="center"/>
            <w:hideMark/>
          </w:tcPr>
          <w:p w14:paraId="06ECB4C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6</w:t>
            </w:r>
          </w:p>
        </w:tc>
      </w:tr>
    </w:tbl>
    <w:p w14:paraId="68852FB9" w14:textId="55C223D8" w:rsidR="001D2E87" w:rsidRPr="005B3C80" w:rsidRDefault="00730763" w:rsidP="00730763">
      <w:pPr>
        <w:contextualSpacing/>
        <w:jc w:val="center"/>
        <w:rPr>
          <w:rFonts w:cs="Arial"/>
          <w:bCs/>
          <w:sz w:val="24"/>
        </w:rPr>
      </w:pPr>
      <w:r w:rsidRPr="005B3C80">
        <w:rPr>
          <w:rFonts w:cs="Arial"/>
          <w:bCs/>
          <w:sz w:val="24"/>
        </w:rPr>
        <w:t>Table 12</w:t>
      </w:r>
      <w:r w:rsidR="005B3C80">
        <w:rPr>
          <w:rFonts w:cs="Arial"/>
          <w:bCs/>
          <w:sz w:val="24"/>
        </w:rPr>
        <w:t xml:space="preserve"> Facet Surveys</w:t>
      </w:r>
    </w:p>
    <w:p w14:paraId="5884BE52" w14:textId="77777777" w:rsidR="001D2E87" w:rsidRPr="00CE240B" w:rsidRDefault="001D2E87" w:rsidP="00CE240B">
      <w:pPr>
        <w:contextualSpacing/>
        <w:rPr>
          <w:rFonts w:cs="Arial"/>
          <w:b/>
          <w:color w:val="FF0000"/>
          <w:sz w:val="24"/>
        </w:rPr>
      </w:pPr>
    </w:p>
    <w:tbl>
      <w:tblPr>
        <w:tblW w:w="9239" w:type="dxa"/>
        <w:tblInd w:w="123" w:type="dxa"/>
        <w:tblLook w:val="04A0" w:firstRow="1" w:lastRow="0" w:firstColumn="1" w:lastColumn="0" w:noHBand="0" w:noVBand="1"/>
      </w:tblPr>
      <w:tblGrid>
        <w:gridCol w:w="2753"/>
        <w:gridCol w:w="1492"/>
        <w:gridCol w:w="1622"/>
        <w:gridCol w:w="1750"/>
        <w:gridCol w:w="1622"/>
      </w:tblGrid>
      <w:tr w:rsidR="001D2E87" w:rsidRPr="00CE240B" w14:paraId="74A3CCDE" w14:textId="77777777" w:rsidTr="00E86E3C">
        <w:trPr>
          <w:trHeight w:val="324"/>
        </w:trPr>
        <w:tc>
          <w:tcPr>
            <w:tcW w:w="9239"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7786422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HOPEWOOD PARK</w:t>
            </w:r>
          </w:p>
        </w:tc>
      </w:tr>
      <w:tr w:rsidR="001D2E87" w:rsidRPr="00CE240B" w14:paraId="31F87590" w14:textId="77777777" w:rsidTr="00E86E3C">
        <w:trPr>
          <w:trHeight w:val="285"/>
        </w:trPr>
        <w:tc>
          <w:tcPr>
            <w:tcW w:w="2753" w:type="dxa"/>
            <w:vMerge w:val="restart"/>
            <w:tcBorders>
              <w:top w:val="nil"/>
              <w:left w:val="single" w:sz="8" w:space="0" w:color="auto"/>
              <w:bottom w:val="single" w:sz="8" w:space="0" w:color="000000"/>
              <w:right w:val="single" w:sz="8" w:space="0" w:color="auto"/>
            </w:tcBorders>
            <w:shd w:val="clear" w:color="auto" w:fill="auto"/>
            <w:vAlign w:val="center"/>
            <w:hideMark/>
          </w:tcPr>
          <w:p w14:paraId="4AF75B9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86" w:type="dxa"/>
            <w:gridSpan w:val="4"/>
            <w:tcBorders>
              <w:top w:val="nil"/>
              <w:left w:val="nil"/>
              <w:bottom w:val="single" w:sz="8" w:space="0" w:color="auto"/>
              <w:right w:val="single" w:sz="8" w:space="0" w:color="000000"/>
            </w:tcBorders>
            <w:shd w:val="clear" w:color="auto" w:fill="auto"/>
            <w:vAlign w:val="center"/>
            <w:hideMark/>
          </w:tcPr>
          <w:p w14:paraId="0E82260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00C9749B" w14:textId="77777777" w:rsidTr="00E86E3C">
        <w:trPr>
          <w:trHeight w:val="272"/>
        </w:trPr>
        <w:tc>
          <w:tcPr>
            <w:tcW w:w="2753" w:type="dxa"/>
            <w:vMerge/>
            <w:tcBorders>
              <w:top w:val="nil"/>
              <w:left w:val="single" w:sz="8" w:space="0" w:color="auto"/>
              <w:bottom w:val="single" w:sz="8" w:space="0" w:color="000000"/>
              <w:right w:val="single" w:sz="8" w:space="0" w:color="auto"/>
            </w:tcBorders>
            <w:vAlign w:val="center"/>
            <w:hideMark/>
          </w:tcPr>
          <w:p w14:paraId="23C2EB8F" w14:textId="77777777" w:rsidR="001D2E87" w:rsidRPr="00CE240B" w:rsidRDefault="001D2E87" w:rsidP="00CE240B">
            <w:pPr>
              <w:contextualSpacing/>
              <w:rPr>
                <w:rFonts w:cs="Arial"/>
                <w:b/>
                <w:bCs/>
                <w:color w:val="000000"/>
                <w:sz w:val="24"/>
              </w:rPr>
            </w:pPr>
          </w:p>
        </w:tc>
        <w:tc>
          <w:tcPr>
            <w:tcW w:w="1621" w:type="dxa"/>
            <w:tcBorders>
              <w:top w:val="nil"/>
              <w:left w:val="nil"/>
              <w:bottom w:val="single" w:sz="8" w:space="0" w:color="auto"/>
              <w:right w:val="single" w:sz="8" w:space="0" w:color="auto"/>
            </w:tcBorders>
            <w:shd w:val="clear" w:color="000000" w:fill="92D050"/>
            <w:vAlign w:val="center"/>
            <w:hideMark/>
          </w:tcPr>
          <w:p w14:paraId="07D3830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22" w:type="dxa"/>
            <w:tcBorders>
              <w:top w:val="nil"/>
              <w:left w:val="nil"/>
              <w:bottom w:val="single" w:sz="8" w:space="0" w:color="auto"/>
              <w:right w:val="single" w:sz="8" w:space="0" w:color="auto"/>
            </w:tcBorders>
            <w:shd w:val="clear" w:color="000000" w:fill="FFFF00"/>
            <w:vAlign w:val="center"/>
            <w:hideMark/>
          </w:tcPr>
          <w:p w14:paraId="585742B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21" w:type="dxa"/>
            <w:tcBorders>
              <w:top w:val="nil"/>
              <w:left w:val="nil"/>
              <w:bottom w:val="single" w:sz="8" w:space="0" w:color="auto"/>
              <w:right w:val="single" w:sz="8" w:space="0" w:color="auto"/>
            </w:tcBorders>
            <w:shd w:val="clear" w:color="000000" w:fill="FFC000"/>
            <w:vAlign w:val="center"/>
            <w:hideMark/>
          </w:tcPr>
          <w:p w14:paraId="26A855A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22" w:type="dxa"/>
            <w:tcBorders>
              <w:top w:val="nil"/>
              <w:left w:val="nil"/>
              <w:bottom w:val="single" w:sz="8" w:space="0" w:color="auto"/>
              <w:right w:val="single" w:sz="8" w:space="0" w:color="auto"/>
            </w:tcBorders>
            <w:shd w:val="clear" w:color="000000" w:fill="FF0000"/>
            <w:vAlign w:val="center"/>
            <w:hideMark/>
          </w:tcPr>
          <w:p w14:paraId="22E9DCD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55A388EE"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4B8B0BA4"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21" w:type="dxa"/>
            <w:tcBorders>
              <w:top w:val="nil"/>
              <w:left w:val="nil"/>
              <w:bottom w:val="single" w:sz="8" w:space="0" w:color="auto"/>
              <w:right w:val="single" w:sz="8" w:space="0" w:color="auto"/>
            </w:tcBorders>
            <w:shd w:val="clear" w:color="000000" w:fill="92D050"/>
            <w:vAlign w:val="center"/>
            <w:hideMark/>
          </w:tcPr>
          <w:p w14:paraId="304A684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FF00"/>
            <w:vAlign w:val="center"/>
            <w:hideMark/>
          </w:tcPr>
          <w:p w14:paraId="3190091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86.5</w:t>
            </w:r>
          </w:p>
        </w:tc>
        <w:tc>
          <w:tcPr>
            <w:tcW w:w="1621" w:type="dxa"/>
            <w:tcBorders>
              <w:top w:val="nil"/>
              <w:left w:val="nil"/>
              <w:bottom w:val="single" w:sz="8" w:space="0" w:color="auto"/>
              <w:right w:val="single" w:sz="8" w:space="0" w:color="auto"/>
            </w:tcBorders>
            <w:shd w:val="clear" w:color="000000" w:fill="FFC000"/>
            <w:vAlign w:val="center"/>
            <w:hideMark/>
          </w:tcPr>
          <w:p w14:paraId="7DBAB81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13.5</w:t>
            </w:r>
          </w:p>
        </w:tc>
        <w:tc>
          <w:tcPr>
            <w:tcW w:w="1622" w:type="dxa"/>
            <w:tcBorders>
              <w:top w:val="nil"/>
              <w:left w:val="nil"/>
              <w:bottom w:val="single" w:sz="8" w:space="0" w:color="auto"/>
              <w:right w:val="single" w:sz="8" w:space="0" w:color="auto"/>
            </w:tcBorders>
            <w:shd w:val="clear" w:color="000000" w:fill="FF0000"/>
            <w:vAlign w:val="center"/>
            <w:hideMark/>
          </w:tcPr>
          <w:p w14:paraId="7F35FFC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418CCD1"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7DC8FF7A"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21" w:type="dxa"/>
            <w:tcBorders>
              <w:top w:val="nil"/>
              <w:left w:val="nil"/>
              <w:bottom w:val="single" w:sz="8" w:space="0" w:color="auto"/>
              <w:right w:val="single" w:sz="8" w:space="0" w:color="auto"/>
            </w:tcBorders>
            <w:shd w:val="clear" w:color="000000" w:fill="92D050"/>
            <w:vAlign w:val="center"/>
            <w:hideMark/>
          </w:tcPr>
          <w:p w14:paraId="22FDF68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FF00"/>
            <w:vAlign w:val="center"/>
            <w:hideMark/>
          </w:tcPr>
          <w:p w14:paraId="03E7D27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88.2</w:t>
            </w:r>
          </w:p>
        </w:tc>
        <w:tc>
          <w:tcPr>
            <w:tcW w:w="1621" w:type="dxa"/>
            <w:tcBorders>
              <w:top w:val="nil"/>
              <w:left w:val="nil"/>
              <w:bottom w:val="single" w:sz="8" w:space="0" w:color="auto"/>
              <w:right w:val="single" w:sz="8" w:space="0" w:color="auto"/>
            </w:tcBorders>
            <w:shd w:val="clear" w:color="000000" w:fill="FFC000"/>
            <w:vAlign w:val="center"/>
            <w:hideMark/>
          </w:tcPr>
          <w:p w14:paraId="6F82F4C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11.8</w:t>
            </w:r>
          </w:p>
        </w:tc>
        <w:tc>
          <w:tcPr>
            <w:tcW w:w="1622" w:type="dxa"/>
            <w:tcBorders>
              <w:top w:val="nil"/>
              <w:left w:val="nil"/>
              <w:bottom w:val="single" w:sz="8" w:space="0" w:color="auto"/>
              <w:right w:val="single" w:sz="8" w:space="0" w:color="auto"/>
            </w:tcBorders>
            <w:shd w:val="clear" w:color="000000" w:fill="FF0000"/>
            <w:vAlign w:val="center"/>
            <w:hideMark/>
          </w:tcPr>
          <w:p w14:paraId="0DF466C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77DDC03"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767661E9"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21" w:type="dxa"/>
            <w:tcBorders>
              <w:top w:val="nil"/>
              <w:left w:val="nil"/>
              <w:bottom w:val="single" w:sz="8" w:space="0" w:color="auto"/>
              <w:right w:val="single" w:sz="8" w:space="0" w:color="auto"/>
            </w:tcBorders>
            <w:shd w:val="clear" w:color="000000" w:fill="92D050"/>
            <w:vAlign w:val="center"/>
            <w:hideMark/>
          </w:tcPr>
          <w:p w14:paraId="36972EB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FF00"/>
            <w:vAlign w:val="center"/>
            <w:hideMark/>
          </w:tcPr>
          <w:p w14:paraId="60E8F5A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92.6</w:t>
            </w:r>
          </w:p>
        </w:tc>
        <w:tc>
          <w:tcPr>
            <w:tcW w:w="1621" w:type="dxa"/>
            <w:tcBorders>
              <w:top w:val="nil"/>
              <w:left w:val="nil"/>
              <w:bottom w:val="single" w:sz="8" w:space="0" w:color="auto"/>
              <w:right w:val="single" w:sz="8" w:space="0" w:color="auto"/>
            </w:tcBorders>
            <w:shd w:val="clear" w:color="000000" w:fill="FFC000"/>
            <w:vAlign w:val="center"/>
            <w:hideMark/>
          </w:tcPr>
          <w:p w14:paraId="6425F91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7.4</w:t>
            </w:r>
          </w:p>
        </w:tc>
        <w:tc>
          <w:tcPr>
            <w:tcW w:w="1622" w:type="dxa"/>
            <w:tcBorders>
              <w:top w:val="nil"/>
              <w:left w:val="nil"/>
              <w:bottom w:val="single" w:sz="8" w:space="0" w:color="auto"/>
              <w:right w:val="single" w:sz="8" w:space="0" w:color="auto"/>
            </w:tcBorders>
            <w:shd w:val="clear" w:color="000000" w:fill="FF0000"/>
            <w:vAlign w:val="center"/>
            <w:hideMark/>
          </w:tcPr>
          <w:p w14:paraId="1FD0C76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BE3D0C6"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226E17AA"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21" w:type="dxa"/>
            <w:tcBorders>
              <w:top w:val="nil"/>
              <w:left w:val="nil"/>
              <w:bottom w:val="single" w:sz="8" w:space="0" w:color="auto"/>
              <w:right w:val="single" w:sz="8" w:space="0" w:color="auto"/>
            </w:tcBorders>
            <w:shd w:val="clear" w:color="000000" w:fill="92D050"/>
            <w:vAlign w:val="center"/>
            <w:hideMark/>
          </w:tcPr>
          <w:p w14:paraId="748E8D8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58.3</w:t>
            </w:r>
          </w:p>
        </w:tc>
        <w:tc>
          <w:tcPr>
            <w:tcW w:w="1622" w:type="dxa"/>
            <w:tcBorders>
              <w:top w:val="nil"/>
              <w:left w:val="nil"/>
              <w:bottom w:val="single" w:sz="8" w:space="0" w:color="auto"/>
              <w:right w:val="single" w:sz="8" w:space="0" w:color="auto"/>
            </w:tcBorders>
            <w:shd w:val="clear" w:color="000000" w:fill="FFFF00"/>
            <w:vAlign w:val="center"/>
            <w:hideMark/>
          </w:tcPr>
          <w:p w14:paraId="1BD94E4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41.7</w:t>
            </w:r>
          </w:p>
        </w:tc>
        <w:tc>
          <w:tcPr>
            <w:tcW w:w="1621" w:type="dxa"/>
            <w:tcBorders>
              <w:top w:val="nil"/>
              <w:left w:val="nil"/>
              <w:bottom w:val="single" w:sz="8" w:space="0" w:color="auto"/>
              <w:right w:val="single" w:sz="8" w:space="0" w:color="auto"/>
            </w:tcBorders>
            <w:shd w:val="clear" w:color="000000" w:fill="FFC000"/>
            <w:vAlign w:val="center"/>
            <w:hideMark/>
          </w:tcPr>
          <w:p w14:paraId="7A9D2E4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7B05E30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E0AF795"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5DCD032F"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21" w:type="dxa"/>
            <w:tcBorders>
              <w:top w:val="nil"/>
              <w:left w:val="nil"/>
              <w:bottom w:val="single" w:sz="8" w:space="0" w:color="auto"/>
              <w:right w:val="single" w:sz="8" w:space="0" w:color="auto"/>
            </w:tcBorders>
            <w:shd w:val="clear" w:color="000000" w:fill="92D050"/>
            <w:vAlign w:val="center"/>
            <w:hideMark/>
          </w:tcPr>
          <w:p w14:paraId="1D00185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22" w:type="dxa"/>
            <w:tcBorders>
              <w:top w:val="nil"/>
              <w:left w:val="nil"/>
              <w:bottom w:val="single" w:sz="8" w:space="0" w:color="auto"/>
              <w:right w:val="single" w:sz="8" w:space="0" w:color="auto"/>
            </w:tcBorders>
            <w:shd w:val="clear" w:color="000000" w:fill="FFFF00"/>
            <w:vAlign w:val="center"/>
            <w:hideMark/>
          </w:tcPr>
          <w:p w14:paraId="27B180A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69.4</w:t>
            </w:r>
          </w:p>
        </w:tc>
        <w:tc>
          <w:tcPr>
            <w:tcW w:w="1621" w:type="dxa"/>
            <w:tcBorders>
              <w:top w:val="nil"/>
              <w:left w:val="nil"/>
              <w:bottom w:val="single" w:sz="8" w:space="0" w:color="auto"/>
              <w:right w:val="single" w:sz="8" w:space="0" w:color="auto"/>
            </w:tcBorders>
            <w:shd w:val="clear" w:color="000000" w:fill="FFC000"/>
            <w:vAlign w:val="center"/>
            <w:hideMark/>
          </w:tcPr>
          <w:p w14:paraId="5FA1DE2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30.6</w:t>
            </w:r>
          </w:p>
        </w:tc>
        <w:tc>
          <w:tcPr>
            <w:tcW w:w="1622" w:type="dxa"/>
            <w:tcBorders>
              <w:top w:val="nil"/>
              <w:left w:val="nil"/>
              <w:bottom w:val="single" w:sz="8" w:space="0" w:color="auto"/>
              <w:right w:val="single" w:sz="8" w:space="0" w:color="auto"/>
            </w:tcBorders>
            <w:shd w:val="clear" w:color="000000" w:fill="FF0000"/>
            <w:vAlign w:val="center"/>
            <w:hideMark/>
          </w:tcPr>
          <w:p w14:paraId="5FD4B40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w:t>
            </w:r>
          </w:p>
        </w:tc>
      </w:tr>
      <w:tr w:rsidR="001D2E87" w:rsidRPr="00CE240B" w14:paraId="26565883"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05C9122F"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21" w:type="dxa"/>
            <w:tcBorders>
              <w:top w:val="nil"/>
              <w:left w:val="nil"/>
              <w:bottom w:val="single" w:sz="8" w:space="0" w:color="auto"/>
              <w:right w:val="single" w:sz="8" w:space="0" w:color="auto"/>
            </w:tcBorders>
            <w:shd w:val="clear" w:color="000000" w:fill="92D050"/>
            <w:vAlign w:val="center"/>
            <w:hideMark/>
          </w:tcPr>
          <w:p w14:paraId="0DCB3CB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22" w:type="dxa"/>
            <w:tcBorders>
              <w:top w:val="nil"/>
              <w:left w:val="nil"/>
              <w:bottom w:val="single" w:sz="8" w:space="0" w:color="auto"/>
              <w:right w:val="single" w:sz="8" w:space="0" w:color="auto"/>
            </w:tcBorders>
            <w:shd w:val="clear" w:color="000000" w:fill="FFFF00"/>
            <w:vAlign w:val="center"/>
            <w:hideMark/>
          </w:tcPr>
          <w:p w14:paraId="48E4EF5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21" w:type="dxa"/>
            <w:tcBorders>
              <w:top w:val="nil"/>
              <w:left w:val="nil"/>
              <w:bottom w:val="single" w:sz="8" w:space="0" w:color="auto"/>
              <w:right w:val="single" w:sz="8" w:space="0" w:color="auto"/>
            </w:tcBorders>
            <w:shd w:val="clear" w:color="000000" w:fill="FFC000"/>
            <w:vAlign w:val="center"/>
            <w:hideMark/>
          </w:tcPr>
          <w:p w14:paraId="11BE41D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22" w:type="dxa"/>
            <w:tcBorders>
              <w:top w:val="nil"/>
              <w:left w:val="nil"/>
              <w:bottom w:val="single" w:sz="8" w:space="0" w:color="auto"/>
              <w:right w:val="single" w:sz="8" w:space="0" w:color="auto"/>
            </w:tcBorders>
            <w:shd w:val="clear" w:color="000000" w:fill="FF0000"/>
            <w:vAlign w:val="center"/>
            <w:hideMark/>
          </w:tcPr>
          <w:p w14:paraId="4AF14E5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27E8F4B3" w14:textId="77777777" w:rsidTr="00E86E3C">
        <w:trPr>
          <w:trHeight w:val="308"/>
        </w:trPr>
        <w:tc>
          <w:tcPr>
            <w:tcW w:w="2753" w:type="dxa"/>
            <w:tcBorders>
              <w:top w:val="nil"/>
              <w:left w:val="single" w:sz="12" w:space="0" w:color="auto"/>
              <w:bottom w:val="single" w:sz="8" w:space="0" w:color="auto"/>
              <w:right w:val="single" w:sz="8" w:space="0" w:color="auto"/>
            </w:tcBorders>
            <w:shd w:val="clear" w:color="auto" w:fill="auto"/>
            <w:vAlign w:val="center"/>
            <w:hideMark/>
          </w:tcPr>
          <w:p w14:paraId="598E6052"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21" w:type="dxa"/>
            <w:tcBorders>
              <w:top w:val="nil"/>
              <w:left w:val="nil"/>
              <w:bottom w:val="single" w:sz="8" w:space="0" w:color="auto"/>
              <w:right w:val="single" w:sz="8" w:space="0" w:color="auto"/>
            </w:tcBorders>
            <w:shd w:val="clear" w:color="000000" w:fill="92D050"/>
            <w:vAlign w:val="center"/>
            <w:hideMark/>
          </w:tcPr>
          <w:p w14:paraId="4612159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88.2</w:t>
            </w:r>
          </w:p>
        </w:tc>
        <w:tc>
          <w:tcPr>
            <w:tcW w:w="1622" w:type="dxa"/>
            <w:tcBorders>
              <w:top w:val="nil"/>
              <w:left w:val="nil"/>
              <w:bottom w:val="single" w:sz="8" w:space="0" w:color="auto"/>
              <w:right w:val="single" w:sz="8" w:space="0" w:color="auto"/>
            </w:tcBorders>
            <w:shd w:val="clear" w:color="000000" w:fill="FFFF00"/>
            <w:vAlign w:val="center"/>
            <w:hideMark/>
          </w:tcPr>
          <w:p w14:paraId="3ED3EA1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7.4</w:t>
            </w:r>
          </w:p>
        </w:tc>
        <w:tc>
          <w:tcPr>
            <w:tcW w:w="1621" w:type="dxa"/>
            <w:tcBorders>
              <w:top w:val="nil"/>
              <w:left w:val="nil"/>
              <w:bottom w:val="single" w:sz="8" w:space="0" w:color="auto"/>
              <w:right w:val="single" w:sz="8" w:space="0" w:color="auto"/>
            </w:tcBorders>
            <w:shd w:val="clear" w:color="000000" w:fill="FFC000"/>
            <w:vAlign w:val="center"/>
            <w:hideMark/>
          </w:tcPr>
          <w:p w14:paraId="62C9890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22" w:type="dxa"/>
            <w:tcBorders>
              <w:top w:val="nil"/>
              <w:left w:val="nil"/>
              <w:bottom w:val="single" w:sz="8" w:space="0" w:color="auto"/>
              <w:right w:val="single" w:sz="8" w:space="0" w:color="auto"/>
            </w:tcBorders>
            <w:shd w:val="clear" w:color="000000" w:fill="FF0000"/>
            <w:vAlign w:val="center"/>
            <w:hideMark/>
          </w:tcPr>
          <w:p w14:paraId="689B466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4.5</w:t>
            </w:r>
          </w:p>
        </w:tc>
      </w:tr>
    </w:tbl>
    <w:p w14:paraId="38A1580A" w14:textId="06C80921" w:rsidR="001D2E87" w:rsidRDefault="00730763" w:rsidP="00730763">
      <w:pPr>
        <w:contextualSpacing/>
        <w:jc w:val="center"/>
        <w:rPr>
          <w:rFonts w:cs="Arial"/>
          <w:bCs/>
          <w:sz w:val="24"/>
        </w:rPr>
      </w:pPr>
      <w:r w:rsidRPr="005B3C80">
        <w:rPr>
          <w:rFonts w:cs="Arial"/>
          <w:bCs/>
          <w:sz w:val="24"/>
        </w:rPr>
        <w:t>Table 13</w:t>
      </w:r>
      <w:r w:rsidR="005B3C80">
        <w:rPr>
          <w:rFonts w:cs="Arial"/>
          <w:bCs/>
          <w:sz w:val="24"/>
        </w:rPr>
        <w:t xml:space="preserve"> Facet Surveys</w:t>
      </w:r>
    </w:p>
    <w:p w14:paraId="7A181468" w14:textId="77777777" w:rsidR="007E7D73" w:rsidRDefault="007E7D73" w:rsidP="00730763">
      <w:pPr>
        <w:contextualSpacing/>
        <w:jc w:val="center"/>
        <w:rPr>
          <w:rFonts w:cs="Arial"/>
          <w:bCs/>
          <w:sz w:val="24"/>
        </w:rPr>
      </w:pPr>
    </w:p>
    <w:p w14:paraId="402543E7" w14:textId="77777777" w:rsidR="007E7D73" w:rsidRDefault="007E7D73" w:rsidP="00730763">
      <w:pPr>
        <w:contextualSpacing/>
        <w:jc w:val="center"/>
        <w:rPr>
          <w:rFonts w:cs="Arial"/>
          <w:bCs/>
          <w:sz w:val="24"/>
        </w:rPr>
      </w:pPr>
    </w:p>
    <w:p w14:paraId="6091BF43" w14:textId="77777777" w:rsidR="007E7D73" w:rsidRDefault="007E7D73" w:rsidP="00730763">
      <w:pPr>
        <w:contextualSpacing/>
        <w:jc w:val="center"/>
        <w:rPr>
          <w:rFonts w:cs="Arial"/>
          <w:bCs/>
          <w:sz w:val="24"/>
        </w:rPr>
      </w:pPr>
    </w:p>
    <w:p w14:paraId="4A65CB11" w14:textId="77777777" w:rsidR="007E7D73" w:rsidRDefault="007E7D73" w:rsidP="00730763">
      <w:pPr>
        <w:contextualSpacing/>
        <w:jc w:val="center"/>
        <w:rPr>
          <w:rFonts w:cs="Arial"/>
          <w:bCs/>
          <w:sz w:val="24"/>
        </w:rPr>
      </w:pPr>
    </w:p>
    <w:p w14:paraId="3DD724A9" w14:textId="77777777" w:rsidR="007E7D73" w:rsidRPr="005B3C80" w:rsidRDefault="007E7D73" w:rsidP="00730763">
      <w:pPr>
        <w:contextualSpacing/>
        <w:jc w:val="center"/>
        <w:rPr>
          <w:rFonts w:cs="Arial"/>
          <w:bCs/>
          <w:sz w:val="24"/>
        </w:rPr>
      </w:pPr>
    </w:p>
    <w:p w14:paraId="6ECC6463" w14:textId="77777777" w:rsidR="001D2E87" w:rsidRPr="00CE240B" w:rsidRDefault="001D2E87" w:rsidP="00CE240B">
      <w:pPr>
        <w:contextualSpacing/>
        <w:rPr>
          <w:rFonts w:cs="Arial"/>
          <w:b/>
          <w:color w:val="FF0000"/>
          <w:sz w:val="24"/>
        </w:rPr>
      </w:pPr>
    </w:p>
    <w:tbl>
      <w:tblPr>
        <w:tblW w:w="9117" w:type="dxa"/>
        <w:tblInd w:w="123" w:type="dxa"/>
        <w:tblLook w:val="04A0" w:firstRow="1" w:lastRow="0" w:firstColumn="1" w:lastColumn="0" w:noHBand="0" w:noVBand="1"/>
      </w:tblPr>
      <w:tblGrid>
        <w:gridCol w:w="2716"/>
        <w:gridCol w:w="1448"/>
        <w:gridCol w:w="1600"/>
        <w:gridCol w:w="1750"/>
        <w:gridCol w:w="1603"/>
      </w:tblGrid>
      <w:tr w:rsidR="001D2E87" w:rsidRPr="00CE240B" w14:paraId="11CA78D8" w14:textId="77777777" w:rsidTr="00E86E3C">
        <w:trPr>
          <w:trHeight w:val="321"/>
        </w:trPr>
        <w:tc>
          <w:tcPr>
            <w:tcW w:w="9117"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32340C5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MONKWEARMOUTH HOSPITAL</w:t>
            </w:r>
          </w:p>
        </w:tc>
      </w:tr>
      <w:tr w:rsidR="001D2E87" w:rsidRPr="00CE240B" w14:paraId="31FF8426" w14:textId="77777777" w:rsidTr="006A3FFE">
        <w:trPr>
          <w:trHeight w:val="283"/>
        </w:trPr>
        <w:tc>
          <w:tcPr>
            <w:tcW w:w="2716" w:type="dxa"/>
            <w:vMerge w:val="restart"/>
            <w:tcBorders>
              <w:top w:val="nil"/>
              <w:left w:val="single" w:sz="8" w:space="0" w:color="auto"/>
              <w:bottom w:val="single" w:sz="8" w:space="0" w:color="000000"/>
              <w:right w:val="single" w:sz="8" w:space="0" w:color="auto"/>
            </w:tcBorders>
            <w:shd w:val="clear" w:color="auto" w:fill="auto"/>
            <w:vAlign w:val="center"/>
            <w:hideMark/>
          </w:tcPr>
          <w:p w14:paraId="1F8AA70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01" w:type="dxa"/>
            <w:gridSpan w:val="4"/>
            <w:tcBorders>
              <w:top w:val="nil"/>
              <w:left w:val="nil"/>
              <w:bottom w:val="single" w:sz="8" w:space="0" w:color="auto"/>
              <w:right w:val="single" w:sz="8" w:space="0" w:color="000000"/>
            </w:tcBorders>
            <w:shd w:val="clear" w:color="auto" w:fill="auto"/>
            <w:vAlign w:val="center"/>
            <w:hideMark/>
          </w:tcPr>
          <w:p w14:paraId="25365FA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709ED380" w14:textId="77777777" w:rsidTr="006A3FFE">
        <w:trPr>
          <w:trHeight w:val="270"/>
        </w:trPr>
        <w:tc>
          <w:tcPr>
            <w:tcW w:w="2716" w:type="dxa"/>
            <w:vMerge/>
            <w:tcBorders>
              <w:top w:val="nil"/>
              <w:left w:val="single" w:sz="8" w:space="0" w:color="auto"/>
              <w:bottom w:val="single" w:sz="8" w:space="0" w:color="000000"/>
              <w:right w:val="single" w:sz="8" w:space="0" w:color="auto"/>
            </w:tcBorders>
            <w:vAlign w:val="center"/>
            <w:hideMark/>
          </w:tcPr>
          <w:p w14:paraId="327D656C" w14:textId="77777777" w:rsidR="001D2E87" w:rsidRPr="00CE240B" w:rsidRDefault="001D2E87" w:rsidP="00CE240B">
            <w:pPr>
              <w:contextualSpacing/>
              <w:rPr>
                <w:rFonts w:cs="Arial"/>
                <w:b/>
                <w:bCs/>
                <w:color w:val="000000"/>
                <w:sz w:val="24"/>
              </w:rPr>
            </w:pPr>
          </w:p>
        </w:tc>
        <w:tc>
          <w:tcPr>
            <w:tcW w:w="1599" w:type="dxa"/>
            <w:tcBorders>
              <w:top w:val="nil"/>
              <w:left w:val="nil"/>
              <w:bottom w:val="single" w:sz="8" w:space="0" w:color="auto"/>
              <w:right w:val="single" w:sz="8" w:space="0" w:color="auto"/>
            </w:tcBorders>
            <w:shd w:val="clear" w:color="000000" w:fill="92D050"/>
            <w:vAlign w:val="center"/>
            <w:hideMark/>
          </w:tcPr>
          <w:p w14:paraId="0FA89BE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00" w:type="dxa"/>
            <w:tcBorders>
              <w:top w:val="nil"/>
              <w:left w:val="nil"/>
              <w:bottom w:val="single" w:sz="8" w:space="0" w:color="auto"/>
              <w:right w:val="single" w:sz="8" w:space="0" w:color="auto"/>
            </w:tcBorders>
            <w:shd w:val="clear" w:color="000000" w:fill="FFFF00"/>
            <w:vAlign w:val="center"/>
            <w:hideMark/>
          </w:tcPr>
          <w:p w14:paraId="5270D0B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599" w:type="dxa"/>
            <w:tcBorders>
              <w:top w:val="nil"/>
              <w:left w:val="nil"/>
              <w:bottom w:val="single" w:sz="8" w:space="0" w:color="auto"/>
              <w:right w:val="single" w:sz="8" w:space="0" w:color="auto"/>
            </w:tcBorders>
            <w:shd w:val="clear" w:color="000000" w:fill="FFC000"/>
            <w:vAlign w:val="center"/>
            <w:hideMark/>
          </w:tcPr>
          <w:p w14:paraId="4D02FAD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03" w:type="dxa"/>
            <w:tcBorders>
              <w:top w:val="nil"/>
              <w:left w:val="nil"/>
              <w:bottom w:val="single" w:sz="8" w:space="0" w:color="auto"/>
              <w:right w:val="single" w:sz="8" w:space="0" w:color="auto"/>
            </w:tcBorders>
            <w:shd w:val="clear" w:color="000000" w:fill="FF0000"/>
            <w:vAlign w:val="center"/>
            <w:hideMark/>
          </w:tcPr>
          <w:p w14:paraId="065E744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528B5F86"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1824D94D"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599" w:type="dxa"/>
            <w:tcBorders>
              <w:top w:val="nil"/>
              <w:left w:val="nil"/>
              <w:bottom w:val="single" w:sz="8" w:space="0" w:color="auto"/>
              <w:right w:val="single" w:sz="8" w:space="0" w:color="auto"/>
            </w:tcBorders>
            <w:shd w:val="clear" w:color="000000" w:fill="92D050"/>
            <w:vAlign w:val="center"/>
            <w:hideMark/>
          </w:tcPr>
          <w:p w14:paraId="58B125E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0" w:type="dxa"/>
            <w:tcBorders>
              <w:top w:val="nil"/>
              <w:left w:val="nil"/>
              <w:bottom w:val="single" w:sz="8" w:space="0" w:color="auto"/>
              <w:right w:val="single" w:sz="8" w:space="0" w:color="auto"/>
            </w:tcBorders>
            <w:shd w:val="clear" w:color="000000" w:fill="FFFF00"/>
            <w:vAlign w:val="center"/>
            <w:hideMark/>
          </w:tcPr>
          <w:p w14:paraId="1F08F5D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93.6</w:t>
            </w:r>
          </w:p>
        </w:tc>
        <w:tc>
          <w:tcPr>
            <w:tcW w:w="1599" w:type="dxa"/>
            <w:tcBorders>
              <w:top w:val="nil"/>
              <w:left w:val="nil"/>
              <w:bottom w:val="single" w:sz="8" w:space="0" w:color="auto"/>
              <w:right w:val="single" w:sz="8" w:space="0" w:color="auto"/>
            </w:tcBorders>
            <w:shd w:val="clear" w:color="000000" w:fill="FFC000"/>
            <w:vAlign w:val="center"/>
            <w:hideMark/>
          </w:tcPr>
          <w:p w14:paraId="35CB7BB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6.4</w:t>
            </w:r>
          </w:p>
        </w:tc>
        <w:tc>
          <w:tcPr>
            <w:tcW w:w="1603" w:type="dxa"/>
            <w:tcBorders>
              <w:top w:val="nil"/>
              <w:left w:val="nil"/>
              <w:bottom w:val="single" w:sz="8" w:space="0" w:color="auto"/>
              <w:right w:val="single" w:sz="8" w:space="0" w:color="auto"/>
            </w:tcBorders>
            <w:shd w:val="clear" w:color="000000" w:fill="FF0000"/>
            <w:vAlign w:val="center"/>
            <w:hideMark/>
          </w:tcPr>
          <w:p w14:paraId="5A56E49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B356A9A"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47DC7125"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599" w:type="dxa"/>
            <w:tcBorders>
              <w:top w:val="nil"/>
              <w:left w:val="nil"/>
              <w:bottom w:val="single" w:sz="8" w:space="0" w:color="auto"/>
              <w:right w:val="single" w:sz="8" w:space="0" w:color="auto"/>
            </w:tcBorders>
            <w:shd w:val="clear" w:color="000000" w:fill="92D050"/>
            <w:vAlign w:val="center"/>
            <w:hideMark/>
          </w:tcPr>
          <w:p w14:paraId="6EED6DA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0" w:type="dxa"/>
            <w:tcBorders>
              <w:top w:val="nil"/>
              <w:left w:val="nil"/>
              <w:bottom w:val="single" w:sz="8" w:space="0" w:color="auto"/>
              <w:right w:val="single" w:sz="8" w:space="0" w:color="auto"/>
            </w:tcBorders>
            <w:shd w:val="clear" w:color="000000" w:fill="FFFF00"/>
            <w:vAlign w:val="center"/>
            <w:hideMark/>
          </w:tcPr>
          <w:p w14:paraId="2593CDD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70.5</w:t>
            </w:r>
          </w:p>
        </w:tc>
        <w:tc>
          <w:tcPr>
            <w:tcW w:w="1599" w:type="dxa"/>
            <w:tcBorders>
              <w:top w:val="nil"/>
              <w:left w:val="nil"/>
              <w:bottom w:val="single" w:sz="8" w:space="0" w:color="auto"/>
              <w:right w:val="single" w:sz="8" w:space="0" w:color="auto"/>
            </w:tcBorders>
            <w:shd w:val="clear" w:color="000000" w:fill="FFC000"/>
            <w:vAlign w:val="center"/>
            <w:hideMark/>
          </w:tcPr>
          <w:p w14:paraId="324CCA2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29.5</w:t>
            </w:r>
          </w:p>
        </w:tc>
        <w:tc>
          <w:tcPr>
            <w:tcW w:w="1603" w:type="dxa"/>
            <w:tcBorders>
              <w:top w:val="nil"/>
              <w:left w:val="nil"/>
              <w:bottom w:val="single" w:sz="8" w:space="0" w:color="auto"/>
              <w:right w:val="single" w:sz="8" w:space="0" w:color="auto"/>
            </w:tcBorders>
            <w:shd w:val="clear" w:color="000000" w:fill="FF0000"/>
            <w:vAlign w:val="center"/>
            <w:hideMark/>
          </w:tcPr>
          <w:p w14:paraId="46F54A6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3D1F3FD"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5B476D76"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599" w:type="dxa"/>
            <w:tcBorders>
              <w:top w:val="nil"/>
              <w:left w:val="nil"/>
              <w:bottom w:val="single" w:sz="8" w:space="0" w:color="auto"/>
              <w:right w:val="single" w:sz="8" w:space="0" w:color="auto"/>
            </w:tcBorders>
            <w:shd w:val="clear" w:color="000000" w:fill="92D050"/>
            <w:vAlign w:val="center"/>
            <w:hideMark/>
          </w:tcPr>
          <w:p w14:paraId="5E3F27B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0" w:type="dxa"/>
            <w:tcBorders>
              <w:top w:val="nil"/>
              <w:left w:val="nil"/>
              <w:bottom w:val="single" w:sz="8" w:space="0" w:color="auto"/>
              <w:right w:val="single" w:sz="8" w:space="0" w:color="auto"/>
            </w:tcBorders>
            <w:shd w:val="clear" w:color="000000" w:fill="FFFF00"/>
            <w:vAlign w:val="center"/>
            <w:hideMark/>
          </w:tcPr>
          <w:p w14:paraId="37E2E41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599" w:type="dxa"/>
            <w:tcBorders>
              <w:top w:val="nil"/>
              <w:left w:val="nil"/>
              <w:bottom w:val="single" w:sz="8" w:space="0" w:color="auto"/>
              <w:right w:val="single" w:sz="8" w:space="0" w:color="auto"/>
            </w:tcBorders>
            <w:shd w:val="clear" w:color="000000" w:fill="FFC000"/>
            <w:vAlign w:val="center"/>
            <w:hideMark/>
          </w:tcPr>
          <w:p w14:paraId="1654BC3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3" w:type="dxa"/>
            <w:tcBorders>
              <w:top w:val="nil"/>
              <w:left w:val="nil"/>
              <w:bottom w:val="single" w:sz="8" w:space="0" w:color="auto"/>
              <w:right w:val="single" w:sz="8" w:space="0" w:color="auto"/>
            </w:tcBorders>
            <w:shd w:val="clear" w:color="000000" w:fill="FF0000"/>
            <w:vAlign w:val="center"/>
            <w:hideMark/>
          </w:tcPr>
          <w:p w14:paraId="4BC65C5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B570DC5"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7889FE15"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599" w:type="dxa"/>
            <w:tcBorders>
              <w:top w:val="nil"/>
              <w:left w:val="nil"/>
              <w:bottom w:val="single" w:sz="8" w:space="0" w:color="auto"/>
              <w:right w:val="single" w:sz="8" w:space="0" w:color="auto"/>
            </w:tcBorders>
            <w:shd w:val="clear" w:color="000000" w:fill="92D050"/>
            <w:vAlign w:val="center"/>
            <w:hideMark/>
          </w:tcPr>
          <w:p w14:paraId="60E56F4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0" w:type="dxa"/>
            <w:tcBorders>
              <w:top w:val="nil"/>
              <w:left w:val="nil"/>
              <w:bottom w:val="single" w:sz="8" w:space="0" w:color="auto"/>
              <w:right w:val="single" w:sz="8" w:space="0" w:color="auto"/>
            </w:tcBorders>
            <w:shd w:val="clear" w:color="000000" w:fill="FFFF00"/>
            <w:vAlign w:val="center"/>
            <w:hideMark/>
          </w:tcPr>
          <w:p w14:paraId="5CEAD62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92.3</w:t>
            </w:r>
          </w:p>
        </w:tc>
        <w:tc>
          <w:tcPr>
            <w:tcW w:w="1599" w:type="dxa"/>
            <w:tcBorders>
              <w:top w:val="nil"/>
              <w:left w:val="nil"/>
              <w:bottom w:val="single" w:sz="8" w:space="0" w:color="auto"/>
              <w:right w:val="single" w:sz="8" w:space="0" w:color="auto"/>
            </w:tcBorders>
            <w:shd w:val="clear" w:color="000000" w:fill="FFC000"/>
            <w:vAlign w:val="center"/>
            <w:hideMark/>
          </w:tcPr>
          <w:p w14:paraId="38275EF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7.7</w:t>
            </w:r>
          </w:p>
        </w:tc>
        <w:tc>
          <w:tcPr>
            <w:tcW w:w="1603" w:type="dxa"/>
            <w:tcBorders>
              <w:top w:val="nil"/>
              <w:left w:val="nil"/>
              <w:bottom w:val="single" w:sz="8" w:space="0" w:color="auto"/>
              <w:right w:val="single" w:sz="8" w:space="0" w:color="auto"/>
            </w:tcBorders>
            <w:shd w:val="clear" w:color="000000" w:fill="FF0000"/>
            <w:vAlign w:val="center"/>
            <w:hideMark/>
          </w:tcPr>
          <w:p w14:paraId="597291F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58A57EF5"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75B81242"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599" w:type="dxa"/>
            <w:tcBorders>
              <w:top w:val="nil"/>
              <w:left w:val="nil"/>
              <w:bottom w:val="single" w:sz="8" w:space="0" w:color="auto"/>
              <w:right w:val="single" w:sz="8" w:space="0" w:color="auto"/>
            </w:tcBorders>
            <w:shd w:val="clear" w:color="000000" w:fill="92D050"/>
            <w:vAlign w:val="center"/>
            <w:hideMark/>
          </w:tcPr>
          <w:p w14:paraId="31A16A0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0 </w:t>
            </w:r>
          </w:p>
        </w:tc>
        <w:tc>
          <w:tcPr>
            <w:tcW w:w="1600" w:type="dxa"/>
            <w:tcBorders>
              <w:top w:val="nil"/>
              <w:left w:val="nil"/>
              <w:bottom w:val="single" w:sz="8" w:space="0" w:color="auto"/>
              <w:right w:val="single" w:sz="8" w:space="0" w:color="auto"/>
            </w:tcBorders>
            <w:shd w:val="clear" w:color="000000" w:fill="FFFF00"/>
            <w:vAlign w:val="center"/>
            <w:hideMark/>
          </w:tcPr>
          <w:p w14:paraId="186E93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599" w:type="dxa"/>
            <w:tcBorders>
              <w:top w:val="nil"/>
              <w:left w:val="nil"/>
              <w:bottom w:val="single" w:sz="8" w:space="0" w:color="auto"/>
              <w:right w:val="single" w:sz="8" w:space="0" w:color="auto"/>
            </w:tcBorders>
            <w:shd w:val="clear" w:color="000000" w:fill="FFC000"/>
            <w:vAlign w:val="center"/>
            <w:hideMark/>
          </w:tcPr>
          <w:p w14:paraId="651D450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3" w:type="dxa"/>
            <w:tcBorders>
              <w:top w:val="nil"/>
              <w:left w:val="nil"/>
              <w:bottom w:val="single" w:sz="8" w:space="0" w:color="auto"/>
              <w:right w:val="single" w:sz="8" w:space="0" w:color="auto"/>
            </w:tcBorders>
            <w:shd w:val="clear" w:color="000000" w:fill="FF0000"/>
            <w:vAlign w:val="center"/>
            <w:hideMark/>
          </w:tcPr>
          <w:p w14:paraId="2EED175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54B70671"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60045DBC"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599" w:type="dxa"/>
            <w:tcBorders>
              <w:top w:val="nil"/>
              <w:left w:val="nil"/>
              <w:bottom w:val="single" w:sz="8" w:space="0" w:color="auto"/>
              <w:right w:val="single" w:sz="8" w:space="0" w:color="auto"/>
            </w:tcBorders>
            <w:shd w:val="clear" w:color="000000" w:fill="92D050"/>
            <w:vAlign w:val="center"/>
            <w:hideMark/>
          </w:tcPr>
          <w:p w14:paraId="228CE23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00" w:type="dxa"/>
            <w:tcBorders>
              <w:top w:val="nil"/>
              <w:left w:val="nil"/>
              <w:bottom w:val="single" w:sz="8" w:space="0" w:color="auto"/>
              <w:right w:val="single" w:sz="8" w:space="0" w:color="auto"/>
            </w:tcBorders>
            <w:shd w:val="clear" w:color="000000" w:fill="FFFF00"/>
            <w:vAlign w:val="center"/>
            <w:hideMark/>
          </w:tcPr>
          <w:p w14:paraId="11D0426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599" w:type="dxa"/>
            <w:tcBorders>
              <w:top w:val="nil"/>
              <w:left w:val="nil"/>
              <w:bottom w:val="single" w:sz="8" w:space="0" w:color="auto"/>
              <w:right w:val="single" w:sz="8" w:space="0" w:color="auto"/>
            </w:tcBorders>
            <w:shd w:val="clear" w:color="000000" w:fill="FFC000"/>
            <w:vAlign w:val="center"/>
            <w:hideMark/>
          </w:tcPr>
          <w:p w14:paraId="7D90807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03" w:type="dxa"/>
            <w:tcBorders>
              <w:top w:val="nil"/>
              <w:left w:val="nil"/>
              <w:bottom w:val="single" w:sz="8" w:space="0" w:color="auto"/>
              <w:right w:val="single" w:sz="8" w:space="0" w:color="auto"/>
            </w:tcBorders>
            <w:shd w:val="clear" w:color="000000" w:fill="FF0000"/>
            <w:vAlign w:val="center"/>
            <w:hideMark/>
          </w:tcPr>
          <w:p w14:paraId="2B9D82F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3A04E1EA" w14:textId="77777777" w:rsidTr="006A3FFE">
        <w:trPr>
          <w:trHeight w:val="306"/>
        </w:trPr>
        <w:tc>
          <w:tcPr>
            <w:tcW w:w="2716" w:type="dxa"/>
            <w:tcBorders>
              <w:top w:val="nil"/>
              <w:left w:val="single" w:sz="12" w:space="0" w:color="auto"/>
              <w:bottom w:val="single" w:sz="8" w:space="0" w:color="auto"/>
              <w:right w:val="single" w:sz="8" w:space="0" w:color="auto"/>
            </w:tcBorders>
            <w:shd w:val="clear" w:color="auto" w:fill="auto"/>
            <w:vAlign w:val="center"/>
            <w:hideMark/>
          </w:tcPr>
          <w:p w14:paraId="0C7EF16C" w14:textId="77777777" w:rsidR="001D2E87" w:rsidRPr="00CE240B" w:rsidRDefault="001D2E87" w:rsidP="00CE240B">
            <w:pPr>
              <w:contextualSpacing/>
              <w:rPr>
                <w:rFonts w:cs="Arial"/>
                <w:b/>
                <w:bCs/>
                <w:color w:val="000000"/>
                <w:sz w:val="24"/>
              </w:rPr>
            </w:pPr>
            <w:r w:rsidRPr="00CE240B">
              <w:rPr>
                <w:rFonts w:cs="Arial"/>
                <w:b/>
                <w:bCs/>
                <w:color w:val="000000"/>
                <w:sz w:val="24"/>
              </w:rPr>
              <w:lastRenderedPageBreak/>
              <w:t>Space Utilisation</w:t>
            </w:r>
          </w:p>
        </w:tc>
        <w:tc>
          <w:tcPr>
            <w:tcW w:w="1599" w:type="dxa"/>
            <w:tcBorders>
              <w:top w:val="nil"/>
              <w:left w:val="nil"/>
              <w:bottom w:val="single" w:sz="8" w:space="0" w:color="auto"/>
              <w:right w:val="single" w:sz="8" w:space="0" w:color="auto"/>
            </w:tcBorders>
            <w:shd w:val="clear" w:color="000000" w:fill="92D050"/>
            <w:vAlign w:val="center"/>
            <w:hideMark/>
          </w:tcPr>
          <w:p w14:paraId="7D0083F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87.9</w:t>
            </w:r>
          </w:p>
        </w:tc>
        <w:tc>
          <w:tcPr>
            <w:tcW w:w="1600" w:type="dxa"/>
            <w:tcBorders>
              <w:top w:val="nil"/>
              <w:left w:val="nil"/>
              <w:bottom w:val="single" w:sz="8" w:space="0" w:color="auto"/>
              <w:right w:val="single" w:sz="8" w:space="0" w:color="auto"/>
            </w:tcBorders>
            <w:shd w:val="clear" w:color="000000" w:fill="FFFF00"/>
            <w:vAlign w:val="center"/>
            <w:hideMark/>
          </w:tcPr>
          <w:p w14:paraId="17D287E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12.1</w:t>
            </w:r>
          </w:p>
        </w:tc>
        <w:tc>
          <w:tcPr>
            <w:tcW w:w="1599" w:type="dxa"/>
            <w:tcBorders>
              <w:top w:val="nil"/>
              <w:left w:val="nil"/>
              <w:bottom w:val="single" w:sz="8" w:space="0" w:color="auto"/>
              <w:right w:val="single" w:sz="8" w:space="0" w:color="auto"/>
            </w:tcBorders>
            <w:shd w:val="clear" w:color="000000" w:fill="FFC000"/>
            <w:vAlign w:val="center"/>
            <w:hideMark/>
          </w:tcPr>
          <w:p w14:paraId="02B34F4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3" w:type="dxa"/>
            <w:tcBorders>
              <w:top w:val="nil"/>
              <w:left w:val="nil"/>
              <w:bottom w:val="single" w:sz="8" w:space="0" w:color="auto"/>
              <w:right w:val="single" w:sz="8" w:space="0" w:color="auto"/>
            </w:tcBorders>
            <w:shd w:val="clear" w:color="000000" w:fill="FF0000"/>
            <w:vAlign w:val="center"/>
            <w:hideMark/>
          </w:tcPr>
          <w:p w14:paraId="33F430E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bl>
    <w:p w14:paraId="685BB03D" w14:textId="287C5C9F" w:rsidR="001D2E87" w:rsidRPr="005B3C80" w:rsidRDefault="00730763" w:rsidP="00730763">
      <w:pPr>
        <w:contextualSpacing/>
        <w:jc w:val="center"/>
        <w:rPr>
          <w:rFonts w:cs="Arial"/>
          <w:bCs/>
          <w:sz w:val="24"/>
        </w:rPr>
      </w:pPr>
      <w:r w:rsidRPr="005B3C80">
        <w:rPr>
          <w:rFonts w:cs="Arial"/>
          <w:bCs/>
          <w:sz w:val="24"/>
        </w:rPr>
        <w:t>Table 14</w:t>
      </w:r>
      <w:r w:rsidR="005B3C80">
        <w:rPr>
          <w:rFonts w:cs="Arial"/>
          <w:bCs/>
          <w:sz w:val="24"/>
        </w:rPr>
        <w:t xml:space="preserve"> Facet Surveys</w:t>
      </w:r>
    </w:p>
    <w:p w14:paraId="60095241" w14:textId="60A5748F" w:rsidR="00CE240B" w:rsidRDefault="00CE240B" w:rsidP="00CE240B">
      <w:pPr>
        <w:contextualSpacing/>
        <w:rPr>
          <w:rFonts w:cs="Arial"/>
          <w:b/>
          <w:color w:val="FF0000"/>
          <w:sz w:val="24"/>
        </w:rPr>
      </w:pPr>
    </w:p>
    <w:p w14:paraId="18BD02B1" w14:textId="77777777" w:rsidR="00CE240B" w:rsidRPr="00CE240B" w:rsidRDefault="00CE240B" w:rsidP="00CE240B">
      <w:pPr>
        <w:contextualSpacing/>
        <w:rPr>
          <w:rFonts w:cs="Arial"/>
          <w:b/>
          <w:color w:val="FF0000"/>
          <w:sz w:val="24"/>
        </w:rPr>
      </w:pPr>
    </w:p>
    <w:tbl>
      <w:tblPr>
        <w:tblW w:w="9169" w:type="dxa"/>
        <w:tblInd w:w="123" w:type="dxa"/>
        <w:tblLook w:val="04A0" w:firstRow="1" w:lastRow="0" w:firstColumn="1" w:lastColumn="0" w:noHBand="0" w:noVBand="1"/>
      </w:tblPr>
      <w:tblGrid>
        <w:gridCol w:w="2732"/>
        <w:gridCol w:w="1466"/>
        <w:gridCol w:w="1609"/>
        <w:gridCol w:w="1750"/>
        <w:gridCol w:w="1612"/>
      </w:tblGrid>
      <w:tr w:rsidR="001D2E87" w:rsidRPr="00CE240B" w14:paraId="276BDF02" w14:textId="77777777" w:rsidTr="00E86E3C">
        <w:trPr>
          <w:trHeight w:val="314"/>
        </w:trPr>
        <w:tc>
          <w:tcPr>
            <w:tcW w:w="9169"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2084F306" w14:textId="47938D1E" w:rsidR="001D2E87" w:rsidRPr="00CE240B" w:rsidRDefault="001D2E87" w:rsidP="00CE240B">
            <w:pPr>
              <w:contextualSpacing/>
              <w:jc w:val="center"/>
              <w:rPr>
                <w:rFonts w:cs="Arial"/>
                <w:b/>
                <w:bCs/>
                <w:color w:val="000000"/>
                <w:sz w:val="24"/>
              </w:rPr>
            </w:pPr>
            <w:r w:rsidRPr="00CE240B">
              <w:rPr>
                <w:rFonts w:cs="Arial"/>
                <w:b/>
                <w:bCs/>
                <w:color w:val="000000"/>
                <w:sz w:val="24"/>
              </w:rPr>
              <w:t>ST GEORGE</w:t>
            </w:r>
            <w:r w:rsidR="00730763">
              <w:rPr>
                <w:rFonts w:cs="Arial"/>
                <w:b/>
                <w:bCs/>
                <w:color w:val="000000"/>
                <w:sz w:val="24"/>
              </w:rPr>
              <w:t>’</w:t>
            </w:r>
            <w:r w:rsidRPr="00CE240B">
              <w:rPr>
                <w:rFonts w:cs="Arial"/>
                <w:b/>
                <w:bCs/>
                <w:color w:val="000000"/>
                <w:sz w:val="24"/>
              </w:rPr>
              <w:t>S PARK</w:t>
            </w:r>
          </w:p>
        </w:tc>
      </w:tr>
      <w:tr w:rsidR="001D2E87" w:rsidRPr="00CE240B" w14:paraId="24B4FA7F" w14:textId="77777777" w:rsidTr="00E86E3C">
        <w:trPr>
          <w:trHeight w:val="277"/>
        </w:trPr>
        <w:tc>
          <w:tcPr>
            <w:tcW w:w="2732" w:type="dxa"/>
            <w:vMerge w:val="restart"/>
            <w:tcBorders>
              <w:top w:val="nil"/>
              <w:left w:val="single" w:sz="8" w:space="0" w:color="auto"/>
              <w:bottom w:val="single" w:sz="8" w:space="0" w:color="000000"/>
              <w:right w:val="single" w:sz="8" w:space="0" w:color="auto"/>
            </w:tcBorders>
            <w:shd w:val="clear" w:color="auto" w:fill="auto"/>
            <w:vAlign w:val="center"/>
            <w:hideMark/>
          </w:tcPr>
          <w:p w14:paraId="7057218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36" w:type="dxa"/>
            <w:gridSpan w:val="4"/>
            <w:tcBorders>
              <w:top w:val="nil"/>
              <w:left w:val="nil"/>
              <w:bottom w:val="single" w:sz="8" w:space="0" w:color="auto"/>
              <w:right w:val="single" w:sz="8" w:space="0" w:color="000000"/>
            </w:tcBorders>
            <w:shd w:val="clear" w:color="auto" w:fill="auto"/>
            <w:vAlign w:val="center"/>
            <w:hideMark/>
          </w:tcPr>
          <w:p w14:paraId="59AEDF2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6E97F466" w14:textId="77777777" w:rsidTr="00E86E3C">
        <w:trPr>
          <w:trHeight w:val="264"/>
        </w:trPr>
        <w:tc>
          <w:tcPr>
            <w:tcW w:w="2732" w:type="dxa"/>
            <w:vMerge/>
            <w:tcBorders>
              <w:top w:val="nil"/>
              <w:left w:val="single" w:sz="8" w:space="0" w:color="auto"/>
              <w:bottom w:val="single" w:sz="8" w:space="0" w:color="000000"/>
              <w:right w:val="single" w:sz="8" w:space="0" w:color="auto"/>
            </w:tcBorders>
            <w:vAlign w:val="center"/>
            <w:hideMark/>
          </w:tcPr>
          <w:p w14:paraId="4DFAAD9B" w14:textId="77777777" w:rsidR="001D2E87" w:rsidRPr="00CE240B" w:rsidRDefault="001D2E87" w:rsidP="00CE240B">
            <w:pPr>
              <w:contextualSpacing/>
              <w:rPr>
                <w:rFonts w:cs="Arial"/>
                <w:b/>
                <w:bCs/>
                <w:color w:val="000000"/>
                <w:sz w:val="24"/>
              </w:rPr>
            </w:pPr>
          </w:p>
        </w:tc>
        <w:tc>
          <w:tcPr>
            <w:tcW w:w="1608" w:type="dxa"/>
            <w:tcBorders>
              <w:top w:val="nil"/>
              <w:left w:val="nil"/>
              <w:bottom w:val="single" w:sz="8" w:space="0" w:color="auto"/>
              <w:right w:val="single" w:sz="8" w:space="0" w:color="auto"/>
            </w:tcBorders>
            <w:shd w:val="clear" w:color="000000" w:fill="92D050"/>
            <w:vAlign w:val="center"/>
            <w:hideMark/>
          </w:tcPr>
          <w:p w14:paraId="24E2FA7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09" w:type="dxa"/>
            <w:tcBorders>
              <w:top w:val="nil"/>
              <w:left w:val="nil"/>
              <w:bottom w:val="single" w:sz="8" w:space="0" w:color="auto"/>
              <w:right w:val="single" w:sz="8" w:space="0" w:color="auto"/>
            </w:tcBorders>
            <w:shd w:val="clear" w:color="000000" w:fill="FFFF00"/>
            <w:vAlign w:val="center"/>
            <w:hideMark/>
          </w:tcPr>
          <w:p w14:paraId="32B0457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08" w:type="dxa"/>
            <w:tcBorders>
              <w:top w:val="nil"/>
              <w:left w:val="nil"/>
              <w:bottom w:val="single" w:sz="8" w:space="0" w:color="auto"/>
              <w:right w:val="single" w:sz="8" w:space="0" w:color="auto"/>
            </w:tcBorders>
            <w:shd w:val="clear" w:color="000000" w:fill="FFC000"/>
            <w:vAlign w:val="center"/>
            <w:hideMark/>
          </w:tcPr>
          <w:p w14:paraId="2F656E4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09" w:type="dxa"/>
            <w:tcBorders>
              <w:top w:val="nil"/>
              <w:left w:val="nil"/>
              <w:bottom w:val="single" w:sz="8" w:space="0" w:color="auto"/>
              <w:right w:val="single" w:sz="8" w:space="0" w:color="auto"/>
            </w:tcBorders>
            <w:shd w:val="clear" w:color="000000" w:fill="FF0000"/>
            <w:vAlign w:val="center"/>
            <w:hideMark/>
          </w:tcPr>
          <w:p w14:paraId="6143516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1F158485"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5687EE88"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08" w:type="dxa"/>
            <w:tcBorders>
              <w:top w:val="nil"/>
              <w:left w:val="nil"/>
              <w:bottom w:val="single" w:sz="8" w:space="0" w:color="auto"/>
              <w:right w:val="single" w:sz="8" w:space="0" w:color="auto"/>
            </w:tcBorders>
            <w:shd w:val="clear" w:color="000000" w:fill="92D050"/>
            <w:vAlign w:val="center"/>
            <w:hideMark/>
          </w:tcPr>
          <w:p w14:paraId="37D6AC7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FF00"/>
            <w:vAlign w:val="center"/>
            <w:hideMark/>
          </w:tcPr>
          <w:p w14:paraId="41A297D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8" w:type="dxa"/>
            <w:tcBorders>
              <w:top w:val="nil"/>
              <w:left w:val="nil"/>
              <w:bottom w:val="single" w:sz="8" w:space="0" w:color="auto"/>
              <w:right w:val="single" w:sz="8" w:space="0" w:color="auto"/>
            </w:tcBorders>
            <w:shd w:val="clear" w:color="000000" w:fill="FFC000"/>
            <w:vAlign w:val="center"/>
            <w:hideMark/>
          </w:tcPr>
          <w:p w14:paraId="15A7C15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5FB0DCD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7828A49"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17899652"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08" w:type="dxa"/>
            <w:tcBorders>
              <w:top w:val="nil"/>
              <w:left w:val="nil"/>
              <w:bottom w:val="single" w:sz="8" w:space="0" w:color="auto"/>
              <w:right w:val="single" w:sz="8" w:space="0" w:color="auto"/>
            </w:tcBorders>
            <w:shd w:val="clear" w:color="000000" w:fill="92D050"/>
            <w:vAlign w:val="center"/>
            <w:hideMark/>
          </w:tcPr>
          <w:p w14:paraId="14587D8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FF00"/>
            <w:vAlign w:val="center"/>
            <w:hideMark/>
          </w:tcPr>
          <w:p w14:paraId="21D3ED7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8" w:type="dxa"/>
            <w:tcBorders>
              <w:top w:val="nil"/>
              <w:left w:val="nil"/>
              <w:bottom w:val="single" w:sz="8" w:space="0" w:color="auto"/>
              <w:right w:val="single" w:sz="8" w:space="0" w:color="auto"/>
            </w:tcBorders>
            <w:shd w:val="clear" w:color="000000" w:fill="FFC000"/>
            <w:vAlign w:val="center"/>
            <w:hideMark/>
          </w:tcPr>
          <w:p w14:paraId="5A4AF1F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08322A0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653D3EA"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35FFDA27"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08" w:type="dxa"/>
            <w:tcBorders>
              <w:top w:val="nil"/>
              <w:left w:val="nil"/>
              <w:bottom w:val="single" w:sz="8" w:space="0" w:color="auto"/>
              <w:right w:val="single" w:sz="8" w:space="0" w:color="auto"/>
            </w:tcBorders>
            <w:shd w:val="clear" w:color="000000" w:fill="92D050"/>
            <w:vAlign w:val="center"/>
            <w:hideMark/>
          </w:tcPr>
          <w:p w14:paraId="3360D68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9" w:type="dxa"/>
            <w:tcBorders>
              <w:top w:val="nil"/>
              <w:left w:val="nil"/>
              <w:bottom w:val="single" w:sz="8" w:space="0" w:color="auto"/>
              <w:right w:val="single" w:sz="8" w:space="0" w:color="auto"/>
            </w:tcBorders>
            <w:shd w:val="clear" w:color="000000" w:fill="FFFF00"/>
            <w:vAlign w:val="center"/>
            <w:hideMark/>
          </w:tcPr>
          <w:p w14:paraId="251289A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8" w:type="dxa"/>
            <w:tcBorders>
              <w:top w:val="nil"/>
              <w:left w:val="nil"/>
              <w:bottom w:val="single" w:sz="8" w:space="0" w:color="auto"/>
              <w:right w:val="single" w:sz="8" w:space="0" w:color="auto"/>
            </w:tcBorders>
            <w:shd w:val="clear" w:color="000000" w:fill="FFC000"/>
            <w:vAlign w:val="center"/>
            <w:hideMark/>
          </w:tcPr>
          <w:p w14:paraId="5338982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3D30DB2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6E4378E"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28F577B3"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08" w:type="dxa"/>
            <w:tcBorders>
              <w:top w:val="nil"/>
              <w:left w:val="nil"/>
              <w:bottom w:val="single" w:sz="8" w:space="0" w:color="auto"/>
              <w:right w:val="single" w:sz="8" w:space="0" w:color="auto"/>
            </w:tcBorders>
            <w:shd w:val="clear" w:color="000000" w:fill="92D050"/>
            <w:vAlign w:val="center"/>
            <w:hideMark/>
          </w:tcPr>
          <w:p w14:paraId="6BFDD0A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FF00"/>
            <w:vAlign w:val="center"/>
            <w:hideMark/>
          </w:tcPr>
          <w:p w14:paraId="0339E96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8" w:type="dxa"/>
            <w:tcBorders>
              <w:top w:val="nil"/>
              <w:left w:val="nil"/>
              <w:bottom w:val="single" w:sz="8" w:space="0" w:color="auto"/>
              <w:right w:val="single" w:sz="8" w:space="0" w:color="auto"/>
            </w:tcBorders>
            <w:shd w:val="clear" w:color="000000" w:fill="FFC000"/>
            <w:vAlign w:val="center"/>
            <w:hideMark/>
          </w:tcPr>
          <w:p w14:paraId="5FBC461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54D9141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A63C668"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1C3418D5"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08" w:type="dxa"/>
            <w:tcBorders>
              <w:top w:val="nil"/>
              <w:left w:val="nil"/>
              <w:bottom w:val="single" w:sz="8" w:space="0" w:color="auto"/>
              <w:right w:val="single" w:sz="8" w:space="0" w:color="auto"/>
            </w:tcBorders>
            <w:shd w:val="clear" w:color="000000" w:fill="92D050"/>
            <w:vAlign w:val="center"/>
            <w:hideMark/>
          </w:tcPr>
          <w:p w14:paraId="15A9597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09" w:type="dxa"/>
            <w:tcBorders>
              <w:top w:val="nil"/>
              <w:left w:val="nil"/>
              <w:bottom w:val="single" w:sz="8" w:space="0" w:color="auto"/>
              <w:right w:val="single" w:sz="8" w:space="0" w:color="auto"/>
            </w:tcBorders>
            <w:shd w:val="clear" w:color="000000" w:fill="FFFF00"/>
            <w:vAlign w:val="center"/>
            <w:hideMark/>
          </w:tcPr>
          <w:p w14:paraId="1CDA7CB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8" w:type="dxa"/>
            <w:tcBorders>
              <w:top w:val="nil"/>
              <w:left w:val="nil"/>
              <w:bottom w:val="single" w:sz="8" w:space="0" w:color="auto"/>
              <w:right w:val="single" w:sz="8" w:space="0" w:color="auto"/>
            </w:tcBorders>
            <w:shd w:val="clear" w:color="000000" w:fill="FFC000"/>
            <w:vAlign w:val="center"/>
            <w:hideMark/>
          </w:tcPr>
          <w:p w14:paraId="04EEE80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5C46FCF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796F6F3"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50BF577A"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08" w:type="dxa"/>
            <w:tcBorders>
              <w:top w:val="nil"/>
              <w:left w:val="nil"/>
              <w:bottom w:val="single" w:sz="8" w:space="0" w:color="auto"/>
              <w:right w:val="single" w:sz="8" w:space="0" w:color="auto"/>
            </w:tcBorders>
            <w:shd w:val="clear" w:color="000000" w:fill="92D050"/>
            <w:vAlign w:val="center"/>
            <w:hideMark/>
          </w:tcPr>
          <w:p w14:paraId="578BB90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09" w:type="dxa"/>
            <w:tcBorders>
              <w:top w:val="nil"/>
              <w:left w:val="nil"/>
              <w:bottom w:val="single" w:sz="8" w:space="0" w:color="auto"/>
              <w:right w:val="single" w:sz="8" w:space="0" w:color="auto"/>
            </w:tcBorders>
            <w:shd w:val="clear" w:color="000000" w:fill="FFFF00"/>
            <w:vAlign w:val="center"/>
            <w:hideMark/>
          </w:tcPr>
          <w:p w14:paraId="264686A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08" w:type="dxa"/>
            <w:tcBorders>
              <w:top w:val="nil"/>
              <w:left w:val="nil"/>
              <w:bottom w:val="single" w:sz="8" w:space="0" w:color="auto"/>
              <w:right w:val="single" w:sz="8" w:space="0" w:color="auto"/>
            </w:tcBorders>
            <w:shd w:val="clear" w:color="000000" w:fill="FFC000"/>
            <w:vAlign w:val="center"/>
            <w:hideMark/>
          </w:tcPr>
          <w:p w14:paraId="7AA9971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09" w:type="dxa"/>
            <w:tcBorders>
              <w:top w:val="nil"/>
              <w:left w:val="nil"/>
              <w:bottom w:val="single" w:sz="8" w:space="0" w:color="auto"/>
              <w:right w:val="single" w:sz="8" w:space="0" w:color="auto"/>
            </w:tcBorders>
            <w:shd w:val="clear" w:color="000000" w:fill="FF0000"/>
            <w:vAlign w:val="center"/>
            <w:hideMark/>
          </w:tcPr>
          <w:p w14:paraId="5715BA3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1B32BCAD" w14:textId="77777777" w:rsidTr="00E86E3C">
        <w:trPr>
          <w:trHeight w:val="299"/>
        </w:trPr>
        <w:tc>
          <w:tcPr>
            <w:tcW w:w="2732" w:type="dxa"/>
            <w:tcBorders>
              <w:top w:val="nil"/>
              <w:left w:val="single" w:sz="12" w:space="0" w:color="auto"/>
              <w:bottom w:val="single" w:sz="8" w:space="0" w:color="auto"/>
              <w:right w:val="single" w:sz="8" w:space="0" w:color="auto"/>
            </w:tcBorders>
            <w:shd w:val="clear" w:color="auto" w:fill="auto"/>
            <w:vAlign w:val="center"/>
            <w:hideMark/>
          </w:tcPr>
          <w:p w14:paraId="758CAFFA"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08" w:type="dxa"/>
            <w:tcBorders>
              <w:top w:val="nil"/>
              <w:left w:val="nil"/>
              <w:bottom w:val="single" w:sz="8" w:space="0" w:color="auto"/>
              <w:right w:val="single" w:sz="8" w:space="0" w:color="auto"/>
            </w:tcBorders>
            <w:shd w:val="clear" w:color="000000" w:fill="92D050"/>
            <w:vAlign w:val="center"/>
            <w:hideMark/>
          </w:tcPr>
          <w:p w14:paraId="3147F2A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99.1</w:t>
            </w:r>
          </w:p>
        </w:tc>
        <w:tc>
          <w:tcPr>
            <w:tcW w:w="1609" w:type="dxa"/>
            <w:tcBorders>
              <w:top w:val="nil"/>
              <w:left w:val="nil"/>
              <w:bottom w:val="single" w:sz="8" w:space="0" w:color="auto"/>
              <w:right w:val="single" w:sz="8" w:space="0" w:color="auto"/>
            </w:tcBorders>
            <w:shd w:val="clear" w:color="000000" w:fill="FFFF00"/>
            <w:vAlign w:val="center"/>
            <w:hideMark/>
          </w:tcPr>
          <w:p w14:paraId="3034824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0.9</w:t>
            </w:r>
          </w:p>
        </w:tc>
        <w:tc>
          <w:tcPr>
            <w:tcW w:w="1608" w:type="dxa"/>
            <w:tcBorders>
              <w:top w:val="nil"/>
              <w:left w:val="nil"/>
              <w:bottom w:val="single" w:sz="8" w:space="0" w:color="auto"/>
              <w:right w:val="single" w:sz="8" w:space="0" w:color="auto"/>
            </w:tcBorders>
            <w:shd w:val="clear" w:color="000000" w:fill="FFC000"/>
            <w:vAlign w:val="center"/>
            <w:hideMark/>
          </w:tcPr>
          <w:p w14:paraId="6976AB9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9" w:type="dxa"/>
            <w:tcBorders>
              <w:top w:val="nil"/>
              <w:left w:val="nil"/>
              <w:bottom w:val="single" w:sz="8" w:space="0" w:color="auto"/>
              <w:right w:val="single" w:sz="8" w:space="0" w:color="auto"/>
            </w:tcBorders>
            <w:shd w:val="clear" w:color="000000" w:fill="FF0000"/>
            <w:vAlign w:val="center"/>
            <w:hideMark/>
          </w:tcPr>
          <w:p w14:paraId="08A0C85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bl>
    <w:p w14:paraId="047CF11F" w14:textId="5772770E" w:rsidR="001D2E87" w:rsidRPr="005B3C80" w:rsidRDefault="00730763" w:rsidP="00730763">
      <w:pPr>
        <w:contextualSpacing/>
        <w:jc w:val="center"/>
        <w:rPr>
          <w:rFonts w:cs="Arial"/>
          <w:bCs/>
          <w:sz w:val="24"/>
        </w:rPr>
      </w:pPr>
      <w:r w:rsidRPr="005B3C80">
        <w:rPr>
          <w:rFonts w:cs="Arial"/>
          <w:bCs/>
          <w:sz w:val="24"/>
        </w:rPr>
        <w:t>Table 15</w:t>
      </w:r>
      <w:r w:rsidR="005B3C80">
        <w:rPr>
          <w:rFonts w:cs="Arial"/>
          <w:bCs/>
          <w:sz w:val="24"/>
        </w:rPr>
        <w:t xml:space="preserve"> Facet Surveys</w:t>
      </w:r>
    </w:p>
    <w:p w14:paraId="3AEC720B" w14:textId="77777777" w:rsidR="00730763" w:rsidRPr="00CE240B" w:rsidRDefault="00730763" w:rsidP="00730763">
      <w:pPr>
        <w:contextualSpacing/>
        <w:jc w:val="center"/>
        <w:rPr>
          <w:rFonts w:cs="Arial"/>
          <w:b/>
          <w:color w:val="FF0000"/>
          <w:sz w:val="24"/>
        </w:rPr>
      </w:pPr>
    </w:p>
    <w:tbl>
      <w:tblPr>
        <w:tblW w:w="9186" w:type="dxa"/>
        <w:tblInd w:w="123" w:type="dxa"/>
        <w:tblLook w:val="04A0" w:firstRow="1" w:lastRow="0" w:firstColumn="1" w:lastColumn="0" w:noHBand="0" w:noVBand="1"/>
      </w:tblPr>
      <w:tblGrid>
        <w:gridCol w:w="2737"/>
        <w:gridCol w:w="1472"/>
        <w:gridCol w:w="1612"/>
        <w:gridCol w:w="1750"/>
        <w:gridCol w:w="1615"/>
      </w:tblGrid>
      <w:tr w:rsidR="001D2E87" w:rsidRPr="00CE240B" w14:paraId="18EADA0C" w14:textId="77777777" w:rsidTr="00E86E3C">
        <w:trPr>
          <w:trHeight w:val="297"/>
        </w:trPr>
        <w:tc>
          <w:tcPr>
            <w:tcW w:w="9186"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483AF58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CAMPUS FOR AGEING &amp; VITALITY</w:t>
            </w:r>
          </w:p>
        </w:tc>
      </w:tr>
      <w:tr w:rsidR="001D2E87" w:rsidRPr="00CE240B" w14:paraId="0F8A6BDC" w14:textId="77777777" w:rsidTr="00E86E3C">
        <w:trPr>
          <w:trHeight w:val="261"/>
        </w:trPr>
        <w:tc>
          <w:tcPr>
            <w:tcW w:w="2737" w:type="dxa"/>
            <w:vMerge w:val="restart"/>
            <w:tcBorders>
              <w:top w:val="nil"/>
              <w:left w:val="single" w:sz="8" w:space="0" w:color="auto"/>
              <w:bottom w:val="single" w:sz="8" w:space="0" w:color="000000"/>
              <w:right w:val="single" w:sz="8" w:space="0" w:color="auto"/>
            </w:tcBorders>
            <w:shd w:val="clear" w:color="auto" w:fill="auto"/>
            <w:vAlign w:val="center"/>
            <w:hideMark/>
          </w:tcPr>
          <w:p w14:paraId="04BBBE3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48" w:type="dxa"/>
            <w:gridSpan w:val="4"/>
            <w:tcBorders>
              <w:top w:val="nil"/>
              <w:left w:val="nil"/>
              <w:bottom w:val="single" w:sz="8" w:space="0" w:color="auto"/>
              <w:right w:val="single" w:sz="8" w:space="0" w:color="000000"/>
            </w:tcBorders>
            <w:shd w:val="clear" w:color="auto" w:fill="auto"/>
            <w:vAlign w:val="center"/>
            <w:hideMark/>
          </w:tcPr>
          <w:p w14:paraId="317C7B1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25B1926A" w14:textId="77777777" w:rsidTr="00E86E3C">
        <w:trPr>
          <w:trHeight w:val="250"/>
        </w:trPr>
        <w:tc>
          <w:tcPr>
            <w:tcW w:w="2737" w:type="dxa"/>
            <w:vMerge/>
            <w:tcBorders>
              <w:top w:val="nil"/>
              <w:left w:val="single" w:sz="8" w:space="0" w:color="auto"/>
              <w:bottom w:val="single" w:sz="8" w:space="0" w:color="000000"/>
              <w:right w:val="single" w:sz="8" w:space="0" w:color="auto"/>
            </w:tcBorders>
            <w:vAlign w:val="center"/>
            <w:hideMark/>
          </w:tcPr>
          <w:p w14:paraId="4C58963C" w14:textId="77777777" w:rsidR="001D2E87" w:rsidRPr="00CE240B" w:rsidRDefault="001D2E87" w:rsidP="00CE240B">
            <w:pPr>
              <w:contextualSpacing/>
              <w:rPr>
                <w:rFonts w:cs="Arial"/>
                <w:b/>
                <w:bCs/>
                <w:color w:val="000000"/>
                <w:sz w:val="24"/>
              </w:rPr>
            </w:pPr>
          </w:p>
        </w:tc>
        <w:tc>
          <w:tcPr>
            <w:tcW w:w="1611" w:type="dxa"/>
            <w:tcBorders>
              <w:top w:val="nil"/>
              <w:left w:val="nil"/>
              <w:bottom w:val="single" w:sz="8" w:space="0" w:color="auto"/>
              <w:right w:val="single" w:sz="8" w:space="0" w:color="auto"/>
            </w:tcBorders>
            <w:shd w:val="clear" w:color="000000" w:fill="92D050"/>
            <w:vAlign w:val="center"/>
            <w:hideMark/>
          </w:tcPr>
          <w:p w14:paraId="7D88684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12" w:type="dxa"/>
            <w:tcBorders>
              <w:top w:val="nil"/>
              <w:left w:val="nil"/>
              <w:bottom w:val="single" w:sz="8" w:space="0" w:color="auto"/>
              <w:right w:val="single" w:sz="8" w:space="0" w:color="auto"/>
            </w:tcBorders>
            <w:shd w:val="clear" w:color="000000" w:fill="FFFF00"/>
            <w:vAlign w:val="center"/>
            <w:hideMark/>
          </w:tcPr>
          <w:p w14:paraId="7515DFA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11" w:type="dxa"/>
            <w:tcBorders>
              <w:top w:val="nil"/>
              <w:left w:val="nil"/>
              <w:bottom w:val="single" w:sz="8" w:space="0" w:color="auto"/>
              <w:right w:val="single" w:sz="8" w:space="0" w:color="auto"/>
            </w:tcBorders>
            <w:shd w:val="clear" w:color="000000" w:fill="FFC000"/>
            <w:vAlign w:val="center"/>
            <w:hideMark/>
          </w:tcPr>
          <w:p w14:paraId="63331FB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12" w:type="dxa"/>
            <w:tcBorders>
              <w:top w:val="nil"/>
              <w:left w:val="nil"/>
              <w:bottom w:val="single" w:sz="8" w:space="0" w:color="auto"/>
              <w:right w:val="single" w:sz="8" w:space="0" w:color="auto"/>
            </w:tcBorders>
            <w:shd w:val="clear" w:color="000000" w:fill="FF0000"/>
            <w:vAlign w:val="center"/>
            <w:hideMark/>
          </w:tcPr>
          <w:p w14:paraId="3B54223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250408AF"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284ABEB5"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11" w:type="dxa"/>
            <w:tcBorders>
              <w:top w:val="nil"/>
              <w:left w:val="nil"/>
              <w:bottom w:val="single" w:sz="8" w:space="0" w:color="auto"/>
              <w:right w:val="single" w:sz="8" w:space="0" w:color="auto"/>
            </w:tcBorders>
            <w:shd w:val="clear" w:color="000000" w:fill="92D050"/>
            <w:vAlign w:val="center"/>
            <w:hideMark/>
          </w:tcPr>
          <w:p w14:paraId="5682E33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FF00"/>
            <w:vAlign w:val="center"/>
            <w:hideMark/>
          </w:tcPr>
          <w:p w14:paraId="7652CCE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60.8</w:t>
            </w:r>
          </w:p>
        </w:tc>
        <w:tc>
          <w:tcPr>
            <w:tcW w:w="1611" w:type="dxa"/>
            <w:tcBorders>
              <w:top w:val="nil"/>
              <w:left w:val="nil"/>
              <w:bottom w:val="single" w:sz="8" w:space="0" w:color="auto"/>
              <w:right w:val="single" w:sz="8" w:space="0" w:color="auto"/>
            </w:tcBorders>
            <w:shd w:val="clear" w:color="000000" w:fill="FFC000"/>
            <w:vAlign w:val="center"/>
            <w:hideMark/>
          </w:tcPr>
          <w:p w14:paraId="618BAEA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39.2</w:t>
            </w:r>
          </w:p>
        </w:tc>
        <w:tc>
          <w:tcPr>
            <w:tcW w:w="1612" w:type="dxa"/>
            <w:tcBorders>
              <w:top w:val="nil"/>
              <w:left w:val="nil"/>
              <w:bottom w:val="single" w:sz="8" w:space="0" w:color="auto"/>
              <w:right w:val="single" w:sz="8" w:space="0" w:color="auto"/>
            </w:tcBorders>
            <w:shd w:val="clear" w:color="000000" w:fill="FF0000"/>
            <w:vAlign w:val="center"/>
            <w:hideMark/>
          </w:tcPr>
          <w:p w14:paraId="46B83CD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85BBC71"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26CDFAF7"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11" w:type="dxa"/>
            <w:tcBorders>
              <w:top w:val="nil"/>
              <w:left w:val="nil"/>
              <w:bottom w:val="single" w:sz="8" w:space="0" w:color="auto"/>
              <w:right w:val="single" w:sz="8" w:space="0" w:color="auto"/>
            </w:tcBorders>
            <w:shd w:val="clear" w:color="000000" w:fill="92D050"/>
            <w:vAlign w:val="center"/>
            <w:hideMark/>
          </w:tcPr>
          <w:p w14:paraId="4721A3F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FF00"/>
            <w:vAlign w:val="center"/>
            <w:hideMark/>
          </w:tcPr>
          <w:p w14:paraId="709BB9C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60.8</w:t>
            </w:r>
          </w:p>
        </w:tc>
        <w:tc>
          <w:tcPr>
            <w:tcW w:w="1611" w:type="dxa"/>
            <w:tcBorders>
              <w:top w:val="nil"/>
              <w:left w:val="nil"/>
              <w:bottom w:val="single" w:sz="8" w:space="0" w:color="auto"/>
              <w:right w:val="single" w:sz="8" w:space="0" w:color="auto"/>
            </w:tcBorders>
            <w:shd w:val="clear" w:color="000000" w:fill="FFC000"/>
            <w:vAlign w:val="center"/>
            <w:hideMark/>
          </w:tcPr>
          <w:p w14:paraId="2132137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39.2</w:t>
            </w:r>
          </w:p>
        </w:tc>
        <w:tc>
          <w:tcPr>
            <w:tcW w:w="1612" w:type="dxa"/>
            <w:tcBorders>
              <w:top w:val="nil"/>
              <w:left w:val="nil"/>
              <w:bottom w:val="single" w:sz="8" w:space="0" w:color="auto"/>
              <w:right w:val="single" w:sz="8" w:space="0" w:color="auto"/>
            </w:tcBorders>
            <w:shd w:val="clear" w:color="000000" w:fill="FF0000"/>
            <w:vAlign w:val="center"/>
            <w:hideMark/>
          </w:tcPr>
          <w:p w14:paraId="19212A2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79D4599C"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62590873"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11" w:type="dxa"/>
            <w:tcBorders>
              <w:top w:val="nil"/>
              <w:left w:val="nil"/>
              <w:bottom w:val="single" w:sz="8" w:space="0" w:color="auto"/>
              <w:right w:val="single" w:sz="8" w:space="0" w:color="auto"/>
            </w:tcBorders>
            <w:shd w:val="clear" w:color="000000" w:fill="92D050"/>
            <w:vAlign w:val="center"/>
            <w:hideMark/>
          </w:tcPr>
          <w:p w14:paraId="0CA615F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FF00"/>
            <w:vAlign w:val="center"/>
            <w:hideMark/>
          </w:tcPr>
          <w:p w14:paraId="5AA59E0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11" w:type="dxa"/>
            <w:tcBorders>
              <w:top w:val="nil"/>
              <w:left w:val="nil"/>
              <w:bottom w:val="single" w:sz="8" w:space="0" w:color="auto"/>
              <w:right w:val="single" w:sz="8" w:space="0" w:color="auto"/>
            </w:tcBorders>
            <w:shd w:val="clear" w:color="000000" w:fill="FFC000"/>
            <w:vAlign w:val="center"/>
            <w:hideMark/>
          </w:tcPr>
          <w:p w14:paraId="1EACC26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0000"/>
            <w:vAlign w:val="center"/>
            <w:hideMark/>
          </w:tcPr>
          <w:p w14:paraId="64AA719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F162101"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627EB8DF"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11" w:type="dxa"/>
            <w:tcBorders>
              <w:top w:val="nil"/>
              <w:left w:val="nil"/>
              <w:bottom w:val="single" w:sz="8" w:space="0" w:color="auto"/>
              <w:right w:val="single" w:sz="8" w:space="0" w:color="auto"/>
            </w:tcBorders>
            <w:shd w:val="clear" w:color="000000" w:fill="92D050"/>
            <w:vAlign w:val="center"/>
            <w:hideMark/>
          </w:tcPr>
          <w:p w14:paraId="32871EF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0.6</w:t>
            </w:r>
          </w:p>
        </w:tc>
        <w:tc>
          <w:tcPr>
            <w:tcW w:w="1612" w:type="dxa"/>
            <w:tcBorders>
              <w:top w:val="nil"/>
              <w:left w:val="nil"/>
              <w:bottom w:val="single" w:sz="8" w:space="0" w:color="auto"/>
              <w:right w:val="single" w:sz="8" w:space="0" w:color="auto"/>
            </w:tcBorders>
            <w:shd w:val="clear" w:color="000000" w:fill="FFFF00"/>
            <w:vAlign w:val="center"/>
            <w:hideMark/>
          </w:tcPr>
          <w:p w14:paraId="04BB254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99.4</w:t>
            </w:r>
          </w:p>
        </w:tc>
        <w:tc>
          <w:tcPr>
            <w:tcW w:w="1611" w:type="dxa"/>
            <w:tcBorders>
              <w:top w:val="nil"/>
              <w:left w:val="nil"/>
              <w:bottom w:val="single" w:sz="8" w:space="0" w:color="auto"/>
              <w:right w:val="single" w:sz="8" w:space="0" w:color="auto"/>
            </w:tcBorders>
            <w:shd w:val="clear" w:color="000000" w:fill="FFC000"/>
            <w:vAlign w:val="center"/>
            <w:hideMark/>
          </w:tcPr>
          <w:p w14:paraId="1A90BAF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0000"/>
            <w:vAlign w:val="center"/>
            <w:hideMark/>
          </w:tcPr>
          <w:p w14:paraId="3D61E18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4C0792A"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3EFD1435"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11" w:type="dxa"/>
            <w:tcBorders>
              <w:top w:val="nil"/>
              <w:left w:val="nil"/>
              <w:bottom w:val="single" w:sz="8" w:space="0" w:color="auto"/>
              <w:right w:val="single" w:sz="8" w:space="0" w:color="auto"/>
            </w:tcBorders>
            <w:shd w:val="clear" w:color="000000" w:fill="92D050"/>
            <w:vAlign w:val="center"/>
            <w:hideMark/>
          </w:tcPr>
          <w:p w14:paraId="0DFCFE0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12" w:type="dxa"/>
            <w:tcBorders>
              <w:top w:val="nil"/>
              <w:left w:val="nil"/>
              <w:bottom w:val="single" w:sz="8" w:space="0" w:color="auto"/>
              <w:right w:val="single" w:sz="8" w:space="0" w:color="auto"/>
            </w:tcBorders>
            <w:shd w:val="clear" w:color="000000" w:fill="FFFF00"/>
            <w:vAlign w:val="center"/>
            <w:hideMark/>
          </w:tcPr>
          <w:p w14:paraId="3DA97AE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C000"/>
            <w:vAlign w:val="center"/>
            <w:hideMark/>
          </w:tcPr>
          <w:p w14:paraId="29DBCFA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12" w:type="dxa"/>
            <w:tcBorders>
              <w:top w:val="nil"/>
              <w:left w:val="nil"/>
              <w:bottom w:val="single" w:sz="8" w:space="0" w:color="auto"/>
              <w:right w:val="single" w:sz="8" w:space="0" w:color="auto"/>
            </w:tcBorders>
            <w:shd w:val="clear" w:color="000000" w:fill="FF0000"/>
            <w:vAlign w:val="center"/>
            <w:hideMark/>
          </w:tcPr>
          <w:p w14:paraId="70B9D8D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39F3AB14"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06F4F7A2"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11" w:type="dxa"/>
            <w:tcBorders>
              <w:top w:val="nil"/>
              <w:left w:val="nil"/>
              <w:bottom w:val="single" w:sz="8" w:space="0" w:color="auto"/>
              <w:right w:val="single" w:sz="8" w:space="0" w:color="auto"/>
            </w:tcBorders>
            <w:shd w:val="clear" w:color="000000" w:fill="92D050"/>
            <w:vAlign w:val="center"/>
            <w:hideMark/>
          </w:tcPr>
          <w:p w14:paraId="7ECCBE3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12" w:type="dxa"/>
            <w:tcBorders>
              <w:top w:val="nil"/>
              <w:left w:val="nil"/>
              <w:bottom w:val="single" w:sz="8" w:space="0" w:color="auto"/>
              <w:right w:val="single" w:sz="8" w:space="0" w:color="auto"/>
            </w:tcBorders>
            <w:shd w:val="clear" w:color="000000" w:fill="FFFF00"/>
            <w:vAlign w:val="center"/>
            <w:hideMark/>
          </w:tcPr>
          <w:p w14:paraId="0FAB39C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11" w:type="dxa"/>
            <w:tcBorders>
              <w:top w:val="nil"/>
              <w:left w:val="nil"/>
              <w:bottom w:val="single" w:sz="8" w:space="0" w:color="auto"/>
              <w:right w:val="single" w:sz="8" w:space="0" w:color="auto"/>
            </w:tcBorders>
            <w:shd w:val="clear" w:color="000000" w:fill="FFC000"/>
            <w:vAlign w:val="center"/>
            <w:hideMark/>
          </w:tcPr>
          <w:p w14:paraId="36D528E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12" w:type="dxa"/>
            <w:tcBorders>
              <w:top w:val="nil"/>
              <w:left w:val="nil"/>
              <w:bottom w:val="single" w:sz="8" w:space="0" w:color="auto"/>
              <w:right w:val="single" w:sz="8" w:space="0" w:color="auto"/>
            </w:tcBorders>
            <w:shd w:val="clear" w:color="000000" w:fill="FF0000"/>
            <w:vAlign w:val="center"/>
            <w:hideMark/>
          </w:tcPr>
          <w:p w14:paraId="2A8E8E3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35D3ABD2" w14:textId="77777777" w:rsidTr="00E86E3C">
        <w:trPr>
          <w:trHeight w:val="283"/>
        </w:trPr>
        <w:tc>
          <w:tcPr>
            <w:tcW w:w="2737" w:type="dxa"/>
            <w:tcBorders>
              <w:top w:val="nil"/>
              <w:left w:val="single" w:sz="12" w:space="0" w:color="auto"/>
              <w:bottom w:val="single" w:sz="8" w:space="0" w:color="auto"/>
              <w:right w:val="single" w:sz="8" w:space="0" w:color="auto"/>
            </w:tcBorders>
            <w:shd w:val="clear" w:color="auto" w:fill="auto"/>
            <w:vAlign w:val="center"/>
            <w:hideMark/>
          </w:tcPr>
          <w:p w14:paraId="53F6EDD7"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11" w:type="dxa"/>
            <w:tcBorders>
              <w:top w:val="nil"/>
              <w:left w:val="nil"/>
              <w:bottom w:val="single" w:sz="8" w:space="0" w:color="auto"/>
              <w:right w:val="single" w:sz="8" w:space="0" w:color="auto"/>
            </w:tcBorders>
            <w:shd w:val="clear" w:color="000000" w:fill="92D050"/>
            <w:vAlign w:val="center"/>
            <w:hideMark/>
          </w:tcPr>
          <w:p w14:paraId="430F273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12" w:type="dxa"/>
            <w:tcBorders>
              <w:top w:val="nil"/>
              <w:left w:val="nil"/>
              <w:bottom w:val="single" w:sz="8" w:space="0" w:color="auto"/>
              <w:right w:val="single" w:sz="8" w:space="0" w:color="auto"/>
            </w:tcBorders>
            <w:shd w:val="clear" w:color="000000" w:fill="FFFF00"/>
            <w:vAlign w:val="center"/>
            <w:hideMark/>
          </w:tcPr>
          <w:p w14:paraId="375F9E0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C000"/>
            <w:vAlign w:val="center"/>
            <w:hideMark/>
          </w:tcPr>
          <w:p w14:paraId="6A3F405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2" w:type="dxa"/>
            <w:tcBorders>
              <w:top w:val="nil"/>
              <w:left w:val="nil"/>
              <w:bottom w:val="single" w:sz="8" w:space="0" w:color="auto"/>
              <w:right w:val="single" w:sz="8" w:space="0" w:color="auto"/>
            </w:tcBorders>
            <w:shd w:val="clear" w:color="000000" w:fill="FF0000"/>
            <w:vAlign w:val="center"/>
            <w:hideMark/>
          </w:tcPr>
          <w:p w14:paraId="1794783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bl>
    <w:p w14:paraId="14735DBA" w14:textId="5AA489EF" w:rsidR="001D2E87" w:rsidRPr="005B3C80" w:rsidRDefault="00730763" w:rsidP="00730763">
      <w:pPr>
        <w:contextualSpacing/>
        <w:jc w:val="center"/>
        <w:rPr>
          <w:rFonts w:cs="Arial"/>
          <w:bCs/>
          <w:sz w:val="24"/>
        </w:rPr>
      </w:pPr>
      <w:r w:rsidRPr="005B3C80">
        <w:rPr>
          <w:rFonts w:cs="Arial"/>
          <w:bCs/>
          <w:sz w:val="24"/>
        </w:rPr>
        <w:t>Table 16</w:t>
      </w:r>
      <w:r w:rsidR="005B3C80">
        <w:rPr>
          <w:rFonts w:cs="Arial"/>
          <w:bCs/>
          <w:sz w:val="24"/>
        </w:rPr>
        <w:t xml:space="preserve"> Facet Surveys</w:t>
      </w:r>
    </w:p>
    <w:p w14:paraId="28DF5228" w14:textId="01A6443C" w:rsidR="007E7D73" w:rsidRDefault="007E7D73">
      <w:pPr>
        <w:spacing w:after="200" w:line="276" w:lineRule="auto"/>
        <w:rPr>
          <w:rFonts w:cs="Arial"/>
          <w:b/>
          <w:color w:val="FF0000"/>
          <w:sz w:val="24"/>
        </w:rPr>
      </w:pPr>
      <w:r>
        <w:rPr>
          <w:rFonts w:cs="Arial"/>
          <w:b/>
          <w:color w:val="FF0000"/>
          <w:sz w:val="24"/>
        </w:rPr>
        <w:br w:type="page"/>
      </w:r>
    </w:p>
    <w:tbl>
      <w:tblPr>
        <w:tblW w:w="9329" w:type="dxa"/>
        <w:tblInd w:w="123" w:type="dxa"/>
        <w:tblLook w:val="04A0" w:firstRow="1" w:lastRow="0" w:firstColumn="1" w:lastColumn="0" w:noHBand="0" w:noVBand="1"/>
      </w:tblPr>
      <w:tblGrid>
        <w:gridCol w:w="2921"/>
        <w:gridCol w:w="1450"/>
        <w:gridCol w:w="1600"/>
        <w:gridCol w:w="1750"/>
        <w:gridCol w:w="1608"/>
      </w:tblGrid>
      <w:tr w:rsidR="001D2E87" w:rsidRPr="00CE240B" w14:paraId="5F79E859" w14:textId="77777777" w:rsidTr="00E86E3C">
        <w:trPr>
          <w:trHeight w:val="15"/>
        </w:trPr>
        <w:tc>
          <w:tcPr>
            <w:tcW w:w="9329"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6077656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lastRenderedPageBreak/>
              <w:t>COMMUNITY</w:t>
            </w:r>
          </w:p>
        </w:tc>
      </w:tr>
      <w:tr w:rsidR="001D2E87" w:rsidRPr="00CE240B" w14:paraId="4739CE6E" w14:textId="77777777" w:rsidTr="00CE240B">
        <w:trPr>
          <w:trHeight w:val="13"/>
        </w:trPr>
        <w:tc>
          <w:tcPr>
            <w:tcW w:w="2921" w:type="dxa"/>
            <w:vMerge w:val="restart"/>
            <w:tcBorders>
              <w:top w:val="nil"/>
              <w:left w:val="single" w:sz="8" w:space="0" w:color="auto"/>
              <w:bottom w:val="single" w:sz="8" w:space="0" w:color="000000"/>
              <w:right w:val="single" w:sz="8" w:space="0" w:color="auto"/>
            </w:tcBorders>
            <w:shd w:val="clear" w:color="auto" w:fill="auto"/>
            <w:vAlign w:val="center"/>
            <w:hideMark/>
          </w:tcPr>
          <w:p w14:paraId="62D3868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08" w:type="dxa"/>
            <w:gridSpan w:val="4"/>
            <w:tcBorders>
              <w:top w:val="nil"/>
              <w:left w:val="nil"/>
              <w:bottom w:val="single" w:sz="8" w:space="0" w:color="auto"/>
              <w:right w:val="single" w:sz="8" w:space="0" w:color="000000"/>
            </w:tcBorders>
            <w:shd w:val="clear" w:color="auto" w:fill="auto"/>
            <w:vAlign w:val="center"/>
            <w:hideMark/>
          </w:tcPr>
          <w:p w14:paraId="67DDE8D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6366D147" w14:textId="77777777" w:rsidTr="00CE240B">
        <w:trPr>
          <w:trHeight w:val="13"/>
        </w:trPr>
        <w:tc>
          <w:tcPr>
            <w:tcW w:w="2921" w:type="dxa"/>
            <w:vMerge/>
            <w:tcBorders>
              <w:top w:val="nil"/>
              <w:left w:val="single" w:sz="8" w:space="0" w:color="auto"/>
              <w:bottom w:val="single" w:sz="8" w:space="0" w:color="000000"/>
              <w:right w:val="single" w:sz="8" w:space="0" w:color="auto"/>
            </w:tcBorders>
            <w:vAlign w:val="center"/>
            <w:hideMark/>
          </w:tcPr>
          <w:p w14:paraId="0FB11B65" w14:textId="77777777" w:rsidR="001D2E87" w:rsidRPr="00CE240B" w:rsidRDefault="001D2E87" w:rsidP="00CE240B">
            <w:pPr>
              <w:contextualSpacing/>
              <w:rPr>
                <w:rFonts w:cs="Arial"/>
                <w:b/>
                <w:bCs/>
                <w:color w:val="000000"/>
                <w:sz w:val="24"/>
              </w:rPr>
            </w:pPr>
          </w:p>
        </w:tc>
        <w:tc>
          <w:tcPr>
            <w:tcW w:w="1450" w:type="dxa"/>
            <w:tcBorders>
              <w:top w:val="nil"/>
              <w:left w:val="nil"/>
              <w:bottom w:val="single" w:sz="8" w:space="0" w:color="auto"/>
              <w:right w:val="single" w:sz="8" w:space="0" w:color="auto"/>
            </w:tcBorders>
            <w:shd w:val="clear" w:color="000000" w:fill="92D050"/>
            <w:vAlign w:val="center"/>
            <w:hideMark/>
          </w:tcPr>
          <w:p w14:paraId="1874A57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00" w:type="dxa"/>
            <w:tcBorders>
              <w:top w:val="nil"/>
              <w:left w:val="nil"/>
              <w:bottom w:val="single" w:sz="8" w:space="0" w:color="auto"/>
              <w:right w:val="single" w:sz="8" w:space="0" w:color="auto"/>
            </w:tcBorders>
            <w:shd w:val="clear" w:color="000000" w:fill="FFFF00"/>
            <w:vAlign w:val="center"/>
            <w:hideMark/>
          </w:tcPr>
          <w:p w14:paraId="4DFCB3C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750" w:type="dxa"/>
            <w:tcBorders>
              <w:top w:val="nil"/>
              <w:left w:val="nil"/>
              <w:bottom w:val="single" w:sz="8" w:space="0" w:color="auto"/>
              <w:right w:val="single" w:sz="8" w:space="0" w:color="auto"/>
            </w:tcBorders>
            <w:shd w:val="clear" w:color="000000" w:fill="FFC000"/>
            <w:vAlign w:val="center"/>
            <w:hideMark/>
          </w:tcPr>
          <w:p w14:paraId="7289A23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08" w:type="dxa"/>
            <w:tcBorders>
              <w:top w:val="nil"/>
              <w:left w:val="nil"/>
              <w:bottom w:val="single" w:sz="8" w:space="0" w:color="auto"/>
              <w:right w:val="single" w:sz="8" w:space="0" w:color="auto"/>
            </w:tcBorders>
            <w:shd w:val="clear" w:color="000000" w:fill="FF0000"/>
            <w:vAlign w:val="center"/>
            <w:hideMark/>
          </w:tcPr>
          <w:p w14:paraId="25204E4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0BE48EB4"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7A777D70"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450" w:type="dxa"/>
            <w:tcBorders>
              <w:top w:val="nil"/>
              <w:left w:val="nil"/>
              <w:bottom w:val="single" w:sz="8" w:space="0" w:color="auto"/>
              <w:right w:val="single" w:sz="8" w:space="0" w:color="auto"/>
            </w:tcBorders>
            <w:shd w:val="clear" w:color="000000" w:fill="92D050"/>
            <w:vAlign w:val="center"/>
            <w:hideMark/>
          </w:tcPr>
          <w:p w14:paraId="55141A1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8.9</w:t>
            </w:r>
          </w:p>
        </w:tc>
        <w:tc>
          <w:tcPr>
            <w:tcW w:w="1600" w:type="dxa"/>
            <w:tcBorders>
              <w:top w:val="nil"/>
              <w:left w:val="nil"/>
              <w:bottom w:val="single" w:sz="8" w:space="0" w:color="auto"/>
              <w:right w:val="single" w:sz="8" w:space="0" w:color="auto"/>
            </w:tcBorders>
            <w:shd w:val="clear" w:color="000000" w:fill="FFFF00"/>
            <w:vAlign w:val="center"/>
            <w:hideMark/>
          </w:tcPr>
          <w:p w14:paraId="7F38B2B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82.1</w:t>
            </w:r>
          </w:p>
        </w:tc>
        <w:tc>
          <w:tcPr>
            <w:tcW w:w="1750" w:type="dxa"/>
            <w:tcBorders>
              <w:top w:val="nil"/>
              <w:left w:val="nil"/>
              <w:bottom w:val="single" w:sz="8" w:space="0" w:color="auto"/>
              <w:right w:val="single" w:sz="8" w:space="0" w:color="auto"/>
            </w:tcBorders>
            <w:shd w:val="clear" w:color="000000" w:fill="FFC000"/>
            <w:vAlign w:val="center"/>
            <w:hideMark/>
          </w:tcPr>
          <w:p w14:paraId="3D2C638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7.2</w:t>
            </w:r>
          </w:p>
        </w:tc>
        <w:tc>
          <w:tcPr>
            <w:tcW w:w="1608" w:type="dxa"/>
            <w:tcBorders>
              <w:top w:val="nil"/>
              <w:left w:val="nil"/>
              <w:bottom w:val="single" w:sz="8" w:space="0" w:color="auto"/>
              <w:right w:val="single" w:sz="8" w:space="0" w:color="auto"/>
            </w:tcBorders>
            <w:shd w:val="clear" w:color="000000" w:fill="FF0000"/>
            <w:vAlign w:val="center"/>
            <w:hideMark/>
          </w:tcPr>
          <w:p w14:paraId="6AF31E7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1.8</w:t>
            </w:r>
          </w:p>
        </w:tc>
      </w:tr>
      <w:tr w:rsidR="001D2E87" w:rsidRPr="00CE240B" w14:paraId="0B86EFC4"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5A43505A"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450" w:type="dxa"/>
            <w:tcBorders>
              <w:top w:val="nil"/>
              <w:left w:val="nil"/>
              <w:bottom w:val="single" w:sz="8" w:space="0" w:color="auto"/>
              <w:right w:val="single" w:sz="8" w:space="0" w:color="auto"/>
            </w:tcBorders>
            <w:shd w:val="clear" w:color="000000" w:fill="92D050"/>
            <w:vAlign w:val="center"/>
            <w:hideMark/>
          </w:tcPr>
          <w:p w14:paraId="636E790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8.1</w:t>
            </w:r>
          </w:p>
        </w:tc>
        <w:tc>
          <w:tcPr>
            <w:tcW w:w="1600" w:type="dxa"/>
            <w:tcBorders>
              <w:top w:val="nil"/>
              <w:left w:val="nil"/>
              <w:bottom w:val="single" w:sz="8" w:space="0" w:color="auto"/>
              <w:right w:val="single" w:sz="8" w:space="0" w:color="auto"/>
            </w:tcBorders>
            <w:shd w:val="clear" w:color="000000" w:fill="FFFF00"/>
            <w:vAlign w:val="center"/>
            <w:hideMark/>
          </w:tcPr>
          <w:p w14:paraId="202667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84.4</w:t>
            </w:r>
          </w:p>
        </w:tc>
        <w:tc>
          <w:tcPr>
            <w:tcW w:w="1750" w:type="dxa"/>
            <w:tcBorders>
              <w:top w:val="nil"/>
              <w:left w:val="nil"/>
              <w:bottom w:val="single" w:sz="8" w:space="0" w:color="auto"/>
              <w:right w:val="single" w:sz="8" w:space="0" w:color="auto"/>
            </w:tcBorders>
            <w:shd w:val="clear" w:color="000000" w:fill="FFC000"/>
            <w:vAlign w:val="center"/>
            <w:hideMark/>
          </w:tcPr>
          <w:p w14:paraId="7C5D5E6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7.5</w:t>
            </w:r>
          </w:p>
        </w:tc>
        <w:tc>
          <w:tcPr>
            <w:tcW w:w="1608" w:type="dxa"/>
            <w:tcBorders>
              <w:top w:val="nil"/>
              <w:left w:val="nil"/>
              <w:bottom w:val="single" w:sz="8" w:space="0" w:color="auto"/>
              <w:right w:val="single" w:sz="8" w:space="0" w:color="auto"/>
            </w:tcBorders>
            <w:shd w:val="clear" w:color="000000" w:fill="FF0000"/>
            <w:vAlign w:val="center"/>
            <w:hideMark/>
          </w:tcPr>
          <w:p w14:paraId="24FCA65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E3704B4"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52A8EB99"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450" w:type="dxa"/>
            <w:tcBorders>
              <w:top w:val="nil"/>
              <w:left w:val="nil"/>
              <w:bottom w:val="single" w:sz="8" w:space="0" w:color="auto"/>
              <w:right w:val="single" w:sz="8" w:space="0" w:color="auto"/>
            </w:tcBorders>
            <w:shd w:val="clear" w:color="000000" w:fill="92D050"/>
            <w:vAlign w:val="center"/>
            <w:hideMark/>
          </w:tcPr>
          <w:p w14:paraId="35632BA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11.1</w:t>
            </w:r>
          </w:p>
        </w:tc>
        <w:tc>
          <w:tcPr>
            <w:tcW w:w="1600" w:type="dxa"/>
            <w:tcBorders>
              <w:top w:val="nil"/>
              <w:left w:val="nil"/>
              <w:bottom w:val="single" w:sz="8" w:space="0" w:color="auto"/>
              <w:right w:val="single" w:sz="8" w:space="0" w:color="auto"/>
            </w:tcBorders>
            <w:shd w:val="clear" w:color="000000" w:fill="FFFF00"/>
            <w:vAlign w:val="center"/>
            <w:hideMark/>
          </w:tcPr>
          <w:p w14:paraId="388F05D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82.7</w:t>
            </w:r>
          </w:p>
        </w:tc>
        <w:tc>
          <w:tcPr>
            <w:tcW w:w="1750" w:type="dxa"/>
            <w:tcBorders>
              <w:top w:val="nil"/>
              <w:left w:val="nil"/>
              <w:bottom w:val="single" w:sz="8" w:space="0" w:color="auto"/>
              <w:right w:val="single" w:sz="8" w:space="0" w:color="auto"/>
            </w:tcBorders>
            <w:shd w:val="clear" w:color="000000" w:fill="FFC000"/>
            <w:vAlign w:val="center"/>
            <w:hideMark/>
          </w:tcPr>
          <w:p w14:paraId="61E0680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6.2</w:t>
            </w:r>
          </w:p>
        </w:tc>
        <w:tc>
          <w:tcPr>
            <w:tcW w:w="1608" w:type="dxa"/>
            <w:tcBorders>
              <w:top w:val="nil"/>
              <w:left w:val="nil"/>
              <w:bottom w:val="single" w:sz="8" w:space="0" w:color="auto"/>
              <w:right w:val="single" w:sz="8" w:space="0" w:color="auto"/>
            </w:tcBorders>
            <w:shd w:val="clear" w:color="000000" w:fill="FF0000"/>
            <w:vAlign w:val="center"/>
            <w:hideMark/>
          </w:tcPr>
          <w:p w14:paraId="790349E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4572A78"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6FBC2283"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450" w:type="dxa"/>
            <w:tcBorders>
              <w:top w:val="nil"/>
              <w:left w:val="nil"/>
              <w:bottom w:val="single" w:sz="8" w:space="0" w:color="auto"/>
              <w:right w:val="single" w:sz="8" w:space="0" w:color="auto"/>
            </w:tcBorders>
            <w:shd w:val="clear" w:color="000000" w:fill="92D050"/>
            <w:vAlign w:val="center"/>
            <w:hideMark/>
          </w:tcPr>
          <w:p w14:paraId="1F84F37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19.6</w:t>
            </w:r>
          </w:p>
        </w:tc>
        <w:tc>
          <w:tcPr>
            <w:tcW w:w="1600" w:type="dxa"/>
            <w:tcBorders>
              <w:top w:val="nil"/>
              <w:left w:val="nil"/>
              <w:bottom w:val="single" w:sz="8" w:space="0" w:color="auto"/>
              <w:right w:val="single" w:sz="8" w:space="0" w:color="auto"/>
            </w:tcBorders>
            <w:shd w:val="clear" w:color="000000" w:fill="FFFF00"/>
            <w:vAlign w:val="center"/>
            <w:hideMark/>
          </w:tcPr>
          <w:p w14:paraId="4A7D5AC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78.8</w:t>
            </w:r>
          </w:p>
        </w:tc>
        <w:tc>
          <w:tcPr>
            <w:tcW w:w="1750" w:type="dxa"/>
            <w:tcBorders>
              <w:top w:val="nil"/>
              <w:left w:val="nil"/>
              <w:bottom w:val="single" w:sz="8" w:space="0" w:color="auto"/>
              <w:right w:val="single" w:sz="8" w:space="0" w:color="auto"/>
            </w:tcBorders>
            <w:shd w:val="clear" w:color="000000" w:fill="FFC000"/>
            <w:vAlign w:val="center"/>
            <w:hideMark/>
          </w:tcPr>
          <w:p w14:paraId="4610346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1.7</w:t>
            </w:r>
          </w:p>
        </w:tc>
        <w:tc>
          <w:tcPr>
            <w:tcW w:w="1608" w:type="dxa"/>
            <w:tcBorders>
              <w:top w:val="nil"/>
              <w:left w:val="nil"/>
              <w:bottom w:val="single" w:sz="8" w:space="0" w:color="auto"/>
              <w:right w:val="single" w:sz="8" w:space="0" w:color="auto"/>
            </w:tcBorders>
            <w:shd w:val="clear" w:color="000000" w:fill="FF0000"/>
            <w:vAlign w:val="center"/>
            <w:hideMark/>
          </w:tcPr>
          <w:p w14:paraId="76B6F80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D7FC31F"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7F052152"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450" w:type="dxa"/>
            <w:tcBorders>
              <w:top w:val="nil"/>
              <w:left w:val="nil"/>
              <w:bottom w:val="single" w:sz="8" w:space="0" w:color="auto"/>
              <w:right w:val="single" w:sz="8" w:space="0" w:color="auto"/>
            </w:tcBorders>
            <w:shd w:val="clear" w:color="000000" w:fill="92D050"/>
            <w:vAlign w:val="center"/>
            <w:hideMark/>
          </w:tcPr>
          <w:p w14:paraId="02DC3DE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00" w:type="dxa"/>
            <w:tcBorders>
              <w:top w:val="nil"/>
              <w:left w:val="nil"/>
              <w:bottom w:val="single" w:sz="8" w:space="0" w:color="auto"/>
              <w:right w:val="single" w:sz="8" w:space="0" w:color="auto"/>
            </w:tcBorders>
            <w:shd w:val="clear" w:color="000000" w:fill="FFFF00"/>
            <w:vAlign w:val="center"/>
            <w:hideMark/>
          </w:tcPr>
          <w:p w14:paraId="56407FB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21.8</w:t>
            </w:r>
          </w:p>
        </w:tc>
        <w:tc>
          <w:tcPr>
            <w:tcW w:w="1750" w:type="dxa"/>
            <w:tcBorders>
              <w:top w:val="nil"/>
              <w:left w:val="nil"/>
              <w:bottom w:val="single" w:sz="8" w:space="0" w:color="auto"/>
              <w:right w:val="single" w:sz="8" w:space="0" w:color="auto"/>
            </w:tcBorders>
            <w:shd w:val="clear" w:color="000000" w:fill="FFC000"/>
            <w:vAlign w:val="center"/>
            <w:hideMark/>
          </w:tcPr>
          <w:p w14:paraId="0371834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63.4</w:t>
            </w:r>
          </w:p>
        </w:tc>
        <w:tc>
          <w:tcPr>
            <w:tcW w:w="1608" w:type="dxa"/>
            <w:tcBorders>
              <w:top w:val="nil"/>
              <w:left w:val="nil"/>
              <w:bottom w:val="single" w:sz="8" w:space="0" w:color="auto"/>
              <w:right w:val="single" w:sz="8" w:space="0" w:color="auto"/>
            </w:tcBorders>
            <w:shd w:val="clear" w:color="000000" w:fill="FF0000"/>
            <w:vAlign w:val="center"/>
            <w:hideMark/>
          </w:tcPr>
          <w:p w14:paraId="34C610D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D6E69C5"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196D41A6"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450" w:type="dxa"/>
            <w:tcBorders>
              <w:top w:val="nil"/>
              <w:left w:val="nil"/>
              <w:bottom w:val="single" w:sz="8" w:space="0" w:color="auto"/>
              <w:right w:val="single" w:sz="8" w:space="0" w:color="auto"/>
            </w:tcBorders>
            <w:shd w:val="clear" w:color="000000" w:fill="92D050"/>
            <w:vAlign w:val="center"/>
            <w:hideMark/>
          </w:tcPr>
          <w:p w14:paraId="0F7C386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00" w:type="dxa"/>
            <w:tcBorders>
              <w:top w:val="nil"/>
              <w:left w:val="nil"/>
              <w:bottom w:val="single" w:sz="8" w:space="0" w:color="auto"/>
              <w:right w:val="single" w:sz="8" w:space="0" w:color="auto"/>
            </w:tcBorders>
            <w:shd w:val="clear" w:color="000000" w:fill="FFFF00"/>
            <w:vAlign w:val="center"/>
            <w:hideMark/>
          </w:tcPr>
          <w:p w14:paraId="2B8D6D2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750" w:type="dxa"/>
            <w:tcBorders>
              <w:top w:val="nil"/>
              <w:left w:val="nil"/>
              <w:bottom w:val="single" w:sz="8" w:space="0" w:color="auto"/>
              <w:right w:val="single" w:sz="8" w:space="0" w:color="auto"/>
            </w:tcBorders>
            <w:shd w:val="clear" w:color="000000" w:fill="FFC000"/>
            <w:vAlign w:val="center"/>
            <w:hideMark/>
          </w:tcPr>
          <w:p w14:paraId="6BA0B2C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08" w:type="dxa"/>
            <w:tcBorders>
              <w:top w:val="nil"/>
              <w:left w:val="nil"/>
              <w:bottom w:val="single" w:sz="8" w:space="0" w:color="auto"/>
              <w:right w:val="single" w:sz="8" w:space="0" w:color="auto"/>
            </w:tcBorders>
            <w:shd w:val="clear" w:color="000000" w:fill="FF0000"/>
            <w:vAlign w:val="center"/>
            <w:hideMark/>
          </w:tcPr>
          <w:p w14:paraId="0EF6643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1C401BCE"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2FDC665C" w14:textId="77777777" w:rsidR="001D2E87" w:rsidRPr="00CE240B" w:rsidRDefault="001D2E87" w:rsidP="00CE240B">
            <w:pPr>
              <w:contextualSpacing/>
              <w:rPr>
                <w:rFonts w:cs="Arial"/>
                <w:b/>
                <w:bCs/>
                <w:color w:val="000000"/>
                <w:sz w:val="24"/>
              </w:rPr>
            </w:pPr>
            <w:r w:rsidRPr="00CE240B">
              <w:rPr>
                <w:rFonts w:cs="Arial"/>
                <w:b/>
                <w:bCs/>
                <w:color w:val="000000"/>
                <w:sz w:val="24"/>
              </w:rPr>
              <w:t xml:space="preserve">Space Utilisation (Wards) </w:t>
            </w:r>
          </w:p>
        </w:tc>
        <w:tc>
          <w:tcPr>
            <w:tcW w:w="1450" w:type="dxa"/>
            <w:tcBorders>
              <w:top w:val="nil"/>
              <w:left w:val="nil"/>
              <w:bottom w:val="single" w:sz="8" w:space="0" w:color="auto"/>
              <w:right w:val="single" w:sz="8" w:space="0" w:color="auto"/>
            </w:tcBorders>
            <w:shd w:val="clear" w:color="000000" w:fill="92D050"/>
            <w:vAlign w:val="center"/>
            <w:hideMark/>
          </w:tcPr>
          <w:p w14:paraId="354FAF5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80.3</w:t>
            </w:r>
          </w:p>
        </w:tc>
        <w:tc>
          <w:tcPr>
            <w:tcW w:w="1600" w:type="dxa"/>
            <w:tcBorders>
              <w:top w:val="nil"/>
              <w:left w:val="nil"/>
              <w:bottom w:val="single" w:sz="8" w:space="0" w:color="auto"/>
              <w:right w:val="single" w:sz="8" w:space="0" w:color="auto"/>
            </w:tcBorders>
            <w:shd w:val="clear" w:color="000000" w:fill="FFFF00"/>
            <w:vAlign w:val="center"/>
            <w:hideMark/>
          </w:tcPr>
          <w:p w14:paraId="4D056C6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750" w:type="dxa"/>
            <w:tcBorders>
              <w:top w:val="nil"/>
              <w:left w:val="nil"/>
              <w:bottom w:val="single" w:sz="8" w:space="0" w:color="auto"/>
              <w:right w:val="single" w:sz="8" w:space="0" w:color="auto"/>
            </w:tcBorders>
            <w:shd w:val="clear" w:color="000000" w:fill="FFC000"/>
            <w:vAlign w:val="center"/>
            <w:hideMark/>
          </w:tcPr>
          <w:p w14:paraId="641B705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19.7</w:t>
            </w:r>
          </w:p>
        </w:tc>
        <w:tc>
          <w:tcPr>
            <w:tcW w:w="1608" w:type="dxa"/>
            <w:tcBorders>
              <w:top w:val="nil"/>
              <w:left w:val="nil"/>
              <w:bottom w:val="single" w:sz="8" w:space="0" w:color="auto"/>
              <w:right w:val="single" w:sz="8" w:space="0" w:color="auto"/>
            </w:tcBorders>
            <w:shd w:val="clear" w:color="000000" w:fill="FF0000"/>
            <w:vAlign w:val="center"/>
            <w:hideMark/>
          </w:tcPr>
          <w:p w14:paraId="0BB0E4A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9268E29" w14:textId="77777777" w:rsidTr="00CE240B">
        <w:trPr>
          <w:trHeight w:val="14"/>
        </w:trPr>
        <w:tc>
          <w:tcPr>
            <w:tcW w:w="2921" w:type="dxa"/>
            <w:tcBorders>
              <w:top w:val="nil"/>
              <w:left w:val="single" w:sz="12" w:space="0" w:color="auto"/>
              <w:bottom w:val="single" w:sz="8" w:space="0" w:color="auto"/>
              <w:right w:val="single" w:sz="8" w:space="0" w:color="auto"/>
            </w:tcBorders>
            <w:shd w:val="clear" w:color="auto" w:fill="auto"/>
            <w:vAlign w:val="center"/>
            <w:hideMark/>
          </w:tcPr>
          <w:p w14:paraId="62777876"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 (Ex Wards)</w:t>
            </w:r>
          </w:p>
        </w:tc>
        <w:tc>
          <w:tcPr>
            <w:tcW w:w="1450" w:type="dxa"/>
            <w:tcBorders>
              <w:top w:val="nil"/>
              <w:left w:val="nil"/>
              <w:bottom w:val="single" w:sz="8" w:space="0" w:color="auto"/>
              <w:right w:val="single" w:sz="8" w:space="0" w:color="auto"/>
            </w:tcBorders>
            <w:shd w:val="clear" w:color="000000" w:fill="92D050"/>
            <w:vAlign w:val="center"/>
            <w:hideMark/>
          </w:tcPr>
          <w:p w14:paraId="1C5543C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77.4</w:t>
            </w:r>
          </w:p>
        </w:tc>
        <w:tc>
          <w:tcPr>
            <w:tcW w:w="1600" w:type="dxa"/>
            <w:tcBorders>
              <w:top w:val="nil"/>
              <w:left w:val="nil"/>
              <w:bottom w:val="single" w:sz="8" w:space="0" w:color="auto"/>
              <w:right w:val="single" w:sz="8" w:space="0" w:color="auto"/>
            </w:tcBorders>
            <w:shd w:val="clear" w:color="000000" w:fill="FFFF00"/>
            <w:vAlign w:val="center"/>
            <w:hideMark/>
          </w:tcPr>
          <w:p w14:paraId="0E15D4E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10.9</w:t>
            </w:r>
          </w:p>
        </w:tc>
        <w:tc>
          <w:tcPr>
            <w:tcW w:w="1750" w:type="dxa"/>
            <w:tcBorders>
              <w:top w:val="nil"/>
              <w:left w:val="nil"/>
              <w:bottom w:val="single" w:sz="8" w:space="0" w:color="auto"/>
              <w:right w:val="single" w:sz="8" w:space="0" w:color="auto"/>
            </w:tcBorders>
            <w:shd w:val="clear" w:color="000000" w:fill="FFC000"/>
            <w:vAlign w:val="center"/>
            <w:hideMark/>
          </w:tcPr>
          <w:p w14:paraId="769570D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8" w:type="dxa"/>
            <w:tcBorders>
              <w:top w:val="nil"/>
              <w:left w:val="nil"/>
              <w:bottom w:val="single" w:sz="8" w:space="0" w:color="auto"/>
              <w:right w:val="single" w:sz="8" w:space="0" w:color="auto"/>
            </w:tcBorders>
            <w:shd w:val="clear" w:color="000000" w:fill="FF0000"/>
            <w:vAlign w:val="center"/>
            <w:hideMark/>
          </w:tcPr>
          <w:p w14:paraId="5E15E60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11.7</w:t>
            </w:r>
          </w:p>
        </w:tc>
      </w:tr>
    </w:tbl>
    <w:p w14:paraId="56AE9235" w14:textId="4F83BE0A" w:rsidR="001D2E87" w:rsidRPr="005B3C80" w:rsidRDefault="00730763" w:rsidP="00730763">
      <w:pPr>
        <w:contextualSpacing/>
        <w:jc w:val="center"/>
        <w:rPr>
          <w:rFonts w:cs="Arial"/>
          <w:bCs/>
          <w:sz w:val="24"/>
        </w:rPr>
      </w:pPr>
      <w:r w:rsidRPr="005B3C80">
        <w:rPr>
          <w:rFonts w:cs="Arial"/>
          <w:bCs/>
          <w:sz w:val="24"/>
        </w:rPr>
        <w:t>Table 17</w:t>
      </w:r>
      <w:r w:rsidR="005B3C80">
        <w:rPr>
          <w:rFonts w:cs="Arial"/>
          <w:bCs/>
          <w:sz w:val="24"/>
        </w:rPr>
        <w:t xml:space="preserve"> Facet Surveys</w:t>
      </w:r>
    </w:p>
    <w:p w14:paraId="139D7C32" w14:textId="77777777" w:rsidR="00730763" w:rsidRDefault="00730763" w:rsidP="00CE240B">
      <w:pPr>
        <w:contextualSpacing/>
        <w:rPr>
          <w:rFonts w:cs="Arial"/>
          <w:b/>
          <w:color w:val="FF0000"/>
          <w:sz w:val="24"/>
        </w:rPr>
      </w:pPr>
    </w:p>
    <w:p w14:paraId="1F6D5C37" w14:textId="77777777" w:rsidR="00CE240B" w:rsidRPr="00CE240B" w:rsidRDefault="00CE240B" w:rsidP="00CE240B">
      <w:pPr>
        <w:contextualSpacing/>
        <w:rPr>
          <w:rFonts w:cs="Arial"/>
          <w:b/>
          <w:color w:val="FF0000"/>
          <w:sz w:val="24"/>
        </w:rPr>
      </w:pPr>
    </w:p>
    <w:tbl>
      <w:tblPr>
        <w:tblW w:w="9348" w:type="dxa"/>
        <w:tblInd w:w="123" w:type="dxa"/>
        <w:tblLook w:val="04A0" w:firstRow="1" w:lastRow="0" w:firstColumn="1" w:lastColumn="0" w:noHBand="0" w:noVBand="1"/>
      </w:tblPr>
      <w:tblGrid>
        <w:gridCol w:w="2919"/>
        <w:gridCol w:w="1464"/>
        <w:gridCol w:w="1607"/>
        <w:gridCol w:w="1750"/>
        <w:gridCol w:w="1608"/>
      </w:tblGrid>
      <w:tr w:rsidR="001D2E87" w:rsidRPr="00CE240B" w14:paraId="66EE27A3" w14:textId="77777777" w:rsidTr="00E86E3C">
        <w:trPr>
          <w:trHeight w:val="335"/>
        </w:trPr>
        <w:tc>
          <w:tcPr>
            <w:tcW w:w="9348"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022BD74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CARLETON CLINIC</w:t>
            </w:r>
          </w:p>
        </w:tc>
      </w:tr>
      <w:tr w:rsidR="001D2E87" w:rsidRPr="00CE240B" w14:paraId="3B84CD4A" w14:textId="77777777" w:rsidTr="00E86E3C">
        <w:trPr>
          <w:trHeight w:val="295"/>
        </w:trPr>
        <w:tc>
          <w:tcPr>
            <w:tcW w:w="2919" w:type="dxa"/>
            <w:vMerge w:val="restart"/>
            <w:tcBorders>
              <w:top w:val="nil"/>
              <w:left w:val="single" w:sz="8" w:space="0" w:color="auto"/>
              <w:bottom w:val="single" w:sz="8" w:space="0" w:color="000000"/>
              <w:right w:val="single" w:sz="8" w:space="0" w:color="auto"/>
            </w:tcBorders>
            <w:shd w:val="clear" w:color="auto" w:fill="auto"/>
            <w:vAlign w:val="center"/>
            <w:hideMark/>
          </w:tcPr>
          <w:p w14:paraId="5973938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29" w:type="dxa"/>
            <w:gridSpan w:val="4"/>
            <w:tcBorders>
              <w:top w:val="nil"/>
              <w:left w:val="nil"/>
              <w:bottom w:val="single" w:sz="8" w:space="0" w:color="auto"/>
              <w:right w:val="single" w:sz="8" w:space="0" w:color="000000"/>
            </w:tcBorders>
            <w:shd w:val="clear" w:color="auto" w:fill="auto"/>
            <w:vAlign w:val="center"/>
            <w:hideMark/>
          </w:tcPr>
          <w:p w14:paraId="41F051F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020D3E75" w14:textId="77777777" w:rsidTr="00E86E3C">
        <w:trPr>
          <w:trHeight w:val="281"/>
        </w:trPr>
        <w:tc>
          <w:tcPr>
            <w:tcW w:w="2919" w:type="dxa"/>
            <w:vMerge/>
            <w:tcBorders>
              <w:top w:val="nil"/>
              <w:left w:val="single" w:sz="8" w:space="0" w:color="auto"/>
              <w:bottom w:val="single" w:sz="8" w:space="0" w:color="000000"/>
              <w:right w:val="single" w:sz="8" w:space="0" w:color="auto"/>
            </w:tcBorders>
            <w:vAlign w:val="center"/>
            <w:hideMark/>
          </w:tcPr>
          <w:p w14:paraId="70C46CF1" w14:textId="77777777" w:rsidR="001D2E87" w:rsidRPr="00CE240B" w:rsidRDefault="001D2E87" w:rsidP="00CE240B">
            <w:pPr>
              <w:contextualSpacing/>
              <w:rPr>
                <w:rFonts w:cs="Arial"/>
                <w:b/>
                <w:bCs/>
                <w:color w:val="000000"/>
                <w:sz w:val="24"/>
              </w:rPr>
            </w:pPr>
          </w:p>
        </w:tc>
        <w:tc>
          <w:tcPr>
            <w:tcW w:w="1607" w:type="dxa"/>
            <w:tcBorders>
              <w:top w:val="nil"/>
              <w:left w:val="nil"/>
              <w:bottom w:val="single" w:sz="8" w:space="0" w:color="auto"/>
              <w:right w:val="single" w:sz="8" w:space="0" w:color="auto"/>
            </w:tcBorders>
            <w:shd w:val="clear" w:color="000000" w:fill="92D050"/>
            <w:vAlign w:val="center"/>
            <w:hideMark/>
          </w:tcPr>
          <w:p w14:paraId="3A944A5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07" w:type="dxa"/>
            <w:tcBorders>
              <w:top w:val="nil"/>
              <w:left w:val="nil"/>
              <w:bottom w:val="single" w:sz="8" w:space="0" w:color="auto"/>
              <w:right w:val="single" w:sz="8" w:space="0" w:color="auto"/>
            </w:tcBorders>
            <w:shd w:val="clear" w:color="000000" w:fill="FFFF00"/>
            <w:vAlign w:val="center"/>
            <w:hideMark/>
          </w:tcPr>
          <w:p w14:paraId="65F3ED8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07" w:type="dxa"/>
            <w:tcBorders>
              <w:top w:val="nil"/>
              <w:left w:val="nil"/>
              <w:bottom w:val="single" w:sz="8" w:space="0" w:color="auto"/>
              <w:right w:val="single" w:sz="8" w:space="0" w:color="auto"/>
            </w:tcBorders>
            <w:shd w:val="clear" w:color="000000" w:fill="FFC000"/>
            <w:vAlign w:val="center"/>
            <w:hideMark/>
          </w:tcPr>
          <w:p w14:paraId="59EB2CC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07" w:type="dxa"/>
            <w:tcBorders>
              <w:top w:val="nil"/>
              <w:left w:val="nil"/>
              <w:bottom w:val="single" w:sz="8" w:space="0" w:color="auto"/>
              <w:right w:val="single" w:sz="8" w:space="0" w:color="auto"/>
            </w:tcBorders>
            <w:shd w:val="clear" w:color="000000" w:fill="FF0000"/>
            <w:vAlign w:val="center"/>
            <w:hideMark/>
          </w:tcPr>
          <w:p w14:paraId="2E22A47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0354A976"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5121C952"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07" w:type="dxa"/>
            <w:tcBorders>
              <w:top w:val="nil"/>
              <w:left w:val="nil"/>
              <w:bottom w:val="single" w:sz="8" w:space="0" w:color="auto"/>
              <w:right w:val="single" w:sz="8" w:space="0" w:color="auto"/>
            </w:tcBorders>
            <w:shd w:val="clear" w:color="000000" w:fill="92D050"/>
            <w:vAlign w:val="center"/>
            <w:hideMark/>
          </w:tcPr>
          <w:p w14:paraId="18353F3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FF00"/>
            <w:vAlign w:val="center"/>
            <w:hideMark/>
          </w:tcPr>
          <w:p w14:paraId="4DC5CA3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79.4</w:t>
            </w:r>
          </w:p>
        </w:tc>
        <w:tc>
          <w:tcPr>
            <w:tcW w:w="1607" w:type="dxa"/>
            <w:tcBorders>
              <w:top w:val="nil"/>
              <w:left w:val="nil"/>
              <w:bottom w:val="single" w:sz="8" w:space="0" w:color="auto"/>
              <w:right w:val="single" w:sz="8" w:space="0" w:color="auto"/>
            </w:tcBorders>
            <w:shd w:val="clear" w:color="000000" w:fill="FFC000"/>
            <w:vAlign w:val="center"/>
            <w:hideMark/>
          </w:tcPr>
          <w:p w14:paraId="37EC49A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20.6</w:t>
            </w:r>
          </w:p>
        </w:tc>
        <w:tc>
          <w:tcPr>
            <w:tcW w:w="1607" w:type="dxa"/>
            <w:tcBorders>
              <w:top w:val="nil"/>
              <w:left w:val="nil"/>
              <w:bottom w:val="single" w:sz="8" w:space="0" w:color="auto"/>
              <w:right w:val="single" w:sz="8" w:space="0" w:color="auto"/>
            </w:tcBorders>
            <w:shd w:val="clear" w:color="000000" w:fill="FF0000"/>
            <w:vAlign w:val="center"/>
            <w:hideMark/>
          </w:tcPr>
          <w:p w14:paraId="7ED3183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B7A15D4"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61F5BF40"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07" w:type="dxa"/>
            <w:tcBorders>
              <w:top w:val="nil"/>
              <w:left w:val="nil"/>
              <w:bottom w:val="single" w:sz="8" w:space="0" w:color="auto"/>
              <w:right w:val="single" w:sz="8" w:space="0" w:color="auto"/>
            </w:tcBorders>
            <w:shd w:val="clear" w:color="000000" w:fill="92D050"/>
            <w:vAlign w:val="center"/>
            <w:hideMark/>
          </w:tcPr>
          <w:p w14:paraId="2BB6DA9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FF00"/>
            <w:vAlign w:val="center"/>
            <w:hideMark/>
          </w:tcPr>
          <w:p w14:paraId="20ED73C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80.3</w:t>
            </w:r>
          </w:p>
        </w:tc>
        <w:tc>
          <w:tcPr>
            <w:tcW w:w="1607" w:type="dxa"/>
            <w:tcBorders>
              <w:top w:val="nil"/>
              <w:left w:val="nil"/>
              <w:bottom w:val="single" w:sz="8" w:space="0" w:color="auto"/>
              <w:right w:val="single" w:sz="8" w:space="0" w:color="auto"/>
            </w:tcBorders>
            <w:shd w:val="clear" w:color="000000" w:fill="FFC000"/>
            <w:vAlign w:val="center"/>
            <w:hideMark/>
          </w:tcPr>
          <w:p w14:paraId="507F82B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19.7</w:t>
            </w:r>
          </w:p>
        </w:tc>
        <w:tc>
          <w:tcPr>
            <w:tcW w:w="1607" w:type="dxa"/>
            <w:tcBorders>
              <w:top w:val="nil"/>
              <w:left w:val="nil"/>
              <w:bottom w:val="single" w:sz="8" w:space="0" w:color="auto"/>
              <w:right w:val="single" w:sz="8" w:space="0" w:color="auto"/>
            </w:tcBorders>
            <w:shd w:val="clear" w:color="000000" w:fill="FF0000"/>
            <w:vAlign w:val="center"/>
            <w:hideMark/>
          </w:tcPr>
          <w:p w14:paraId="46C6962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7A392C2"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25A43571"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07" w:type="dxa"/>
            <w:tcBorders>
              <w:top w:val="nil"/>
              <w:left w:val="nil"/>
              <w:bottom w:val="single" w:sz="8" w:space="0" w:color="auto"/>
              <w:right w:val="single" w:sz="8" w:space="0" w:color="auto"/>
            </w:tcBorders>
            <w:shd w:val="clear" w:color="000000" w:fill="92D050"/>
            <w:vAlign w:val="center"/>
            <w:hideMark/>
          </w:tcPr>
          <w:p w14:paraId="27A2F83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FF00"/>
            <w:vAlign w:val="center"/>
            <w:hideMark/>
          </w:tcPr>
          <w:p w14:paraId="3218E006"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7" w:type="dxa"/>
            <w:tcBorders>
              <w:top w:val="nil"/>
              <w:left w:val="nil"/>
              <w:bottom w:val="single" w:sz="8" w:space="0" w:color="auto"/>
              <w:right w:val="single" w:sz="8" w:space="0" w:color="auto"/>
            </w:tcBorders>
            <w:shd w:val="clear" w:color="000000" w:fill="FFC000"/>
            <w:vAlign w:val="center"/>
            <w:hideMark/>
          </w:tcPr>
          <w:p w14:paraId="7F5706B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0000"/>
            <w:vAlign w:val="center"/>
            <w:hideMark/>
          </w:tcPr>
          <w:p w14:paraId="48A89D3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18EFB7E8"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2941DF2A"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07" w:type="dxa"/>
            <w:tcBorders>
              <w:top w:val="nil"/>
              <w:left w:val="nil"/>
              <w:bottom w:val="single" w:sz="8" w:space="0" w:color="auto"/>
              <w:right w:val="single" w:sz="8" w:space="0" w:color="auto"/>
            </w:tcBorders>
            <w:shd w:val="clear" w:color="000000" w:fill="92D050"/>
            <w:vAlign w:val="center"/>
            <w:hideMark/>
          </w:tcPr>
          <w:p w14:paraId="5F1B1B0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FF00"/>
            <w:vAlign w:val="center"/>
            <w:hideMark/>
          </w:tcPr>
          <w:p w14:paraId="2DE9EF4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7" w:type="dxa"/>
            <w:tcBorders>
              <w:top w:val="nil"/>
              <w:left w:val="nil"/>
              <w:bottom w:val="single" w:sz="8" w:space="0" w:color="auto"/>
              <w:right w:val="single" w:sz="8" w:space="0" w:color="auto"/>
            </w:tcBorders>
            <w:shd w:val="clear" w:color="000000" w:fill="FFC000"/>
            <w:vAlign w:val="center"/>
            <w:hideMark/>
          </w:tcPr>
          <w:p w14:paraId="028C848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0000"/>
            <w:vAlign w:val="center"/>
            <w:hideMark/>
          </w:tcPr>
          <w:p w14:paraId="63C508CE"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16A354E"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3F6F0D6F"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07" w:type="dxa"/>
            <w:tcBorders>
              <w:top w:val="nil"/>
              <w:left w:val="nil"/>
              <w:bottom w:val="single" w:sz="8" w:space="0" w:color="auto"/>
              <w:right w:val="single" w:sz="8" w:space="0" w:color="auto"/>
            </w:tcBorders>
            <w:shd w:val="clear" w:color="000000" w:fill="92D050"/>
            <w:vAlign w:val="center"/>
            <w:hideMark/>
          </w:tcPr>
          <w:p w14:paraId="2263201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07" w:type="dxa"/>
            <w:tcBorders>
              <w:top w:val="nil"/>
              <w:left w:val="nil"/>
              <w:bottom w:val="single" w:sz="8" w:space="0" w:color="auto"/>
              <w:right w:val="single" w:sz="8" w:space="0" w:color="auto"/>
            </w:tcBorders>
            <w:shd w:val="clear" w:color="000000" w:fill="FFFF00"/>
            <w:vAlign w:val="center"/>
            <w:hideMark/>
          </w:tcPr>
          <w:p w14:paraId="4FD3A24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C000"/>
            <w:vAlign w:val="center"/>
            <w:hideMark/>
          </w:tcPr>
          <w:p w14:paraId="05051194"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07" w:type="dxa"/>
            <w:tcBorders>
              <w:top w:val="nil"/>
              <w:left w:val="nil"/>
              <w:bottom w:val="single" w:sz="8" w:space="0" w:color="auto"/>
              <w:right w:val="single" w:sz="8" w:space="0" w:color="auto"/>
            </w:tcBorders>
            <w:shd w:val="clear" w:color="000000" w:fill="FF0000"/>
            <w:vAlign w:val="center"/>
            <w:hideMark/>
          </w:tcPr>
          <w:p w14:paraId="2E800C7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2AFA335D"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628B942D"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07" w:type="dxa"/>
            <w:tcBorders>
              <w:top w:val="nil"/>
              <w:left w:val="nil"/>
              <w:bottom w:val="single" w:sz="8" w:space="0" w:color="auto"/>
              <w:right w:val="single" w:sz="8" w:space="0" w:color="auto"/>
            </w:tcBorders>
            <w:shd w:val="clear" w:color="000000" w:fill="92D050"/>
            <w:vAlign w:val="center"/>
            <w:hideMark/>
          </w:tcPr>
          <w:p w14:paraId="1FC06DF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07" w:type="dxa"/>
            <w:tcBorders>
              <w:top w:val="nil"/>
              <w:left w:val="nil"/>
              <w:bottom w:val="single" w:sz="8" w:space="0" w:color="auto"/>
              <w:right w:val="single" w:sz="8" w:space="0" w:color="auto"/>
            </w:tcBorders>
            <w:shd w:val="clear" w:color="000000" w:fill="FFFF00"/>
            <w:vAlign w:val="center"/>
            <w:hideMark/>
          </w:tcPr>
          <w:p w14:paraId="3446BBE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07" w:type="dxa"/>
            <w:tcBorders>
              <w:top w:val="nil"/>
              <w:left w:val="nil"/>
              <w:bottom w:val="single" w:sz="8" w:space="0" w:color="auto"/>
              <w:right w:val="single" w:sz="8" w:space="0" w:color="auto"/>
            </w:tcBorders>
            <w:shd w:val="clear" w:color="000000" w:fill="FFC000"/>
            <w:vAlign w:val="center"/>
            <w:hideMark/>
          </w:tcPr>
          <w:p w14:paraId="18A432D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07" w:type="dxa"/>
            <w:tcBorders>
              <w:top w:val="nil"/>
              <w:left w:val="nil"/>
              <w:bottom w:val="single" w:sz="8" w:space="0" w:color="auto"/>
              <w:right w:val="single" w:sz="8" w:space="0" w:color="auto"/>
            </w:tcBorders>
            <w:shd w:val="clear" w:color="000000" w:fill="FF0000"/>
            <w:vAlign w:val="center"/>
            <w:hideMark/>
          </w:tcPr>
          <w:p w14:paraId="6E4011D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761DF2A9" w14:textId="77777777" w:rsidTr="00E86E3C">
        <w:trPr>
          <w:trHeight w:val="319"/>
        </w:trPr>
        <w:tc>
          <w:tcPr>
            <w:tcW w:w="2919" w:type="dxa"/>
            <w:tcBorders>
              <w:top w:val="nil"/>
              <w:left w:val="single" w:sz="12" w:space="0" w:color="auto"/>
              <w:bottom w:val="single" w:sz="8" w:space="0" w:color="auto"/>
              <w:right w:val="single" w:sz="8" w:space="0" w:color="auto"/>
            </w:tcBorders>
            <w:shd w:val="clear" w:color="auto" w:fill="auto"/>
            <w:vAlign w:val="center"/>
            <w:hideMark/>
          </w:tcPr>
          <w:p w14:paraId="5B9135CC"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07" w:type="dxa"/>
            <w:tcBorders>
              <w:top w:val="nil"/>
              <w:left w:val="nil"/>
              <w:bottom w:val="single" w:sz="8" w:space="0" w:color="auto"/>
              <w:right w:val="single" w:sz="8" w:space="0" w:color="auto"/>
            </w:tcBorders>
            <w:shd w:val="clear" w:color="000000" w:fill="92D050"/>
            <w:vAlign w:val="center"/>
            <w:hideMark/>
          </w:tcPr>
          <w:p w14:paraId="6CC9CA1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96.1</w:t>
            </w:r>
          </w:p>
        </w:tc>
        <w:tc>
          <w:tcPr>
            <w:tcW w:w="1607" w:type="dxa"/>
            <w:tcBorders>
              <w:top w:val="nil"/>
              <w:left w:val="nil"/>
              <w:bottom w:val="single" w:sz="8" w:space="0" w:color="auto"/>
              <w:right w:val="single" w:sz="8" w:space="0" w:color="auto"/>
            </w:tcBorders>
            <w:shd w:val="clear" w:color="000000" w:fill="FFFF00"/>
            <w:vAlign w:val="center"/>
            <w:hideMark/>
          </w:tcPr>
          <w:p w14:paraId="145AE5A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3.9</w:t>
            </w:r>
          </w:p>
        </w:tc>
        <w:tc>
          <w:tcPr>
            <w:tcW w:w="1607" w:type="dxa"/>
            <w:tcBorders>
              <w:top w:val="nil"/>
              <w:left w:val="nil"/>
              <w:bottom w:val="single" w:sz="8" w:space="0" w:color="auto"/>
              <w:right w:val="single" w:sz="8" w:space="0" w:color="auto"/>
            </w:tcBorders>
            <w:shd w:val="clear" w:color="000000" w:fill="FFC000"/>
            <w:vAlign w:val="center"/>
            <w:hideMark/>
          </w:tcPr>
          <w:p w14:paraId="7E28A63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07" w:type="dxa"/>
            <w:tcBorders>
              <w:top w:val="nil"/>
              <w:left w:val="nil"/>
              <w:bottom w:val="single" w:sz="8" w:space="0" w:color="auto"/>
              <w:right w:val="single" w:sz="8" w:space="0" w:color="auto"/>
            </w:tcBorders>
            <w:shd w:val="clear" w:color="000000" w:fill="FF0000"/>
            <w:vAlign w:val="center"/>
            <w:hideMark/>
          </w:tcPr>
          <w:p w14:paraId="787D331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bl>
    <w:p w14:paraId="75F34097" w14:textId="20CF3874" w:rsidR="001D2E87" w:rsidRPr="005B3C80" w:rsidRDefault="00730763" w:rsidP="00730763">
      <w:pPr>
        <w:contextualSpacing/>
        <w:jc w:val="center"/>
        <w:rPr>
          <w:rFonts w:cs="Arial"/>
          <w:bCs/>
          <w:sz w:val="24"/>
        </w:rPr>
      </w:pPr>
      <w:r w:rsidRPr="005B3C80">
        <w:rPr>
          <w:rFonts w:cs="Arial"/>
          <w:bCs/>
          <w:sz w:val="24"/>
        </w:rPr>
        <w:t>Table 18</w:t>
      </w:r>
      <w:r w:rsidR="005B3C80">
        <w:rPr>
          <w:rFonts w:cs="Arial"/>
          <w:bCs/>
          <w:sz w:val="24"/>
        </w:rPr>
        <w:t xml:space="preserve"> Facet Surveys</w:t>
      </w:r>
    </w:p>
    <w:p w14:paraId="3A29158F" w14:textId="77777777" w:rsidR="00730763" w:rsidRPr="00CE240B" w:rsidRDefault="00730763" w:rsidP="00730763">
      <w:pPr>
        <w:contextualSpacing/>
        <w:jc w:val="center"/>
        <w:rPr>
          <w:rFonts w:cs="Arial"/>
          <w:b/>
          <w:color w:val="FF0000"/>
          <w:sz w:val="24"/>
        </w:rPr>
      </w:pPr>
    </w:p>
    <w:tbl>
      <w:tblPr>
        <w:tblW w:w="9375" w:type="dxa"/>
        <w:tblInd w:w="123" w:type="dxa"/>
        <w:tblLook w:val="04A0" w:firstRow="1" w:lastRow="0" w:firstColumn="1" w:lastColumn="0" w:noHBand="0" w:noVBand="1"/>
      </w:tblPr>
      <w:tblGrid>
        <w:gridCol w:w="2927"/>
        <w:gridCol w:w="1472"/>
        <w:gridCol w:w="1611"/>
        <w:gridCol w:w="1750"/>
        <w:gridCol w:w="1615"/>
      </w:tblGrid>
      <w:tr w:rsidR="001D2E87" w:rsidRPr="00CE240B" w14:paraId="33744A93" w14:textId="77777777" w:rsidTr="00E86E3C">
        <w:trPr>
          <w:trHeight w:val="318"/>
        </w:trPr>
        <w:tc>
          <w:tcPr>
            <w:tcW w:w="9375" w:type="dxa"/>
            <w:gridSpan w:val="5"/>
            <w:tcBorders>
              <w:top w:val="single" w:sz="12" w:space="0" w:color="auto"/>
              <w:left w:val="single" w:sz="12" w:space="0" w:color="auto"/>
              <w:bottom w:val="single" w:sz="12" w:space="0" w:color="auto"/>
              <w:right w:val="single" w:sz="8" w:space="0" w:color="auto"/>
            </w:tcBorders>
            <w:shd w:val="clear" w:color="000000" w:fill="DDEBF7"/>
            <w:noWrap/>
            <w:vAlign w:val="center"/>
            <w:hideMark/>
          </w:tcPr>
          <w:p w14:paraId="1001E32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WEST CUMBERLAND HOSPITAL</w:t>
            </w:r>
          </w:p>
        </w:tc>
      </w:tr>
      <w:tr w:rsidR="001D2E87" w:rsidRPr="00CE240B" w14:paraId="41ADF37B" w14:textId="77777777" w:rsidTr="00E86E3C">
        <w:trPr>
          <w:trHeight w:val="280"/>
        </w:trPr>
        <w:tc>
          <w:tcPr>
            <w:tcW w:w="2927" w:type="dxa"/>
            <w:vMerge w:val="restart"/>
            <w:tcBorders>
              <w:top w:val="nil"/>
              <w:left w:val="single" w:sz="8" w:space="0" w:color="auto"/>
              <w:bottom w:val="single" w:sz="8" w:space="0" w:color="000000"/>
              <w:right w:val="single" w:sz="8" w:space="0" w:color="auto"/>
            </w:tcBorders>
            <w:shd w:val="clear" w:color="auto" w:fill="auto"/>
            <w:vAlign w:val="center"/>
            <w:hideMark/>
          </w:tcPr>
          <w:p w14:paraId="0F5DC97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Facet</w:t>
            </w:r>
          </w:p>
        </w:tc>
        <w:tc>
          <w:tcPr>
            <w:tcW w:w="6447" w:type="dxa"/>
            <w:gridSpan w:val="4"/>
            <w:tcBorders>
              <w:top w:val="nil"/>
              <w:left w:val="nil"/>
              <w:bottom w:val="single" w:sz="8" w:space="0" w:color="auto"/>
              <w:right w:val="single" w:sz="8" w:space="0" w:color="000000"/>
            </w:tcBorders>
            <w:shd w:val="clear" w:color="auto" w:fill="auto"/>
            <w:vAlign w:val="center"/>
            <w:hideMark/>
          </w:tcPr>
          <w:p w14:paraId="1C06887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Ranking</w:t>
            </w:r>
          </w:p>
        </w:tc>
      </w:tr>
      <w:tr w:rsidR="001D2E87" w:rsidRPr="00CE240B" w14:paraId="7D6B5FA2" w14:textId="77777777" w:rsidTr="00E86E3C">
        <w:trPr>
          <w:trHeight w:val="267"/>
        </w:trPr>
        <w:tc>
          <w:tcPr>
            <w:tcW w:w="2927" w:type="dxa"/>
            <w:vMerge/>
            <w:tcBorders>
              <w:top w:val="nil"/>
              <w:left w:val="single" w:sz="8" w:space="0" w:color="auto"/>
              <w:bottom w:val="single" w:sz="8" w:space="0" w:color="000000"/>
              <w:right w:val="single" w:sz="8" w:space="0" w:color="auto"/>
            </w:tcBorders>
            <w:vAlign w:val="center"/>
            <w:hideMark/>
          </w:tcPr>
          <w:p w14:paraId="49627CA4" w14:textId="77777777" w:rsidR="001D2E87" w:rsidRPr="00CE240B" w:rsidRDefault="001D2E87" w:rsidP="00CE240B">
            <w:pPr>
              <w:contextualSpacing/>
              <w:rPr>
                <w:rFonts w:cs="Arial"/>
                <w:b/>
                <w:bCs/>
                <w:color w:val="000000"/>
                <w:sz w:val="24"/>
              </w:rPr>
            </w:pPr>
          </w:p>
        </w:tc>
        <w:tc>
          <w:tcPr>
            <w:tcW w:w="1611" w:type="dxa"/>
            <w:tcBorders>
              <w:top w:val="nil"/>
              <w:left w:val="nil"/>
              <w:bottom w:val="single" w:sz="8" w:space="0" w:color="auto"/>
              <w:right w:val="single" w:sz="8" w:space="0" w:color="auto"/>
            </w:tcBorders>
            <w:shd w:val="clear" w:color="000000" w:fill="92D050"/>
            <w:vAlign w:val="center"/>
            <w:hideMark/>
          </w:tcPr>
          <w:p w14:paraId="625479F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A</w:t>
            </w:r>
          </w:p>
        </w:tc>
        <w:tc>
          <w:tcPr>
            <w:tcW w:w="1611" w:type="dxa"/>
            <w:tcBorders>
              <w:top w:val="nil"/>
              <w:left w:val="nil"/>
              <w:bottom w:val="single" w:sz="8" w:space="0" w:color="auto"/>
              <w:right w:val="single" w:sz="8" w:space="0" w:color="auto"/>
            </w:tcBorders>
            <w:shd w:val="clear" w:color="000000" w:fill="FFFF00"/>
            <w:vAlign w:val="center"/>
            <w:hideMark/>
          </w:tcPr>
          <w:p w14:paraId="5DD6EEA3"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B</w:t>
            </w:r>
          </w:p>
        </w:tc>
        <w:tc>
          <w:tcPr>
            <w:tcW w:w="1611" w:type="dxa"/>
            <w:tcBorders>
              <w:top w:val="nil"/>
              <w:left w:val="nil"/>
              <w:bottom w:val="single" w:sz="8" w:space="0" w:color="auto"/>
              <w:right w:val="single" w:sz="8" w:space="0" w:color="auto"/>
            </w:tcBorders>
            <w:shd w:val="clear" w:color="000000" w:fill="FFC000"/>
            <w:vAlign w:val="center"/>
            <w:hideMark/>
          </w:tcPr>
          <w:p w14:paraId="198DC61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C</w:t>
            </w:r>
          </w:p>
        </w:tc>
        <w:tc>
          <w:tcPr>
            <w:tcW w:w="1611" w:type="dxa"/>
            <w:tcBorders>
              <w:top w:val="nil"/>
              <w:left w:val="nil"/>
              <w:bottom w:val="single" w:sz="8" w:space="0" w:color="auto"/>
              <w:right w:val="single" w:sz="8" w:space="0" w:color="auto"/>
            </w:tcBorders>
            <w:shd w:val="clear" w:color="000000" w:fill="FF0000"/>
            <w:vAlign w:val="center"/>
            <w:hideMark/>
          </w:tcPr>
          <w:p w14:paraId="6EF6641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D</w:t>
            </w:r>
          </w:p>
        </w:tc>
      </w:tr>
      <w:tr w:rsidR="001D2E87" w:rsidRPr="00CE240B" w14:paraId="1EE674F3"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1B40C590" w14:textId="77777777" w:rsidR="001D2E87" w:rsidRPr="00CE240B" w:rsidRDefault="001D2E87" w:rsidP="00CE240B">
            <w:pPr>
              <w:contextualSpacing/>
              <w:rPr>
                <w:rFonts w:cs="Arial"/>
                <w:b/>
                <w:bCs/>
                <w:color w:val="000000"/>
                <w:sz w:val="24"/>
              </w:rPr>
            </w:pPr>
            <w:r w:rsidRPr="00CE240B">
              <w:rPr>
                <w:rFonts w:cs="Arial"/>
                <w:b/>
                <w:bCs/>
                <w:color w:val="000000"/>
                <w:sz w:val="24"/>
              </w:rPr>
              <w:t>Physical condition</w:t>
            </w:r>
          </w:p>
        </w:tc>
        <w:tc>
          <w:tcPr>
            <w:tcW w:w="1611" w:type="dxa"/>
            <w:tcBorders>
              <w:top w:val="nil"/>
              <w:left w:val="nil"/>
              <w:bottom w:val="single" w:sz="8" w:space="0" w:color="auto"/>
              <w:right w:val="single" w:sz="8" w:space="0" w:color="auto"/>
            </w:tcBorders>
            <w:shd w:val="clear" w:color="000000" w:fill="92D050"/>
            <w:vAlign w:val="center"/>
            <w:hideMark/>
          </w:tcPr>
          <w:p w14:paraId="1EE7D49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FF00"/>
            <w:vAlign w:val="center"/>
            <w:hideMark/>
          </w:tcPr>
          <w:p w14:paraId="3ED3964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66.8</w:t>
            </w:r>
          </w:p>
        </w:tc>
        <w:tc>
          <w:tcPr>
            <w:tcW w:w="1611" w:type="dxa"/>
            <w:tcBorders>
              <w:top w:val="nil"/>
              <w:left w:val="nil"/>
              <w:bottom w:val="single" w:sz="8" w:space="0" w:color="auto"/>
              <w:right w:val="single" w:sz="8" w:space="0" w:color="auto"/>
            </w:tcBorders>
            <w:shd w:val="clear" w:color="000000" w:fill="FFC000"/>
            <w:vAlign w:val="center"/>
            <w:hideMark/>
          </w:tcPr>
          <w:p w14:paraId="5639BB99"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33.2</w:t>
            </w:r>
          </w:p>
        </w:tc>
        <w:tc>
          <w:tcPr>
            <w:tcW w:w="1611" w:type="dxa"/>
            <w:tcBorders>
              <w:top w:val="nil"/>
              <w:left w:val="nil"/>
              <w:bottom w:val="single" w:sz="8" w:space="0" w:color="auto"/>
              <w:right w:val="single" w:sz="8" w:space="0" w:color="auto"/>
            </w:tcBorders>
            <w:shd w:val="clear" w:color="000000" w:fill="FF0000"/>
            <w:vAlign w:val="center"/>
            <w:hideMark/>
          </w:tcPr>
          <w:p w14:paraId="7FDEBC3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6F9DBE53"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0A215D55" w14:textId="77777777" w:rsidR="001D2E87" w:rsidRPr="00CE240B" w:rsidRDefault="001D2E87" w:rsidP="00CE240B">
            <w:pPr>
              <w:contextualSpacing/>
              <w:rPr>
                <w:rFonts w:cs="Arial"/>
                <w:b/>
                <w:bCs/>
                <w:color w:val="000000"/>
                <w:sz w:val="24"/>
              </w:rPr>
            </w:pPr>
            <w:r w:rsidRPr="00CE240B">
              <w:rPr>
                <w:rFonts w:cs="Arial"/>
                <w:b/>
                <w:bCs/>
                <w:color w:val="000000"/>
                <w:sz w:val="24"/>
              </w:rPr>
              <w:t>Quality</w:t>
            </w:r>
          </w:p>
        </w:tc>
        <w:tc>
          <w:tcPr>
            <w:tcW w:w="1611" w:type="dxa"/>
            <w:tcBorders>
              <w:top w:val="nil"/>
              <w:left w:val="nil"/>
              <w:bottom w:val="single" w:sz="8" w:space="0" w:color="auto"/>
              <w:right w:val="single" w:sz="8" w:space="0" w:color="auto"/>
            </w:tcBorders>
            <w:shd w:val="clear" w:color="000000" w:fill="92D050"/>
            <w:vAlign w:val="center"/>
            <w:hideMark/>
          </w:tcPr>
          <w:p w14:paraId="3D062B3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FF00"/>
            <w:vAlign w:val="center"/>
            <w:hideMark/>
          </w:tcPr>
          <w:p w14:paraId="30B3E22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67.6</w:t>
            </w:r>
          </w:p>
        </w:tc>
        <w:tc>
          <w:tcPr>
            <w:tcW w:w="1611" w:type="dxa"/>
            <w:tcBorders>
              <w:top w:val="nil"/>
              <w:left w:val="nil"/>
              <w:bottom w:val="single" w:sz="8" w:space="0" w:color="auto"/>
              <w:right w:val="single" w:sz="8" w:space="0" w:color="auto"/>
            </w:tcBorders>
            <w:shd w:val="clear" w:color="000000" w:fill="FFC000"/>
            <w:vAlign w:val="center"/>
            <w:hideMark/>
          </w:tcPr>
          <w:p w14:paraId="7FF896F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32.4</w:t>
            </w:r>
          </w:p>
        </w:tc>
        <w:tc>
          <w:tcPr>
            <w:tcW w:w="1611" w:type="dxa"/>
            <w:tcBorders>
              <w:top w:val="nil"/>
              <w:left w:val="nil"/>
              <w:bottom w:val="single" w:sz="8" w:space="0" w:color="auto"/>
              <w:right w:val="single" w:sz="8" w:space="0" w:color="auto"/>
            </w:tcBorders>
            <w:shd w:val="clear" w:color="000000" w:fill="FF0000"/>
            <w:vAlign w:val="center"/>
            <w:hideMark/>
          </w:tcPr>
          <w:p w14:paraId="7EC53C0D"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40DD566E"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119B5CE2" w14:textId="77777777" w:rsidR="001D2E87" w:rsidRPr="00CE240B" w:rsidRDefault="001D2E87" w:rsidP="00CE240B">
            <w:pPr>
              <w:contextualSpacing/>
              <w:rPr>
                <w:rFonts w:cs="Arial"/>
                <w:b/>
                <w:bCs/>
                <w:color w:val="000000"/>
                <w:sz w:val="24"/>
              </w:rPr>
            </w:pPr>
            <w:r w:rsidRPr="00CE240B">
              <w:rPr>
                <w:rFonts w:cs="Arial"/>
                <w:b/>
                <w:bCs/>
                <w:color w:val="000000"/>
                <w:sz w:val="24"/>
              </w:rPr>
              <w:t>Functional suitability</w:t>
            </w:r>
          </w:p>
        </w:tc>
        <w:tc>
          <w:tcPr>
            <w:tcW w:w="1611" w:type="dxa"/>
            <w:tcBorders>
              <w:top w:val="nil"/>
              <w:left w:val="nil"/>
              <w:bottom w:val="single" w:sz="8" w:space="0" w:color="auto"/>
              <w:right w:val="single" w:sz="8" w:space="0" w:color="auto"/>
            </w:tcBorders>
            <w:shd w:val="clear" w:color="000000" w:fill="92D050"/>
            <w:vAlign w:val="center"/>
            <w:hideMark/>
          </w:tcPr>
          <w:p w14:paraId="1046FEC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FF00"/>
            <w:vAlign w:val="center"/>
            <w:hideMark/>
          </w:tcPr>
          <w:p w14:paraId="0EA8E65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67.6</w:t>
            </w:r>
          </w:p>
        </w:tc>
        <w:tc>
          <w:tcPr>
            <w:tcW w:w="1611" w:type="dxa"/>
            <w:tcBorders>
              <w:top w:val="nil"/>
              <w:left w:val="nil"/>
              <w:bottom w:val="single" w:sz="8" w:space="0" w:color="auto"/>
              <w:right w:val="single" w:sz="8" w:space="0" w:color="auto"/>
            </w:tcBorders>
            <w:shd w:val="clear" w:color="000000" w:fill="FFC000"/>
            <w:vAlign w:val="center"/>
            <w:hideMark/>
          </w:tcPr>
          <w:p w14:paraId="009A8855"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32.4</w:t>
            </w:r>
          </w:p>
        </w:tc>
        <w:tc>
          <w:tcPr>
            <w:tcW w:w="1611" w:type="dxa"/>
            <w:tcBorders>
              <w:top w:val="nil"/>
              <w:left w:val="nil"/>
              <w:bottom w:val="single" w:sz="8" w:space="0" w:color="auto"/>
              <w:right w:val="single" w:sz="8" w:space="0" w:color="auto"/>
            </w:tcBorders>
            <w:shd w:val="clear" w:color="000000" w:fill="FF0000"/>
            <w:vAlign w:val="center"/>
            <w:hideMark/>
          </w:tcPr>
          <w:p w14:paraId="436CD2B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0A85554"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0649A0FE" w14:textId="77777777" w:rsidR="001D2E87" w:rsidRPr="00CE240B" w:rsidRDefault="001D2E87" w:rsidP="00CE240B">
            <w:pPr>
              <w:contextualSpacing/>
              <w:rPr>
                <w:rFonts w:cs="Arial"/>
                <w:b/>
                <w:bCs/>
                <w:color w:val="000000"/>
                <w:sz w:val="24"/>
              </w:rPr>
            </w:pPr>
            <w:r w:rsidRPr="00CE240B">
              <w:rPr>
                <w:rFonts w:cs="Arial"/>
                <w:b/>
                <w:bCs/>
                <w:color w:val="000000"/>
                <w:sz w:val="24"/>
              </w:rPr>
              <w:t>Fire, health and safety</w:t>
            </w:r>
          </w:p>
        </w:tc>
        <w:tc>
          <w:tcPr>
            <w:tcW w:w="1611" w:type="dxa"/>
            <w:tcBorders>
              <w:top w:val="nil"/>
              <w:left w:val="nil"/>
              <w:bottom w:val="single" w:sz="8" w:space="0" w:color="auto"/>
              <w:right w:val="single" w:sz="8" w:space="0" w:color="auto"/>
            </w:tcBorders>
            <w:shd w:val="clear" w:color="000000" w:fill="92D050"/>
            <w:vAlign w:val="center"/>
            <w:hideMark/>
          </w:tcPr>
          <w:p w14:paraId="51B1DA6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FF00"/>
            <w:vAlign w:val="center"/>
            <w:hideMark/>
          </w:tcPr>
          <w:p w14:paraId="2F13BE9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100</w:t>
            </w:r>
          </w:p>
        </w:tc>
        <w:tc>
          <w:tcPr>
            <w:tcW w:w="1611" w:type="dxa"/>
            <w:tcBorders>
              <w:top w:val="nil"/>
              <w:left w:val="nil"/>
              <w:bottom w:val="single" w:sz="8" w:space="0" w:color="auto"/>
              <w:right w:val="single" w:sz="8" w:space="0" w:color="auto"/>
            </w:tcBorders>
            <w:shd w:val="clear" w:color="000000" w:fill="FFC000"/>
            <w:vAlign w:val="center"/>
            <w:hideMark/>
          </w:tcPr>
          <w:p w14:paraId="23836A4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c>
          <w:tcPr>
            <w:tcW w:w="1611" w:type="dxa"/>
            <w:tcBorders>
              <w:top w:val="nil"/>
              <w:left w:val="nil"/>
              <w:bottom w:val="single" w:sz="8" w:space="0" w:color="auto"/>
              <w:right w:val="single" w:sz="8" w:space="0" w:color="auto"/>
            </w:tcBorders>
            <w:shd w:val="clear" w:color="000000" w:fill="FF0000"/>
            <w:vAlign w:val="center"/>
            <w:hideMark/>
          </w:tcPr>
          <w:p w14:paraId="03918502"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0</w:t>
            </w:r>
          </w:p>
        </w:tc>
      </w:tr>
      <w:tr w:rsidR="001D2E87" w:rsidRPr="00CE240B" w14:paraId="08554DCB"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54DE2273" w14:textId="77777777" w:rsidR="001D2E87" w:rsidRPr="00CE240B" w:rsidRDefault="001D2E87" w:rsidP="00CE240B">
            <w:pPr>
              <w:contextualSpacing/>
              <w:rPr>
                <w:rFonts w:cs="Arial"/>
                <w:b/>
                <w:bCs/>
                <w:color w:val="000000"/>
                <w:sz w:val="24"/>
              </w:rPr>
            </w:pPr>
            <w:r w:rsidRPr="00CE240B">
              <w:rPr>
                <w:rFonts w:cs="Arial"/>
                <w:b/>
                <w:bCs/>
                <w:color w:val="000000"/>
                <w:sz w:val="24"/>
              </w:rPr>
              <w:t>Environmental management</w:t>
            </w:r>
          </w:p>
        </w:tc>
        <w:tc>
          <w:tcPr>
            <w:tcW w:w="1611" w:type="dxa"/>
            <w:tcBorders>
              <w:top w:val="nil"/>
              <w:left w:val="nil"/>
              <w:bottom w:val="single" w:sz="8" w:space="0" w:color="auto"/>
              <w:right w:val="single" w:sz="8" w:space="0" w:color="auto"/>
            </w:tcBorders>
            <w:shd w:val="clear" w:color="000000" w:fill="92D050"/>
            <w:vAlign w:val="center"/>
            <w:hideMark/>
          </w:tcPr>
          <w:p w14:paraId="68DC72B0"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11" w:type="dxa"/>
            <w:tcBorders>
              <w:top w:val="nil"/>
              <w:left w:val="nil"/>
              <w:bottom w:val="single" w:sz="8" w:space="0" w:color="auto"/>
              <w:right w:val="single" w:sz="8" w:space="0" w:color="auto"/>
            </w:tcBorders>
            <w:shd w:val="clear" w:color="000000" w:fill="FFFF00"/>
            <w:vAlign w:val="center"/>
            <w:hideMark/>
          </w:tcPr>
          <w:p w14:paraId="6C28B83B"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60.5</w:t>
            </w:r>
          </w:p>
        </w:tc>
        <w:tc>
          <w:tcPr>
            <w:tcW w:w="1611" w:type="dxa"/>
            <w:tcBorders>
              <w:top w:val="nil"/>
              <w:left w:val="nil"/>
              <w:bottom w:val="single" w:sz="8" w:space="0" w:color="auto"/>
              <w:right w:val="single" w:sz="8" w:space="0" w:color="auto"/>
            </w:tcBorders>
            <w:shd w:val="clear" w:color="000000" w:fill="FFC000"/>
            <w:vAlign w:val="center"/>
            <w:hideMark/>
          </w:tcPr>
          <w:p w14:paraId="713097A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36.7</w:t>
            </w:r>
          </w:p>
        </w:tc>
        <w:tc>
          <w:tcPr>
            <w:tcW w:w="1611" w:type="dxa"/>
            <w:tcBorders>
              <w:top w:val="nil"/>
              <w:left w:val="nil"/>
              <w:bottom w:val="single" w:sz="8" w:space="0" w:color="auto"/>
              <w:right w:val="single" w:sz="8" w:space="0" w:color="auto"/>
            </w:tcBorders>
            <w:shd w:val="clear" w:color="000000" w:fill="FF0000"/>
            <w:vAlign w:val="center"/>
            <w:hideMark/>
          </w:tcPr>
          <w:p w14:paraId="7036FB5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2.8</w:t>
            </w:r>
          </w:p>
        </w:tc>
      </w:tr>
      <w:tr w:rsidR="001D2E87" w:rsidRPr="00CE240B" w14:paraId="18F1329E"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4B960ABC" w14:textId="77777777" w:rsidR="001D2E87" w:rsidRPr="00CE240B" w:rsidRDefault="001D2E87" w:rsidP="00CE240B">
            <w:pPr>
              <w:contextualSpacing/>
              <w:rPr>
                <w:rFonts w:cs="Arial"/>
                <w:b/>
                <w:bCs/>
                <w:color w:val="000000"/>
                <w:sz w:val="24"/>
              </w:rPr>
            </w:pPr>
            <w:r w:rsidRPr="00CE240B">
              <w:rPr>
                <w:rFonts w:cs="Arial"/>
                <w:b/>
                <w:bCs/>
                <w:color w:val="000000"/>
                <w:sz w:val="24"/>
              </w:rPr>
              <w:t> </w:t>
            </w:r>
          </w:p>
        </w:tc>
        <w:tc>
          <w:tcPr>
            <w:tcW w:w="1611" w:type="dxa"/>
            <w:tcBorders>
              <w:top w:val="nil"/>
              <w:left w:val="nil"/>
              <w:bottom w:val="single" w:sz="8" w:space="0" w:color="auto"/>
              <w:right w:val="single" w:sz="8" w:space="0" w:color="auto"/>
            </w:tcBorders>
            <w:shd w:val="clear" w:color="000000" w:fill="92D050"/>
            <w:vAlign w:val="center"/>
            <w:hideMark/>
          </w:tcPr>
          <w:p w14:paraId="5626ABA8"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Full</w:t>
            </w:r>
          </w:p>
        </w:tc>
        <w:tc>
          <w:tcPr>
            <w:tcW w:w="1611" w:type="dxa"/>
            <w:tcBorders>
              <w:top w:val="nil"/>
              <w:left w:val="nil"/>
              <w:bottom w:val="single" w:sz="8" w:space="0" w:color="auto"/>
              <w:right w:val="single" w:sz="8" w:space="0" w:color="auto"/>
            </w:tcBorders>
            <w:shd w:val="clear" w:color="000000" w:fill="FFFF00"/>
            <w:vAlign w:val="center"/>
            <w:hideMark/>
          </w:tcPr>
          <w:p w14:paraId="2494324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Underused</w:t>
            </w:r>
          </w:p>
        </w:tc>
        <w:tc>
          <w:tcPr>
            <w:tcW w:w="1611" w:type="dxa"/>
            <w:tcBorders>
              <w:top w:val="nil"/>
              <w:left w:val="nil"/>
              <w:bottom w:val="single" w:sz="8" w:space="0" w:color="auto"/>
              <w:right w:val="single" w:sz="8" w:space="0" w:color="auto"/>
            </w:tcBorders>
            <w:shd w:val="clear" w:color="000000" w:fill="FFC000"/>
            <w:vAlign w:val="center"/>
            <w:hideMark/>
          </w:tcPr>
          <w:p w14:paraId="645AD837"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Overcrowded</w:t>
            </w:r>
          </w:p>
        </w:tc>
        <w:tc>
          <w:tcPr>
            <w:tcW w:w="1611" w:type="dxa"/>
            <w:tcBorders>
              <w:top w:val="nil"/>
              <w:left w:val="nil"/>
              <w:bottom w:val="single" w:sz="8" w:space="0" w:color="auto"/>
              <w:right w:val="single" w:sz="8" w:space="0" w:color="auto"/>
            </w:tcBorders>
            <w:shd w:val="clear" w:color="000000" w:fill="FF0000"/>
            <w:vAlign w:val="center"/>
            <w:hideMark/>
          </w:tcPr>
          <w:p w14:paraId="0C2595D1"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xml:space="preserve">Empty </w:t>
            </w:r>
          </w:p>
        </w:tc>
      </w:tr>
      <w:tr w:rsidR="001D2E87" w:rsidRPr="00CE240B" w14:paraId="704CD17A" w14:textId="77777777" w:rsidTr="00E86E3C">
        <w:trPr>
          <w:trHeight w:val="302"/>
        </w:trPr>
        <w:tc>
          <w:tcPr>
            <w:tcW w:w="2927" w:type="dxa"/>
            <w:tcBorders>
              <w:top w:val="nil"/>
              <w:left w:val="single" w:sz="12" w:space="0" w:color="auto"/>
              <w:bottom w:val="single" w:sz="8" w:space="0" w:color="auto"/>
              <w:right w:val="single" w:sz="8" w:space="0" w:color="auto"/>
            </w:tcBorders>
            <w:shd w:val="clear" w:color="auto" w:fill="auto"/>
            <w:vAlign w:val="center"/>
            <w:hideMark/>
          </w:tcPr>
          <w:p w14:paraId="782F9A02" w14:textId="77777777" w:rsidR="001D2E87" w:rsidRPr="00CE240B" w:rsidRDefault="001D2E87" w:rsidP="00CE240B">
            <w:pPr>
              <w:contextualSpacing/>
              <w:rPr>
                <w:rFonts w:cs="Arial"/>
                <w:b/>
                <w:bCs/>
                <w:color w:val="000000"/>
                <w:sz w:val="24"/>
              </w:rPr>
            </w:pPr>
            <w:r w:rsidRPr="00CE240B">
              <w:rPr>
                <w:rFonts w:cs="Arial"/>
                <w:b/>
                <w:bCs/>
                <w:color w:val="000000"/>
                <w:sz w:val="24"/>
              </w:rPr>
              <w:t>Space Utilisation</w:t>
            </w:r>
          </w:p>
        </w:tc>
        <w:tc>
          <w:tcPr>
            <w:tcW w:w="1611" w:type="dxa"/>
            <w:tcBorders>
              <w:top w:val="nil"/>
              <w:left w:val="nil"/>
              <w:bottom w:val="single" w:sz="8" w:space="0" w:color="auto"/>
              <w:right w:val="single" w:sz="8" w:space="0" w:color="auto"/>
            </w:tcBorders>
            <w:shd w:val="clear" w:color="000000" w:fill="92D050"/>
            <w:vAlign w:val="center"/>
            <w:hideMark/>
          </w:tcPr>
          <w:p w14:paraId="55342AE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100</w:t>
            </w:r>
          </w:p>
        </w:tc>
        <w:tc>
          <w:tcPr>
            <w:tcW w:w="1611" w:type="dxa"/>
            <w:tcBorders>
              <w:top w:val="nil"/>
              <w:left w:val="nil"/>
              <w:bottom w:val="single" w:sz="8" w:space="0" w:color="auto"/>
              <w:right w:val="single" w:sz="8" w:space="0" w:color="auto"/>
            </w:tcBorders>
            <w:shd w:val="clear" w:color="000000" w:fill="FFFF00"/>
            <w:vAlign w:val="center"/>
            <w:hideMark/>
          </w:tcPr>
          <w:p w14:paraId="4D5F84AA"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11" w:type="dxa"/>
            <w:tcBorders>
              <w:top w:val="nil"/>
              <w:left w:val="nil"/>
              <w:bottom w:val="single" w:sz="8" w:space="0" w:color="auto"/>
              <w:right w:val="single" w:sz="8" w:space="0" w:color="auto"/>
            </w:tcBorders>
            <w:shd w:val="clear" w:color="000000" w:fill="FFC000"/>
            <w:vAlign w:val="center"/>
            <w:hideMark/>
          </w:tcPr>
          <w:p w14:paraId="64713AEF"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c>
          <w:tcPr>
            <w:tcW w:w="1611" w:type="dxa"/>
            <w:tcBorders>
              <w:top w:val="nil"/>
              <w:left w:val="nil"/>
              <w:bottom w:val="single" w:sz="8" w:space="0" w:color="auto"/>
              <w:right w:val="single" w:sz="8" w:space="0" w:color="auto"/>
            </w:tcBorders>
            <w:shd w:val="clear" w:color="000000" w:fill="FF0000"/>
            <w:vAlign w:val="center"/>
            <w:hideMark/>
          </w:tcPr>
          <w:p w14:paraId="66EEC01C" w14:textId="77777777" w:rsidR="001D2E87" w:rsidRPr="00CE240B" w:rsidRDefault="001D2E87" w:rsidP="00CE240B">
            <w:pPr>
              <w:contextualSpacing/>
              <w:jc w:val="center"/>
              <w:rPr>
                <w:rFonts w:cs="Arial"/>
                <w:b/>
                <w:bCs/>
                <w:color w:val="000000"/>
                <w:sz w:val="24"/>
              </w:rPr>
            </w:pPr>
            <w:r w:rsidRPr="00CE240B">
              <w:rPr>
                <w:rFonts w:cs="Arial"/>
                <w:b/>
                <w:bCs/>
                <w:color w:val="000000"/>
                <w:sz w:val="24"/>
              </w:rPr>
              <w:t> 0</w:t>
            </w:r>
          </w:p>
        </w:tc>
      </w:tr>
    </w:tbl>
    <w:p w14:paraId="4E0D3752" w14:textId="07347C10" w:rsidR="001D2E87" w:rsidRDefault="00730763" w:rsidP="00730763">
      <w:pPr>
        <w:spacing w:after="160"/>
        <w:contextualSpacing/>
        <w:jc w:val="center"/>
        <w:rPr>
          <w:rFonts w:cs="Arial"/>
          <w:sz w:val="24"/>
        </w:rPr>
      </w:pPr>
      <w:r>
        <w:rPr>
          <w:rFonts w:cs="Arial"/>
          <w:sz w:val="24"/>
        </w:rPr>
        <w:t>Table 19</w:t>
      </w:r>
      <w:r w:rsidR="005B3C80">
        <w:rPr>
          <w:rFonts w:cs="Arial"/>
          <w:sz w:val="24"/>
        </w:rPr>
        <w:t xml:space="preserve"> Facet Surveys</w:t>
      </w:r>
    </w:p>
    <w:p w14:paraId="0B0E6E6F" w14:textId="77777777" w:rsidR="00730763" w:rsidRDefault="00730763" w:rsidP="00730763">
      <w:pPr>
        <w:spacing w:after="160"/>
        <w:contextualSpacing/>
        <w:jc w:val="center"/>
        <w:rPr>
          <w:rFonts w:cs="Arial"/>
          <w:sz w:val="24"/>
        </w:rPr>
      </w:pPr>
    </w:p>
    <w:p w14:paraId="23AA3BA9" w14:textId="77777777" w:rsidR="001D2E87" w:rsidRPr="00CE240B" w:rsidRDefault="001D2E87" w:rsidP="00CE240B">
      <w:pPr>
        <w:contextualSpacing/>
        <w:rPr>
          <w:rFonts w:cs="Arial"/>
          <w:sz w:val="24"/>
        </w:rPr>
      </w:pPr>
      <w:r w:rsidRPr="00CE240B">
        <w:rPr>
          <w:rFonts w:cs="Arial"/>
          <w:sz w:val="24"/>
        </w:rPr>
        <w:t>Key factors identified in the analysis are:</w:t>
      </w:r>
    </w:p>
    <w:p w14:paraId="1DF82445" w14:textId="77777777" w:rsidR="00CE240B" w:rsidRDefault="00CE240B" w:rsidP="00CE240B">
      <w:pPr>
        <w:contextualSpacing/>
        <w:rPr>
          <w:rFonts w:cs="Arial"/>
          <w:b/>
          <w:sz w:val="24"/>
        </w:rPr>
      </w:pPr>
    </w:p>
    <w:p w14:paraId="470906F3" w14:textId="77777777" w:rsidR="007E7D73" w:rsidRDefault="007E7D73" w:rsidP="00CE240B">
      <w:pPr>
        <w:contextualSpacing/>
        <w:rPr>
          <w:rFonts w:cs="Arial"/>
          <w:b/>
          <w:color w:val="0070C0"/>
          <w:sz w:val="24"/>
        </w:rPr>
      </w:pPr>
    </w:p>
    <w:p w14:paraId="389517E9" w14:textId="77777777" w:rsidR="007E7D73" w:rsidRDefault="007E7D73" w:rsidP="00CE240B">
      <w:pPr>
        <w:contextualSpacing/>
        <w:rPr>
          <w:rFonts w:cs="Arial"/>
          <w:b/>
          <w:color w:val="0070C0"/>
          <w:sz w:val="24"/>
        </w:rPr>
      </w:pPr>
    </w:p>
    <w:p w14:paraId="3BC0DC87" w14:textId="77777777" w:rsidR="007E7D73" w:rsidRDefault="007E7D73" w:rsidP="00CE240B">
      <w:pPr>
        <w:contextualSpacing/>
        <w:rPr>
          <w:rFonts w:cs="Arial"/>
          <w:b/>
          <w:color w:val="0070C0"/>
          <w:sz w:val="24"/>
        </w:rPr>
      </w:pPr>
    </w:p>
    <w:p w14:paraId="54BF787E" w14:textId="4AC32720" w:rsidR="001D2E87" w:rsidRDefault="001D2E87" w:rsidP="00CE240B">
      <w:pPr>
        <w:contextualSpacing/>
        <w:rPr>
          <w:rFonts w:cs="Arial"/>
          <w:b/>
          <w:color w:val="0070C0"/>
          <w:sz w:val="24"/>
        </w:rPr>
      </w:pPr>
      <w:r w:rsidRPr="007E7D73">
        <w:rPr>
          <w:rFonts w:cs="Arial"/>
          <w:b/>
          <w:color w:val="0070C0"/>
          <w:sz w:val="24"/>
        </w:rPr>
        <w:t>Physical Condition</w:t>
      </w:r>
    </w:p>
    <w:p w14:paraId="59C3F558" w14:textId="77777777" w:rsidR="007E7D73" w:rsidRPr="007E7D73" w:rsidRDefault="007E7D73" w:rsidP="00CE240B">
      <w:pPr>
        <w:contextualSpacing/>
        <w:rPr>
          <w:rFonts w:cs="Arial"/>
          <w:b/>
          <w:color w:val="0070C0"/>
          <w:sz w:val="24"/>
        </w:rPr>
      </w:pPr>
    </w:p>
    <w:p w14:paraId="507E5928" w14:textId="77777777" w:rsidR="001D2E87" w:rsidRPr="00CE240B" w:rsidRDefault="001D2E87" w:rsidP="00CE240B">
      <w:pPr>
        <w:contextualSpacing/>
        <w:rPr>
          <w:rFonts w:cs="Arial"/>
          <w:sz w:val="24"/>
        </w:rPr>
      </w:pPr>
      <w:r w:rsidRPr="00CE240B">
        <w:rPr>
          <w:rFonts w:cs="Arial"/>
          <w:sz w:val="24"/>
        </w:rPr>
        <w:lastRenderedPageBreak/>
        <w:t>11% of building stock required improving to bring the buildings up to a minimum condition of category B - this includes the building, electrical and mechanical components of a building and site wide infrastructure - elements falling into those categories consist of structure, roofs, drainage, sewerage, roads and footpaths, boiler plant, steam systems, hot and cold water systems, lifts, electrical systems, fire alarms, telephony and building management systems.</w:t>
      </w:r>
    </w:p>
    <w:p w14:paraId="76335758" w14:textId="77777777" w:rsidR="00CE240B" w:rsidRDefault="00CE240B" w:rsidP="00CE240B">
      <w:pPr>
        <w:contextualSpacing/>
        <w:rPr>
          <w:rFonts w:cs="Arial"/>
          <w:b/>
          <w:sz w:val="24"/>
        </w:rPr>
      </w:pPr>
    </w:p>
    <w:p w14:paraId="1A2F3624" w14:textId="53942A9B" w:rsidR="001D2E87" w:rsidRDefault="001D2E87" w:rsidP="00CE240B">
      <w:pPr>
        <w:contextualSpacing/>
        <w:rPr>
          <w:rFonts w:cs="Arial"/>
          <w:b/>
          <w:color w:val="0070C0"/>
          <w:sz w:val="24"/>
        </w:rPr>
      </w:pPr>
      <w:r w:rsidRPr="007E7D73">
        <w:rPr>
          <w:rFonts w:cs="Arial"/>
          <w:b/>
          <w:color w:val="0070C0"/>
          <w:sz w:val="24"/>
        </w:rPr>
        <w:t>Quality</w:t>
      </w:r>
    </w:p>
    <w:p w14:paraId="5031ADB4" w14:textId="77777777" w:rsidR="007E7D73" w:rsidRPr="007E7D73" w:rsidRDefault="007E7D73" w:rsidP="00CE240B">
      <w:pPr>
        <w:contextualSpacing/>
        <w:rPr>
          <w:rFonts w:cs="Arial"/>
          <w:b/>
          <w:color w:val="0070C0"/>
          <w:sz w:val="24"/>
        </w:rPr>
      </w:pPr>
    </w:p>
    <w:p w14:paraId="203CB80E" w14:textId="5B031F7B" w:rsidR="001D2E87" w:rsidRPr="00CE240B" w:rsidRDefault="001D2E87" w:rsidP="00CE240B">
      <w:pPr>
        <w:contextualSpacing/>
        <w:rPr>
          <w:rFonts w:cs="Arial"/>
          <w:sz w:val="24"/>
        </w:rPr>
      </w:pPr>
      <w:r w:rsidRPr="00CE240B">
        <w:rPr>
          <w:rFonts w:cs="Arial"/>
          <w:sz w:val="24"/>
        </w:rPr>
        <w:t xml:space="preserve">12% of the Trusts estate is below the quality standard which the Trust would wish to attain identifying problems with the aesthetic and environmental conditions of the building. Criteria used to assess the quality </w:t>
      </w:r>
      <w:r w:rsidR="002D27B6" w:rsidRPr="00CE240B">
        <w:rPr>
          <w:rFonts w:cs="Arial"/>
          <w:sz w:val="24"/>
        </w:rPr>
        <w:t>include</w:t>
      </w:r>
      <w:r w:rsidRPr="00CE240B">
        <w:rPr>
          <w:rFonts w:cs="Arial"/>
          <w:sz w:val="24"/>
        </w:rPr>
        <w:t xml:space="preserve"> is it an attractive and pleasing area for patients and staff, is it well lit, heated and cooled, is it noise and odour free and attractively designed with good colour schemes and well furnished</w:t>
      </w:r>
    </w:p>
    <w:p w14:paraId="737DDD1B" w14:textId="77777777" w:rsidR="00CE240B" w:rsidRDefault="00CE240B" w:rsidP="00CE240B">
      <w:pPr>
        <w:contextualSpacing/>
        <w:rPr>
          <w:rFonts w:cs="Arial"/>
          <w:b/>
          <w:sz w:val="24"/>
        </w:rPr>
      </w:pPr>
    </w:p>
    <w:p w14:paraId="546DB4AC" w14:textId="2AAABF69" w:rsidR="001D2E87" w:rsidRDefault="001D2E87" w:rsidP="00CE240B">
      <w:pPr>
        <w:contextualSpacing/>
        <w:rPr>
          <w:rFonts w:cs="Arial"/>
          <w:b/>
          <w:color w:val="0070C0"/>
          <w:sz w:val="24"/>
        </w:rPr>
      </w:pPr>
      <w:r w:rsidRPr="007E7D73">
        <w:rPr>
          <w:rFonts w:cs="Arial"/>
          <w:b/>
          <w:color w:val="0070C0"/>
          <w:sz w:val="24"/>
        </w:rPr>
        <w:t>Functional Suitability</w:t>
      </w:r>
    </w:p>
    <w:p w14:paraId="1A2B9301" w14:textId="77777777" w:rsidR="007E7D73" w:rsidRPr="007E7D73" w:rsidRDefault="007E7D73" w:rsidP="00CE240B">
      <w:pPr>
        <w:contextualSpacing/>
        <w:rPr>
          <w:rFonts w:cs="Arial"/>
          <w:b/>
          <w:color w:val="0070C0"/>
          <w:sz w:val="24"/>
        </w:rPr>
      </w:pPr>
    </w:p>
    <w:p w14:paraId="0FB8FE2F" w14:textId="77777777" w:rsidR="001D2E87" w:rsidRPr="00CE240B" w:rsidRDefault="001D2E87" w:rsidP="00CE240B">
      <w:pPr>
        <w:contextualSpacing/>
        <w:rPr>
          <w:rFonts w:cs="Arial"/>
          <w:sz w:val="24"/>
        </w:rPr>
      </w:pPr>
      <w:r w:rsidRPr="00CE240B">
        <w:rPr>
          <w:rFonts w:cs="Arial"/>
          <w:sz w:val="24"/>
        </w:rPr>
        <w:t>5% of the overall estate is considered to be functionally unsuitable for its purpose - this includes in-patient environments that do not allow for easy operation of the ward and do not have the interactive space to deliver therapeutic activities, day space needs, external space and support the privacy and dignity agenda for patients. For non in patient environments this is in relation to the ability of a building to effectively support the function being carried out in the building.</w:t>
      </w:r>
    </w:p>
    <w:p w14:paraId="7641378E" w14:textId="77777777" w:rsidR="00CE240B" w:rsidRPr="007E7D73" w:rsidRDefault="00CE240B" w:rsidP="00CE240B">
      <w:pPr>
        <w:contextualSpacing/>
        <w:rPr>
          <w:rFonts w:cs="Arial"/>
          <w:b/>
          <w:color w:val="0070C0"/>
          <w:sz w:val="24"/>
        </w:rPr>
      </w:pPr>
    </w:p>
    <w:p w14:paraId="46FC006E" w14:textId="3E985D54" w:rsidR="001D2E87" w:rsidRDefault="001D2E87" w:rsidP="00CE240B">
      <w:pPr>
        <w:contextualSpacing/>
        <w:rPr>
          <w:rFonts w:cs="Arial"/>
          <w:b/>
          <w:color w:val="0070C0"/>
          <w:sz w:val="24"/>
        </w:rPr>
      </w:pPr>
      <w:r w:rsidRPr="007E7D73">
        <w:rPr>
          <w:rFonts w:cs="Arial"/>
          <w:b/>
          <w:color w:val="0070C0"/>
          <w:sz w:val="24"/>
        </w:rPr>
        <w:t>Fire, Health and Safety</w:t>
      </w:r>
    </w:p>
    <w:p w14:paraId="3B808D24" w14:textId="77777777" w:rsidR="007E7D73" w:rsidRPr="007E7D73" w:rsidRDefault="007E7D73" w:rsidP="00CE240B">
      <w:pPr>
        <w:contextualSpacing/>
        <w:rPr>
          <w:rFonts w:cs="Arial"/>
          <w:b/>
          <w:color w:val="0070C0"/>
          <w:sz w:val="24"/>
        </w:rPr>
      </w:pPr>
    </w:p>
    <w:p w14:paraId="4CA94E02" w14:textId="77777777" w:rsidR="001D2E87" w:rsidRPr="00CE240B" w:rsidRDefault="001D2E87" w:rsidP="00CE240B">
      <w:pPr>
        <w:contextualSpacing/>
        <w:rPr>
          <w:rFonts w:cs="Arial"/>
          <w:sz w:val="24"/>
        </w:rPr>
      </w:pPr>
      <w:r w:rsidRPr="00CE240B">
        <w:rPr>
          <w:rFonts w:cs="Arial"/>
          <w:sz w:val="24"/>
        </w:rPr>
        <w:t>1.5% of the estate does not meet statutory and non statutory compliance including fire – this includes some elements associated with DDA compliance, asbestos, site security and aging fire systems. In addition to the building elements of health and safety, the NTWS Estates team have been working with the Trust safety team to establish areas where safety improvements can be made to in-patient environments, these improvements are not captured in this facet however they are identified in Section 5.</w:t>
      </w:r>
    </w:p>
    <w:p w14:paraId="11ADD71A" w14:textId="77777777" w:rsidR="00CE240B" w:rsidRDefault="00CE240B" w:rsidP="00CE240B">
      <w:pPr>
        <w:contextualSpacing/>
        <w:rPr>
          <w:rFonts w:cs="Arial"/>
          <w:b/>
          <w:sz w:val="24"/>
        </w:rPr>
      </w:pPr>
    </w:p>
    <w:p w14:paraId="16227899" w14:textId="3EFD2CD6" w:rsidR="001D2E87" w:rsidRDefault="001D2E87" w:rsidP="00CE240B">
      <w:pPr>
        <w:contextualSpacing/>
        <w:rPr>
          <w:rFonts w:cs="Arial"/>
          <w:b/>
          <w:color w:val="0070C0"/>
          <w:sz w:val="24"/>
        </w:rPr>
      </w:pPr>
      <w:r w:rsidRPr="007E7D73">
        <w:rPr>
          <w:rFonts w:cs="Arial"/>
          <w:b/>
          <w:color w:val="0070C0"/>
          <w:sz w:val="24"/>
        </w:rPr>
        <w:t>Space Utilisation</w:t>
      </w:r>
    </w:p>
    <w:p w14:paraId="77CA5286" w14:textId="77777777" w:rsidR="007E7D73" w:rsidRPr="007E7D73" w:rsidRDefault="007E7D73" w:rsidP="00CE240B">
      <w:pPr>
        <w:contextualSpacing/>
        <w:rPr>
          <w:rFonts w:cs="Arial"/>
          <w:b/>
          <w:color w:val="0070C0"/>
          <w:sz w:val="24"/>
        </w:rPr>
      </w:pPr>
    </w:p>
    <w:p w14:paraId="43793F34" w14:textId="2C40A33D" w:rsidR="001D2E87" w:rsidRPr="00CE240B" w:rsidRDefault="001D2E87" w:rsidP="00CE240B">
      <w:pPr>
        <w:contextualSpacing/>
        <w:rPr>
          <w:rFonts w:cs="Arial"/>
          <w:sz w:val="24"/>
        </w:rPr>
      </w:pPr>
      <w:r w:rsidRPr="00CE240B">
        <w:rPr>
          <w:rFonts w:cs="Arial"/>
          <w:sz w:val="24"/>
        </w:rPr>
        <w:t xml:space="preserve">This facet explores how well space is being used across location and time. To gain a more acurate understanding of space utlisation, properties are subject to on-going surveys using </w:t>
      </w:r>
      <w:proofErr w:type="spellStart"/>
      <w:r w:rsidRPr="00CE240B">
        <w:rPr>
          <w:rFonts w:cs="Arial"/>
          <w:sz w:val="24"/>
        </w:rPr>
        <w:t>Occupeye</w:t>
      </w:r>
      <w:proofErr w:type="spellEnd"/>
      <w:r w:rsidRPr="00CE240B">
        <w:rPr>
          <w:rFonts w:cs="Arial"/>
          <w:sz w:val="24"/>
        </w:rPr>
        <w:t xml:space="preserve">, a mobile </w:t>
      </w:r>
      <w:r w:rsidR="002D27B6" w:rsidRPr="00CE240B">
        <w:rPr>
          <w:rFonts w:cs="Arial"/>
          <w:sz w:val="24"/>
        </w:rPr>
        <w:t>sensor-based</w:t>
      </w:r>
      <w:r w:rsidRPr="00CE240B">
        <w:rPr>
          <w:rFonts w:cs="Arial"/>
          <w:sz w:val="24"/>
        </w:rPr>
        <w:t xml:space="preserve"> system located in rooms. The sensors allow a real time analysis of </w:t>
      </w:r>
      <w:r w:rsidR="002D27B6" w:rsidRPr="00CE240B">
        <w:rPr>
          <w:rFonts w:cs="Arial"/>
          <w:sz w:val="24"/>
        </w:rPr>
        <w:t>occupancy,</w:t>
      </w:r>
      <w:r w:rsidRPr="00CE240B">
        <w:rPr>
          <w:rFonts w:cs="Arial"/>
          <w:sz w:val="24"/>
        </w:rPr>
        <w:t xml:space="preserve"> and the information is used to suggest ways of using space more effectively and therefore save money. The information captured by Occupeye is revealing that space in some locations is significantly underutilised. Basesd on the Occupeye data and checks by the Property Team, 14% of the estate is not being optimised for space utilisation.</w:t>
      </w:r>
    </w:p>
    <w:p w14:paraId="1D7A7B85" w14:textId="77777777" w:rsidR="001D2E87" w:rsidRDefault="001D2E87" w:rsidP="00CE240B">
      <w:pPr>
        <w:contextualSpacing/>
        <w:rPr>
          <w:rFonts w:cs="Arial"/>
          <w:sz w:val="24"/>
        </w:rPr>
      </w:pPr>
      <w:r w:rsidRPr="00CE240B">
        <w:rPr>
          <w:rFonts w:cs="Arial"/>
          <w:sz w:val="24"/>
        </w:rPr>
        <w:t xml:space="preserve">The COVID pandemic has had a significant impact on the utilisation of the estate in terms of space utilisation, </w:t>
      </w:r>
      <w:proofErr w:type="gramStart"/>
      <w:r w:rsidRPr="00CE240B">
        <w:rPr>
          <w:rFonts w:cs="Arial"/>
          <w:sz w:val="24"/>
        </w:rPr>
        <w:t>in particular for</w:t>
      </w:r>
      <w:proofErr w:type="gramEnd"/>
      <w:r w:rsidRPr="00CE240B">
        <w:rPr>
          <w:rFonts w:cs="Arial"/>
          <w:sz w:val="24"/>
        </w:rPr>
        <w:t xml:space="preserve"> corporate teams. Some staff </w:t>
      </w:r>
      <w:proofErr w:type="gramStart"/>
      <w:r w:rsidRPr="00CE240B">
        <w:rPr>
          <w:rFonts w:cs="Arial"/>
          <w:sz w:val="24"/>
        </w:rPr>
        <w:t>are able to</w:t>
      </w:r>
      <w:proofErr w:type="gramEnd"/>
      <w:r w:rsidRPr="00CE240B">
        <w:rPr>
          <w:rFonts w:cs="Arial"/>
          <w:sz w:val="24"/>
        </w:rPr>
        <w:t xml:space="preserve"> work from home and the demand for meeting space has dropped due to many meetings using TEAMS on-line technology, the full impact of these changes on future estate </w:t>
      </w:r>
      <w:proofErr w:type="gramStart"/>
      <w:r w:rsidRPr="00CE240B">
        <w:rPr>
          <w:rFonts w:cs="Arial"/>
          <w:sz w:val="24"/>
        </w:rPr>
        <w:t>is  not</w:t>
      </w:r>
      <w:proofErr w:type="gramEnd"/>
      <w:r w:rsidRPr="00CE240B">
        <w:rPr>
          <w:rFonts w:cs="Arial"/>
          <w:sz w:val="24"/>
        </w:rPr>
        <w:t xml:space="preserve"> fully understood.  </w:t>
      </w:r>
    </w:p>
    <w:p w14:paraId="79AC148D" w14:textId="77777777" w:rsidR="007E7D73" w:rsidRDefault="007E7D73" w:rsidP="00CE240B">
      <w:pPr>
        <w:contextualSpacing/>
        <w:rPr>
          <w:rFonts w:cs="Arial"/>
          <w:sz w:val="24"/>
        </w:rPr>
      </w:pPr>
    </w:p>
    <w:p w14:paraId="06D5B1F0" w14:textId="77777777" w:rsidR="007E7D73" w:rsidRPr="00CE240B" w:rsidRDefault="007E7D73" w:rsidP="00CE240B">
      <w:pPr>
        <w:contextualSpacing/>
        <w:rPr>
          <w:rFonts w:cs="Arial"/>
          <w:sz w:val="24"/>
        </w:rPr>
      </w:pPr>
    </w:p>
    <w:p w14:paraId="080061EC" w14:textId="77777777" w:rsidR="00CE240B" w:rsidRDefault="00CE240B" w:rsidP="00CE240B">
      <w:pPr>
        <w:contextualSpacing/>
        <w:rPr>
          <w:rFonts w:cs="Arial"/>
          <w:b/>
          <w:sz w:val="24"/>
        </w:rPr>
      </w:pPr>
    </w:p>
    <w:p w14:paraId="7EE157AF" w14:textId="5521AD40" w:rsidR="001D2E87" w:rsidRDefault="001D2E87" w:rsidP="00CE240B">
      <w:pPr>
        <w:contextualSpacing/>
        <w:rPr>
          <w:rFonts w:cs="Arial"/>
          <w:b/>
          <w:color w:val="0070C0"/>
          <w:sz w:val="24"/>
        </w:rPr>
      </w:pPr>
      <w:r w:rsidRPr="007E7D73">
        <w:rPr>
          <w:rFonts w:cs="Arial"/>
          <w:b/>
          <w:color w:val="0070C0"/>
          <w:sz w:val="24"/>
        </w:rPr>
        <w:t>Sustainability and Environmental Management</w:t>
      </w:r>
    </w:p>
    <w:p w14:paraId="63EFB8AA" w14:textId="77777777" w:rsidR="007E7D73" w:rsidRPr="007E7D73" w:rsidRDefault="007E7D73" w:rsidP="00CE240B">
      <w:pPr>
        <w:contextualSpacing/>
        <w:rPr>
          <w:rFonts w:cs="Arial"/>
          <w:b/>
          <w:color w:val="0070C0"/>
          <w:sz w:val="24"/>
        </w:rPr>
      </w:pPr>
    </w:p>
    <w:p w14:paraId="25EDC186" w14:textId="77777777" w:rsidR="001D2E87" w:rsidRPr="00CE240B" w:rsidRDefault="001D2E87" w:rsidP="00CE240B">
      <w:pPr>
        <w:contextualSpacing/>
        <w:rPr>
          <w:rFonts w:cs="Arial"/>
          <w:sz w:val="24"/>
        </w:rPr>
      </w:pPr>
      <w:r w:rsidRPr="00CE240B">
        <w:rPr>
          <w:rFonts w:cs="Arial"/>
          <w:sz w:val="24"/>
        </w:rPr>
        <w:t xml:space="preserve">Historically this facet has been measured against energy consumption / heated volume and </w:t>
      </w:r>
      <w:proofErr w:type="gramStart"/>
      <w:r w:rsidRPr="00CE240B">
        <w:rPr>
          <w:rFonts w:cs="Arial"/>
          <w:sz w:val="24"/>
        </w:rPr>
        <w:t>the majority of</w:t>
      </w:r>
      <w:proofErr w:type="gramEnd"/>
      <w:r w:rsidRPr="00CE240B">
        <w:rPr>
          <w:rFonts w:cs="Arial"/>
          <w:sz w:val="24"/>
        </w:rPr>
        <w:t xml:space="preserve"> our estate would achieve an “A” category as performance is less </w:t>
      </w:r>
      <w:r w:rsidRPr="00CE240B">
        <w:rPr>
          <w:rFonts w:cs="Arial"/>
          <w:sz w:val="24"/>
        </w:rPr>
        <w:lastRenderedPageBreak/>
        <w:t>than 55GJ/100m</w:t>
      </w:r>
      <w:r w:rsidRPr="00CE240B">
        <w:rPr>
          <w:rFonts w:cs="Arial"/>
          <w:sz w:val="24"/>
          <w:vertAlign w:val="superscript"/>
        </w:rPr>
        <w:t>3</w:t>
      </w:r>
      <w:r w:rsidRPr="00CE240B">
        <w:rPr>
          <w:rFonts w:cs="Arial"/>
          <w:sz w:val="24"/>
        </w:rPr>
        <w:t xml:space="preserve">. For this assessment, the sustainability and energy management facet has </w:t>
      </w:r>
      <w:proofErr w:type="gramStart"/>
      <w:r w:rsidRPr="00CE240B">
        <w:rPr>
          <w:rFonts w:cs="Arial"/>
          <w:sz w:val="24"/>
        </w:rPr>
        <w:t>taken into account</w:t>
      </w:r>
      <w:proofErr w:type="gramEnd"/>
      <w:r w:rsidRPr="00CE240B">
        <w:rPr>
          <w:rFonts w:cs="Arial"/>
          <w:sz w:val="24"/>
        </w:rPr>
        <w:t xml:space="preserve"> a varirty of factors </w:t>
      </w:r>
      <w:proofErr w:type="gramStart"/>
      <w:r w:rsidRPr="00CE240B">
        <w:rPr>
          <w:rFonts w:cs="Arial"/>
          <w:sz w:val="24"/>
        </w:rPr>
        <w:t>including,energy</w:t>
      </w:r>
      <w:proofErr w:type="gramEnd"/>
      <w:r w:rsidRPr="00CE240B">
        <w:rPr>
          <w:rFonts w:cs="Arial"/>
          <w:sz w:val="24"/>
        </w:rPr>
        <w:t xml:space="preserve"> and water consuption performance indicators, % of renewable technologies, carbon emissions, biodiversity, building adaptation, transport and waste management and wheter there are robust policies covering each of the aforementioned areas. </w:t>
      </w:r>
    </w:p>
    <w:p w14:paraId="2D25E95A" w14:textId="77777777" w:rsidR="001D2E87" w:rsidRPr="00CE240B" w:rsidRDefault="001D2E87" w:rsidP="00CE240B">
      <w:pPr>
        <w:contextualSpacing/>
        <w:rPr>
          <w:rFonts w:cs="Arial"/>
          <w:b/>
          <w:sz w:val="24"/>
        </w:rPr>
      </w:pPr>
      <w:r w:rsidRPr="00CE240B">
        <w:rPr>
          <w:rFonts w:cs="Arial"/>
          <w:sz w:val="24"/>
        </w:rPr>
        <w:t xml:space="preserve">The assessment has shown that whilst the overall performance on energy is good there remains a significant way to go </w:t>
      </w:r>
      <w:proofErr w:type="gramStart"/>
      <w:r w:rsidRPr="00CE240B">
        <w:rPr>
          <w:rFonts w:cs="Arial"/>
          <w:sz w:val="24"/>
        </w:rPr>
        <w:t>in order to</w:t>
      </w:r>
      <w:proofErr w:type="gramEnd"/>
      <w:r w:rsidRPr="00CE240B">
        <w:rPr>
          <w:rFonts w:cs="Arial"/>
          <w:sz w:val="24"/>
        </w:rPr>
        <w:t xml:space="preserve"> achieve net zero carbon emissions, bulding adaptation and implementing a robust bio-diversity strategy. Taking these factors into account the scores reflect the challenges that the organissation faces with respect to sustainability and environmental management.  </w:t>
      </w:r>
    </w:p>
    <w:p w14:paraId="2275F9F7" w14:textId="77777777" w:rsidR="001D2E87" w:rsidRPr="00CE240B" w:rsidRDefault="001D2E87" w:rsidP="00CE240B">
      <w:pPr>
        <w:contextualSpacing/>
        <w:rPr>
          <w:rFonts w:cs="Arial"/>
          <w:sz w:val="24"/>
        </w:rPr>
      </w:pPr>
      <w:proofErr w:type="gramStart"/>
      <w:r w:rsidRPr="00CE240B">
        <w:rPr>
          <w:rFonts w:cs="Arial"/>
          <w:sz w:val="24"/>
        </w:rPr>
        <w:t>With the exception of</w:t>
      </w:r>
      <w:proofErr w:type="gramEnd"/>
      <w:r w:rsidRPr="00CE240B">
        <w:rPr>
          <w:rFonts w:cs="Arial"/>
          <w:sz w:val="24"/>
        </w:rPr>
        <w:t xml:space="preserve"> sustainability and environment the figures show an improvement when compared against the previous estates strategy and this is attributed to the developments that have occurred over the last 12 years. The assessments also indicate where opportunities exist where improvements can be made to the estate which would bring benefits both to patient care and the staff that use the buildings.</w:t>
      </w:r>
    </w:p>
    <w:p w14:paraId="0A623D2B" w14:textId="77777777" w:rsidR="00CE240B" w:rsidRDefault="00CE240B" w:rsidP="00CE240B">
      <w:pPr>
        <w:contextualSpacing/>
        <w:rPr>
          <w:rFonts w:cs="Arial"/>
          <w:b/>
          <w:sz w:val="24"/>
        </w:rPr>
      </w:pPr>
    </w:p>
    <w:p w14:paraId="1DB28CA0" w14:textId="77777777" w:rsidR="00CE240B" w:rsidRPr="007E7D73" w:rsidRDefault="001D2E87" w:rsidP="00CE240B">
      <w:pPr>
        <w:contextualSpacing/>
        <w:rPr>
          <w:rFonts w:cs="Arial"/>
          <w:b/>
          <w:color w:val="0070C0"/>
          <w:sz w:val="24"/>
        </w:rPr>
      </w:pPr>
      <w:r w:rsidRPr="007E7D73">
        <w:rPr>
          <w:rFonts w:cs="Arial"/>
          <w:b/>
          <w:color w:val="0070C0"/>
          <w:sz w:val="24"/>
        </w:rPr>
        <w:t>Backlog Maintenance</w:t>
      </w:r>
    </w:p>
    <w:p w14:paraId="6337B554" w14:textId="77777777" w:rsidR="007E7D73" w:rsidRDefault="007E7D73" w:rsidP="00CE240B">
      <w:pPr>
        <w:contextualSpacing/>
        <w:rPr>
          <w:rFonts w:cs="Arial"/>
          <w:b/>
          <w:sz w:val="24"/>
        </w:rPr>
      </w:pPr>
    </w:p>
    <w:p w14:paraId="4B9B80BC" w14:textId="2E6E1038" w:rsidR="001D2E87" w:rsidRPr="00CE240B" w:rsidRDefault="001D2E87" w:rsidP="00CE240B">
      <w:pPr>
        <w:contextualSpacing/>
        <w:rPr>
          <w:rFonts w:cs="Arial"/>
          <w:sz w:val="24"/>
        </w:rPr>
      </w:pPr>
      <w:r w:rsidRPr="00CE240B">
        <w:rPr>
          <w:rFonts w:cs="Arial"/>
          <w:sz w:val="24"/>
        </w:rPr>
        <w:t xml:space="preserve">Sitting alongside the </w:t>
      </w:r>
      <w:r w:rsidR="002D27B6" w:rsidRPr="00CE240B">
        <w:rPr>
          <w:rFonts w:cs="Arial"/>
          <w:sz w:val="24"/>
        </w:rPr>
        <w:t>six-facet</w:t>
      </w:r>
      <w:r w:rsidRPr="00CE240B">
        <w:rPr>
          <w:rFonts w:cs="Arial"/>
          <w:sz w:val="24"/>
        </w:rPr>
        <w:t xml:space="preserve"> survey information is the assessment of backlog maintenance associated with the physical </w:t>
      </w:r>
      <w:r w:rsidR="00084AD8" w:rsidRPr="00CE240B">
        <w:rPr>
          <w:rFonts w:cs="Arial"/>
          <w:sz w:val="24"/>
        </w:rPr>
        <w:t>estate,</w:t>
      </w:r>
      <w:r w:rsidRPr="00CE240B">
        <w:rPr>
          <w:rFonts w:cs="Arial"/>
          <w:sz w:val="24"/>
        </w:rPr>
        <w:t xml:space="preserve"> and which reflects the overall condition of the estate and is shown as a cost element. Backlog maintenance reflects the capital cost required to bring the facets of physical condition, fire or health and safety up to condition ‘B’. The assessment does not address any deficiencies in functional suitability or aspects of quality improvement.</w:t>
      </w:r>
    </w:p>
    <w:p w14:paraId="27A69905" w14:textId="77777777" w:rsidR="001D2E87" w:rsidRDefault="001D2E87" w:rsidP="00CE240B">
      <w:pPr>
        <w:contextualSpacing/>
        <w:rPr>
          <w:rFonts w:cs="Arial"/>
          <w:sz w:val="24"/>
        </w:rPr>
      </w:pPr>
      <w:r w:rsidRPr="00CE240B">
        <w:rPr>
          <w:rFonts w:cs="Arial"/>
          <w:sz w:val="24"/>
        </w:rPr>
        <w:t xml:space="preserve">The Trust owns and occupies a diverse estates portfolio, which includes a wide range of building stock. Backlog has been substantially addressed through investment over the period however there are still backlog remaining which can only be dealt with through a sustained investment programme. </w:t>
      </w:r>
    </w:p>
    <w:p w14:paraId="6742846D" w14:textId="77777777" w:rsidR="00255B1D" w:rsidRPr="00CE240B" w:rsidRDefault="00255B1D" w:rsidP="00CE240B">
      <w:pPr>
        <w:contextualSpacing/>
        <w:rPr>
          <w:rFonts w:cs="Arial"/>
          <w:sz w:val="24"/>
        </w:rPr>
      </w:pPr>
    </w:p>
    <w:p w14:paraId="3D491DCC" w14:textId="7DDF357E" w:rsidR="001D2E87" w:rsidRDefault="001D2E87" w:rsidP="00CE240B">
      <w:pPr>
        <w:contextualSpacing/>
        <w:rPr>
          <w:rFonts w:cs="Arial"/>
          <w:sz w:val="24"/>
        </w:rPr>
      </w:pPr>
      <w:r w:rsidRPr="00CE240B">
        <w:rPr>
          <w:rFonts w:cs="Arial"/>
          <w:sz w:val="24"/>
        </w:rPr>
        <w:t>The 2019 increase reflects transfer of the North Cumbria estate and the creation of CNTW. The 2023 figure reflects the reduction associated with the Northgate development, the repairs to Ferndene and the Monkwearmouth demolitions.</w:t>
      </w:r>
    </w:p>
    <w:p w14:paraId="580ABF89" w14:textId="77777777" w:rsidR="00255B1D" w:rsidRPr="00CE240B" w:rsidRDefault="00255B1D" w:rsidP="00CE240B">
      <w:pPr>
        <w:contextualSpacing/>
        <w:rPr>
          <w:rFonts w:cs="Arial"/>
          <w:sz w:val="24"/>
        </w:rPr>
      </w:pPr>
    </w:p>
    <w:p w14:paraId="3908F1CD" w14:textId="77777777" w:rsidR="001D2E87" w:rsidRPr="00CE240B" w:rsidRDefault="001D2E87" w:rsidP="00CE240B">
      <w:pPr>
        <w:contextualSpacing/>
        <w:rPr>
          <w:rFonts w:cs="Arial"/>
          <w:sz w:val="24"/>
        </w:rPr>
      </w:pPr>
      <w:r w:rsidRPr="00CE240B">
        <w:rPr>
          <w:rFonts w:cs="Arial"/>
          <w:sz w:val="24"/>
        </w:rPr>
        <w:t>The significant reductions in the value associated with backlog maintenance have largely been made not by directly addressing the backlog works, but by providing new build or replacement facilities. Whilst it is possible to improve the physical aspects of an asset to condition ‘B’, this seldom impacts on quality or functional suitability without wholesale redevelopment.</w:t>
      </w:r>
    </w:p>
    <w:p w14:paraId="27312562" w14:textId="77777777" w:rsidR="001D2E87" w:rsidRPr="00CE240B" w:rsidRDefault="001D2E87" w:rsidP="00CE240B">
      <w:pPr>
        <w:contextualSpacing/>
        <w:rPr>
          <w:rFonts w:cs="Arial"/>
          <w:sz w:val="24"/>
        </w:rPr>
      </w:pPr>
    </w:p>
    <w:p w14:paraId="307BB3D5" w14:textId="1CF916E4" w:rsidR="001D2E87" w:rsidRPr="00CE240B" w:rsidRDefault="00255B1D" w:rsidP="00CE240B">
      <w:pPr>
        <w:contextualSpacing/>
        <w:rPr>
          <w:rFonts w:cs="Arial"/>
          <w:sz w:val="24"/>
        </w:rPr>
      </w:pPr>
      <w:r w:rsidRPr="00CE240B">
        <w:rPr>
          <w:rFonts w:cs="Arial"/>
          <w:noProof/>
          <w:sz w:val="24"/>
        </w:rPr>
        <w:lastRenderedPageBreak/>
        <w:drawing>
          <wp:anchor distT="0" distB="0" distL="114300" distR="114300" simplePos="0" relativeHeight="251680768" behindDoc="0" locked="0" layoutInCell="1" allowOverlap="1" wp14:anchorId="7727C55D" wp14:editId="72A7A4CC">
            <wp:simplePos x="0" y="0"/>
            <wp:positionH relativeFrom="margin">
              <wp:posOffset>845024</wp:posOffset>
            </wp:positionH>
            <wp:positionV relativeFrom="paragraph">
              <wp:posOffset>468715</wp:posOffset>
            </wp:positionV>
            <wp:extent cx="4129405" cy="2666365"/>
            <wp:effectExtent l="0" t="0" r="4445" b="63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29405" cy="2666365"/>
                    </a:xfrm>
                    <a:prstGeom prst="rect">
                      <a:avLst/>
                    </a:prstGeom>
                    <a:noFill/>
                  </pic:spPr>
                </pic:pic>
              </a:graphicData>
            </a:graphic>
            <wp14:sizeRelH relativeFrom="margin">
              <wp14:pctWidth>0</wp14:pctWidth>
            </wp14:sizeRelH>
            <wp14:sizeRelV relativeFrom="margin">
              <wp14:pctHeight>0</wp14:pctHeight>
            </wp14:sizeRelV>
          </wp:anchor>
        </w:drawing>
      </w:r>
      <w:r w:rsidR="001334AC">
        <w:rPr>
          <w:rFonts w:cs="Arial"/>
          <w:sz w:val="24"/>
        </w:rPr>
        <w:t xml:space="preserve">Figure 14 below </w:t>
      </w:r>
      <w:r w:rsidR="001D2E87" w:rsidRPr="00CE240B">
        <w:rPr>
          <w:rFonts w:cs="Arial"/>
          <w:sz w:val="24"/>
        </w:rPr>
        <w:t xml:space="preserve">shows the data starting in the year following the formation of NTW. </w:t>
      </w:r>
    </w:p>
    <w:p w14:paraId="14AEB897" w14:textId="3B096AE6" w:rsidR="001D2E87" w:rsidRPr="00255B1D" w:rsidRDefault="001D2E87" w:rsidP="00CE240B">
      <w:pPr>
        <w:contextualSpacing/>
        <w:rPr>
          <w:rFonts w:cs="Arial"/>
          <w:sz w:val="6"/>
          <w:szCs w:val="6"/>
        </w:rPr>
      </w:pPr>
    </w:p>
    <w:p w14:paraId="03447B93" w14:textId="77777777" w:rsidR="001334AC" w:rsidRDefault="001334AC" w:rsidP="00255B1D">
      <w:pPr>
        <w:contextualSpacing/>
        <w:jc w:val="center"/>
      </w:pPr>
    </w:p>
    <w:p w14:paraId="0D979C78" w14:textId="1AEFF987" w:rsidR="00255B1D" w:rsidRPr="001334AC" w:rsidRDefault="00255B1D" w:rsidP="00255B1D">
      <w:pPr>
        <w:contextualSpacing/>
        <w:jc w:val="center"/>
        <w:rPr>
          <w:sz w:val="24"/>
        </w:rPr>
      </w:pPr>
      <w:r w:rsidRPr="001334AC">
        <w:rPr>
          <w:sz w:val="24"/>
        </w:rPr>
        <w:t>Figure 1</w:t>
      </w:r>
      <w:r w:rsidR="001334AC" w:rsidRPr="001334AC">
        <w:rPr>
          <w:sz w:val="24"/>
        </w:rPr>
        <w:t>4</w:t>
      </w:r>
      <w:r w:rsidRPr="001334AC">
        <w:rPr>
          <w:sz w:val="24"/>
        </w:rPr>
        <w:t xml:space="preserve"> Backlog maintenance change</w:t>
      </w:r>
    </w:p>
    <w:p w14:paraId="699B8058" w14:textId="77777777" w:rsidR="00255B1D" w:rsidRDefault="00255B1D" w:rsidP="00CE240B">
      <w:pPr>
        <w:contextualSpacing/>
        <w:rPr>
          <w:rFonts w:cs="Arial"/>
          <w:sz w:val="24"/>
        </w:rPr>
      </w:pPr>
    </w:p>
    <w:p w14:paraId="398FDD7D" w14:textId="2CA71CC8" w:rsidR="001D2E87" w:rsidRDefault="00255B1D" w:rsidP="00CE240B">
      <w:pPr>
        <w:contextualSpacing/>
        <w:rPr>
          <w:rFonts w:cs="Arial"/>
          <w:sz w:val="24"/>
        </w:rPr>
      </w:pPr>
      <w:r>
        <w:rPr>
          <w:rFonts w:cs="Arial"/>
          <w:sz w:val="24"/>
        </w:rPr>
        <w:t xml:space="preserve">Table 20 </w:t>
      </w:r>
      <w:r w:rsidR="001D2E87" w:rsidRPr="00CE240B">
        <w:rPr>
          <w:rFonts w:cs="Arial"/>
          <w:sz w:val="24"/>
        </w:rPr>
        <w:t>below shows the category of backlog maintenance for each of the main sites.</w:t>
      </w:r>
    </w:p>
    <w:p w14:paraId="274F7DD6" w14:textId="77777777" w:rsidR="00255B1D" w:rsidRPr="00CE240B" w:rsidRDefault="00255B1D" w:rsidP="00CE240B">
      <w:pPr>
        <w:contextualSpacing/>
        <w:rPr>
          <w:rFonts w:cs="Arial"/>
          <w:sz w:val="24"/>
        </w:rPr>
      </w:pPr>
    </w:p>
    <w:tbl>
      <w:tblPr>
        <w:tblW w:w="9534" w:type="dxa"/>
        <w:tblInd w:w="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0"/>
        <w:gridCol w:w="1741"/>
        <w:gridCol w:w="1741"/>
        <w:gridCol w:w="1741"/>
        <w:gridCol w:w="1741"/>
      </w:tblGrid>
      <w:tr w:rsidR="001D2E87" w:rsidRPr="00CE240B" w14:paraId="44AD44C3" w14:textId="77777777" w:rsidTr="00CF7D7C">
        <w:trPr>
          <w:trHeight w:val="377"/>
        </w:trPr>
        <w:tc>
          <w:tcPr>
            <w:tcW w:w="2570" w:type="dxa"/>
            <w:shd w:val="clear" w:color="auto" w:fill="D9D9D9" w:themeFill="background1" w:themeFillShade="D9"/>
            <w:noWrap/>
            <w:vAlign w:val="center"/>
            <w:hideMark/>
          </w:tcPr>
          <w:p w14:paraId="5F30E391" w14:textId="77777777" w:rsidR="001D2E87" w:rsidRPr="00CE240B" w:rsidRDefault="001D2E87" w:rsidP="00CE240B">
            <w:pPr>
              <w:widowControl w:val="0"/>
              <w:contextualSpacing/>
              <w:jc w:val="center"/>
              <w:rPr>
                <w:rFonts w:cs="Arial"/>
                <w:b/>
                <w:sz w:val="24"/>
              </w:rPr>
            </w:pPr>
            <w:r w:rsidRPr="00CE240B">
              <w:rPr>
                <w:rFonts w:cs="Arial"/>
                <w:b/>
                <w:sz w:val="24"/>
              </w:rPr>
              <w:t>Site</w:t>
            </w:r>
          </w:p>
        </w:tc>
        <w:tc>
          <w:tcPr>
            <w:tcW w:w="1741" w:type="dxa"/>
            <w:shd w:val="clear" w:color="auto" w:fill="D9D9D9" w:themeFill="background1" w:themeFillShade="D9"/>
            <w:vAlign w:val="center"/>
            <w:hideMark/>
          </w:tcPr>
          <w:p w14:paraId="719725BD" w14:textId="77777777" w:rsidR="001D2E87" w:rsidRPr="00CE240B" w:rsidRDefault="001D2E87" w:rsidP="00CE240B">
            <w:pPr>
              <w:widowControl w:val="0"/>
              <w:contextualSpacing/>
              <w:jc w:val="center"/>
              <w:rPr>
                <w:rFonts w:cs="Arial"/>
                <w:b/>
                <w:sz w:val="24"/>
              </w:rPr>
            </w:pPr>
            <w:r w:rsidRPr="00CE240B">
              <w:rPr>
                <w:rFonts w:cs="Arial"/>
                <w:b/>
                <w:sz w:val="24"/>
              </w:rPr>
              <w:t>High risk backlog</w:t>
            </w:r>
          </w:p>
        </w:tc>
        <w:tc>
          <w:tcPr>
            <w:tcW w:w="1741" w:type="dxa"/>
            <w:shd w:val="clear" w:color="auto" w:fill="D9D9D9" w:themeFill="background1" w:themeFillShade="D9"/>
            <w:vAlign w:val="center"/>
            <w:hideMark/>
          </w:tcPr>
          <w:p w14:paraId="4E8FAB5C" w14:textId="77777777" w:rsidR="001D2E87" w:rsidRPr="00CE240B" w:rsidRDefault="001D2E87" w:rsidP="00CE240B">
            <w:pPr>
              <w:widowControl w:val="0"/>
              <w:contextualSpacing/>
              <w:jc w:val="center"/>
              <w:rPr>
                <w:rFonts w:cs="Arial"/>
                <w:b/>
                <w:sz w:val="24"/>
              </w:rPr>
            </w:pPr>
            <w:r w:rsidRPr="00CE240B">
              <w:rPr>
                <w:rFonts w:cs="Arial"/>
                <w:b/>
                <w:sz w:val="24"/>
              </w:rPr>
              <w:t>Significant risk backlog</w:t>
            </w:r>
          </w:p>
        </w:tc>
        <w:tc>
          <w:tcPr>
            <w:tcW w:w="1741" w:type="dxa"/>
            <w:shd w:val="clear" w:color="auto" w:fill="D9D9D9" w:themeFill="background1" w:themeFillShade="D9"/>
            <w:vAlign w:val="center"/>
            <w:hideMark/>
          </w:tcPr>
          <w:p w14:paraId="78ADD13E" w14:textId="77777777" w:rsidR="001D2E87" w:rsidRPr="00CE240B" w:rsidRDefault="001D2E87" w:rsidP="00CE240B">
            <w:pPr>
              <w:widowControl w:val="0"/>
              <w:contextualSpacing/>
              <w:jc w:val="center"/>
              <w:rPr>
                <w:rFonts w:cs="Arial"/>
                <w:b/>
                <w:sz w:val="24"/>
              </w:rPr>
            </w:pPr>
            <w:r w:rsidRPr="00CE240B">
              <w:rPr>
                <w:rFonts w:cs="Arial"/>
                <w:b/>
                <w:sz w:val="24"/>
              </w:rPr>
              <w:t>Moderate risk backlog</w:t>
            </w:r>
          </w:p>
        </w:tc>
        <w:tc>
          <w:tcPr>
            <w:tcW w:w="1741" w:type="dxa"/>
            <w:shd w:val="clear" w:color="auto" w:fill="D9D9D9" w:themeFill="background1" w:themeFillShade="D9"/>
            <w:vAlign w:val="center"/>
            <w:hideMark/>
          </w:tcPr>
          <w:p w14:paraId="3F413C26" w14:textId="77777777" w:rsidR="001D2E87" w:rsidRPr="00CE240B" w:rsidRDefault="001D2E87" w:rsidP="00CE240B">
            <w:pPr>
              <w:widowControl w:val="0"/>
              <w:contextualSpacing/>
              <w:jc w:val="center"/>
              <w:rPr>
                <w:rFonts w:cs="Arial"/>
                <w:b/>
                <w:sz w:val="24"/>
              </w:rPr>
            </w:pPr>
            <w:r w:rsidRPr="00CE240B">
              <w:rPr>
                <w:rFonts w:cs="Arial"/>
                <w:b/>
                <w:sz w:val="24"/>
              </w:rPr>
              <w:t>Low risk backlog</w:t>
            </w:r>
          </w:p>
        </w:tc>
      </w:tr>
      <w:tr w:rsidR="001D2E87" w:rsidRPr="00CE240B" w14:paraId="14428070" w14:textId="77777777" w:rsidTr="00CF7D7C">
        <w:trPr>
          <w:trHeight w:val="397"/>
        </w:trPr>
        <w:tc>
          <w:tcPr>
            <w:tcW w:w="2570" w:type="dxa"/>
            <w:shd w:val="clear" w:color="D3D3D3" w:fill="D3D3D3"/>
            <w:vAlign w:val="center"/>
            <w:hideMark/>
          </w:tcPr>
          <w:p w14:paraId="4633C734" w14:textId="77777777" w:rsidR="001D2E87" w:rsidRPr="00CE240B" w:rsidRDefault="001D2E87" w:rsidP="00CE240B">
            <w:pPr>
              <w:widowControl w:val="0"/>
              <w:contextualSpacing/>
              <w:rPr>
                <w:rFonts w:cs="Arial"/>
                <w:sz w:val="24"/>
              </w:rPr>
            </w:pPr>
            <w:r w:rsidRPr="00CE240B">
              <w:rPr>
                <w:rFonts w:cs="Arial"/>
                <w:sz w:val="24"/>
              </w:rPr>
              <w:t>Northgate Hospital</w:t>
            </w:r>
          </w:p>
        </w:tc>
        <w:tc>
          <w:tcPr>
            <w:tcW w:w="1741" w:type="dxa"/>
            <w:shd w:val="clear" w:color="auto" w:fill="auto"/>
            <w:vAlign w:val="center"/>
            <w:hideMark/>
          </w:tcPr>
          <w:p w14:paraId="4B6DF1FA"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53E8E6BA"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28E83E6B"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70AF6855" w14:textId="77777777" w:rsidR="001D2E87" w:rsidRPr="00CE240B" w:rsidRDefault="001D2E87" w:rsidP="00CE240B">
            <w:pPr>
              <w:widowControl w:val="0"/>
              <w:contextualSpacing/>
              <w:jc w:val="center"/>
              <w:rPr>
                <w:rFonts w:cs="Arial"/>
                <w:sz w:val="24"/>
              </w:rPr>
            </w:pPr>
            <w:r w:rsidRPr="00CE240B">
              <w:rPr>
                <w:rFonts w:cs="Arial"/>
                <w:sz w:val="24"/>
              </w:rPr>
              <w:t>£0</w:t>
            </w:r>
          </w:p>
        </w:tc>
      </w:tr>
      <w:tr w:rsidR="001D2E87" w:rsidRPr="00CE240B" w14:paraId="0BBBDC3E" w14:textId="77777777" w:rsidTr="00CF7D7C">
        <w:trPr>
          <w:trHeight w:val="397"/>
        </w:trPr>
        <w:tc>
          <w:tcPr>
            <w:tcW w:w="2570" w:type="dxa"/>
            <w:shd w:val="clear" w:color="D3D3D3" w:fill="D3D3D3"/>
            <w:vAlign w:val="center"/>
            <w:hideMark/>
          </w:tcPr>
          <w:p w14:paraId="56461065" w14:textId="77777777" w:rsidR="001D2E87" w:rsidRPr="00CE240B" w:rsidRDefault="001D2E87" w:rsidP="00CE240B">
            <w:pPr>
              <w:widowControl w:val="0"/>
              <w:contextualSpacing/>
              <w:rPr>
                <w:rFonts w:cs="Arial"/>
                <w:sz w:val="24"/>
              </w:rPr>
            </w:pPr>
            <w:r w:rsidRPr="00CE240B">
              <w:rPr>
                <w:rFonts w:cs="Arial"/>
                <w:sz w:val="24"/>
              </w:rPr>
              <w:t xml:space="preserve">St Georges Hospital, </w:t>
            </w:r>
          </w:p>
        </w:tc>
        <w:tc>
          <w:tcPr>
            <w:tcW w:w="1741" w:type="dxa"/>
            <w:shd w:val="clear" w:color="auto" w:fill="auto"/>
            <w:vAlign w:val="center"/>
            <w:hideMark/>
          </w:tcPr>
          <w:p w14:paraId="58EFC603"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018C3A55"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7BA68F2A"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3FCF389E" w14:textId="77777777" w:rsidR="001D2E87" w:rsidRPr="00CE240B" w:rsidRDefault="001D2E87" w:rsidP="00CE240B">
            <w:pPr>
              <w:widowControl w:val="0"/>
              <w:contextualSpacing/>
              <w:jc w:val="center"/>
              <w:rPr>
                <w:rFonts w:cs="Arial"/>
                <w:sz w:val="24"/>
              </w:rPr>
            </w:pPr>
            <w:r w:rsidRPr="00CE240B">
              <w:rPr>
                <w:rFonts w:cs="Arial"/>
                <w:sz w:val="24"/>
              </w:rPr>
              <w:t>£0</w:t>
            </w:r>
          </w:p>
        </w:tc>
      </w:tr>
      <w:tr w:rsidR="001D2E87" w:rsidRPr="00CE240B" w14:paraId="52005F06" w14:textId="77777777" w:rsidTr="00CF7D7C">
        <w:trPr>
          <w:trHeight w:val="397"/>
        </w:trPr>
        <w:tc>
          <w:tcPr>
            <w:tcW w:w="2570" w:type="dxa"/>
            <w:shd w:val="clear" w:color="D3D3D3" w:fill="D3D3D3"/>
            <w:vAlign w:val="center"/>
            <w:hideMark/>
          </w:tcPr>
          <w:p w14:paraId="40FCFE01" w14:textId="77777777" w:rsidR="001D2E87" w:rsidRPr="00CE240B" w:rsidRDefault="001D2E87" w:rsidP="00CE240B">
            <w:pPr>
              <w:widowControl w:val="0"/>
              <w:contextualSpacing/>
              <w:rPr>
                <w:rFonts w:cs="Arial"/>
                <w:sz w:val="24"/>
              </w:rPr>
            </w:pPr>
            <w:r w:rsidRPr="00CE240B">
              <w:rPr>
                <w:rFonts w:cs="Arial"/>
                <w:sz w:val="24"/>
              </w:rPr>
              <w:t xml:space="preserve">St Nicholas Hospital, </w:t>
            </w:r>
          </w:p>
        </w:tc>
        <w:tc>
          <w:tcPr>
            <w:tcW w:w="1741" w:type="dxa"/>
            <w:shd w:val="clear" w:color="auto" w:fill="auto"/>
            <w:vAlign w:val="center"/>
            <w:hideMark/>
          </w:tcPr>
          <w:p w14:paraId="44A95124"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2E9AB7AF" w14:textId="77777777" w:rsidR="001D2E87" w:rsidRPr="00CE240B" w:rsidRDefault="001D2E87" w:rsidP="00CE240B">
            <w:pPr>
              <w:widowControl w:val="0"/>
              <w:contextualSpacing/>
              <w:jc w:val="center"/>
              <w:rPr>
                <w:rFonts w:cs="Arial"/>
                <w:sz w:val="24"/>
              </w:rPr>
            </w:pPr>
            <w:r w:rsidRPr="00CE240B">
              <w:rPr>
                <w:rFonts w:cs="Arial"/>
                <w:sz w:val="24"/>
              </w:rPr>
              <w:t>£80,000</w:t>
            </w:r>
          </w:p>
        </w:tc>
        <w:tc>
          <w:tcPr>
            <w:tcW w:w="1741" w:type="dxa"/>
            <w:shd w:val="clear" w:color="auto" w:fill="auto"/>
            <w:vAlign w:val="center"/>
            <w:hideMark/>
          </w:tcPr>
          <w:p w14:paraId="008573BE" w14:textId="77777777" w:rsidR="001D2E87" w:rsidRPr="00CE240B" w:rsidRDefault="001D2E87" w:rsidP="00CE240B">
            <w:pPr>
              <w:widowControl w:val="0"/>
              <w:contextualSpacing/>
              <w:jc w:val="center"/>
              <w:rPr>
                <w:rFonts w:cs="Arial"/>
                <w:sz w:val="24"/>
              </w:rPr>
            </w:pPr>
            <w:r w:rsidRPr="00CE240B">
              <w:rPr>
                <w:rFonts w:cs="Arial"/>
                <w:sz w:val="24"/>
              </w:rPr>
              <w:t>£350,000</w:t>
            </w:r>
          </w:p>
        </w:tc>
        <w:tc>
          <w:tcPr>
            <w:tcW w:w="1741" w:type="dxa"/>
            <w:shd w:val="clear" w:color="auto" w:fill="auto"/>
            <w:vAlign w:val="center"/>
            <w:hideMark/>
          </w:tcPr>
          <w:p w14:paraId="1AB5F839" w14:textId="77777777" w:rsidR="001D2E87" w:rsidRPr="00CE240B" w:rsidRDefault="001D2E87" w:rsidP="00CE240B">
            <w:pPr>
              <w:widowControl w:val="0"/>
              <w:contextualSpacing/>
              <w:jc w:val="center"/>
              <w:rPr>
                <w:rFonts w:cs="Arial"/>
                <w:sz w:val="24"/>
              </w:rPr>
            </w:pPr>
            <w:r w:rsidRPr="00CE240B">
              <w:rPr>
                <w:rFonts w:cs="Arial"/>
                <w:sz w:val="24"/>
              </w:rPr>
              <w:t>£485,476</w:t>
            </w:r>
          </w:p>
        </w:tc>
      </w:tr>
      <w:tr w:rsidR="001D2E87" w:rsidRPr="00CE240B" w14:paraId="567687EC" w14:textId="77777777" w:rsidTr="00CF7D7C">
        <w:trPr>
          <w:trHeight w:val="397"/>
        </w:trPr>
        <w:tc>
          <w:tcPr>
            <w:tcW w:w="2570" w:type="dxa"/>
            <w:shd w:val="clear" w:color="D3D3D3" w:fill="D3D3D3"/>
            <w:vAlign w:val="center"/>
            <w:hideMark/>
          </w:tcPr>
          <w:p w14:paraId="734A56FC" w14:textId="77777777" w:rsidR="001D2E87" w:rsidRPr="00CE240B" w:rsidRDefault="001D2E87" w:rsidP="00CE240B">
            <w:pPr>
              <w:widowControl w:val="0"/>
              <w:contextualSpacing/>
              <w:rPr>
                <w:rFonts w:cs="Arial"/>
                <w:sz w:val="24"/>
              </w:rPr>
            </w:pPr>
            <w:r w:rsidRPr="00CE240B">
              <w:rPr>
                <w:rFonts w:cs="Arial"/>
                <w:sz w:val="24"/>
              </w:rPr>
              <w:t>Ferndene</w:t>
            </w:r>
          </w:p>
        </w:tc>
        <w:tc>
          <w:tcPr>
            <w:tcW w:w="1741" w:type="dxa"/>
            <w:shd w:val="clear" w:color="auto" w:fill="auto"/>
            <w:vAlign w:val="center"/>
            <w:hideMark/>
          </w:tcPr>
          <w:p w14:paraId="05F7F5FD"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14A4A8E1"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0BEF7B89"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7D62E84B" w14:textId="77777777" w:rsidR="001D2E87" w:rsidRPr="00CE240B" w:rsidRDefault="001D2E87" w:rsidP="00CE240B">
            <w:pPr>
              <w:widowControl w:val="0"/>
              <w:contextualSpacing/>
              <w:jc w:val="center"/>
              <w:rPr>
                <w:rFonts w:cs="Arial"/>
                <w:sz w:val="24"/>
              </w:rPr>
            </w:pPr>
            <w:r w:rsidRPr="00CE240B">
              <w:rPr>
                <w:rFonts w:cs="Arial"/>
                <w:sz w:val="24"/>
              </w:rPr>
              <w:t>£0</w:t>
            </w:r>
          </w:p>
        </w:tc>
      </w:tr>
      <w:tr w:rsidR="001D2E87" w:rsidRPr="00CE240B" w14:paraId="403F45A6" w14:textId="77777777" w:rsidTr="00CF7D7C">
        <w:trPr>
          <w:trHeight w:val="397"/>
        </w:trPr>
        <w:tc>
          <w:tcPr>
            <w:tcW w:w="2570" w:type="dxa"/>
            <w:shd w:val="clear" w:color="D3D3D3" w:fill="D3D3D3"/>
            <w:vAlign w:val="center"/>
            <w:hideMark/>
          </w:tcPr>
          <w:p w14:paraId="1C493A2F" w14:textId="77777777" w:rsidR="001D2E87" w:rsidRPr="00CE240B" w:rsidRDefault="001D2E87" w:rsidP="00CE240B">
            <w:pPr>
              <w:widowControl w:val="0"/>
              <w:contextualSpacing/>
              <w:rPr>
                <w:rFonts w:cs="Arial"/>
                <w:sz w:val="24"/>
              </w:rPr>
            </w:pPr>
            <w:r w:rsidRPr="00CE240B">
              <w:rPr>
                <w:rFonts w:cs="Arial"/>
                <w:sz w:val="24"/>
              </w:rPr>
              <w:t xml:space="preserve">Walkergate Park </w:t>
            </w:r>
          </w:p>
        </w:tc>
        <w:tc>
          <w:tcPr>
            <w:tcW w:w="1741" w:type="dxa"/>
            <w:shd w:val="clear" w:color="auto" w:fill="auto"/>
            <w:vAlign w:val="center"/>
            <w:hideMark/>
          </w:tcPr>
          <w:p w14:paraId="4049E18F"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6D5F0589"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716449C2"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2F6E9462" w14:textId="77777777" w:rsidR="001D2E87" w:rsidRPr="00CE240B" w:rsidRDefault="001D2E87" w:rsidP="00CE240B">
            <w:pPr>
              <w:widowControl w:val="0"/>
              <w:contextualSpacing/>
              <w:jc w:val="center"/>
              <w:rPr>
                <w:rFonts w:cs="Arial"/>
                <w:sz w:val="24"/>
              </w:rPr>
            </w:pPr>
            <w:r w:rsidRPr="00CE240B">
              <w:rPr>
                <w:rFonts w:cs="Arial"/>
                <w:sz w:val="24"/>
              </w:rPr>
              <w:t>£206,000</w:t>
            </w:r>
          </w:p>
        </w:tc>
      </w:tr>
      <w:tr w:rsidR="001D2E87" w:rsidRPr="00CE240B" w14:paraId="28345838" w14:textId="77777777" w:rsidTr="00CF7D7C">
        <w:trPr>
          <w:trHeight w:val="397"/>
        </w:trPr>
        <w:tc>
          <w:tcPr>
            <w:tcW w:w="2570" w:type="dxa"/>
            <w:shd w:val="clear" w:color="D3D3D3" w:fill="D3D3D3"/>
            <w:vAlign w:val="center"/>
            <w:hideMark/>
          </w:tcPr>
          <w:p w14:paraId="565FC72C" w14:textId="77777777" w:rsidR="001D2E87" w:rsidRPr="00CE240B" w:rsidRDefault="001D2E87" w:rsidP="00CE240B">
            <w:pPr>
              <w:widowControl w:val="0"/>
              <w:contextualSpacing/>
              <w:rPr>
                <w:rFonts w:cs="Arial"/>
                <w:sz w:val="24"/>
              </w:rPr>
            </w:pPr>
            <w:r w:rsidRPr="00CE240B">
              <w:rPr>
                <w:rFonts w:cs="Arial"/>
                <w:sz w:val="24"/>
              </w:rPr>
              <w:t xml:space="preserve">Monkwearmouth </w:t>
            </w:r>
          </w:p>
        </w:tc>
        <w:tc>
          <w:tcPr>
            <w:tcW w:w="1741" w:type="dxa"/>
            <w:shd w:val="clear" w:color="auto" w:fill="auto"/>
            <w:vAlign w:val="center"/>
            <w:hideMark/>
          </w:tcPr>
          <w:p w14:paraId="3368C2F8"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550C71B8"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59738093"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3F187459" w14:textId="77777777" w:rsidR="001D2E87" w:rsidRPr="00CE240B" w:rsidRDefault="001D2E87" w:rsidP="00CE240B">
            <w:pPr>
              <w:widowControl w:val="0"/>
              <w:contextualSpacing/>
              <w:jc w:val="center"/>
              <w:rPr>
                <w:rFonts w:cs="Arial"/>
                <w:sz w:val="24"/>
              </w:rPr>
            </w:pPr>
            <w:r w:rsidRPr="00CE240B">
              <w:rPr>
                <w:rFonts w:cs="Arial"/>
                <w:sz w:val="24"/>
              </w:rPr>
              <w:t>£100,000</w:t>
            </w:r>
          </w:p>
        </w:tc>
      </w:tr>
      <w:tr w:rsidR="001D2E87" w:rsidRPr="00CE240B" w14:paraId="502242FA" w14:textId="77777777" w:rsidTr="00CF7D7C">
        <w:trPr>
          <w:trHeight w:val="397"/>
        </w:trPr>
        <w:tc>
          <w:tcPr>
            <w:tcW w:w="2570" w:type="dxa"/>
            <w:shd w:val="clear" w:color="D3D3D3" w:fill="D3D3D3"/>
            <w:vAlign w:val="center"/>
            <w:hideMark/>
          </w:tcPr>
          <w:p w14:paraId="7B2926AB" w14:textId="77777777" w:rsidR="001D2E87" w:rsidRPr="00CE240B" w:rsidRDefault="001D2E87" w:rsidP="00CE240B">
            <w:pPr>
              <w:widowControl w:val="0"/>
              <w:contextualSpacing/>
              <w:rPr>
                <w:rFonts w:cs="Arial"/>
                <w:sz w:val="24"/>
              </w:rPr>
            </w:pPr>
            <w:r w:rsidRPr="00CE240B">
              <w:rPr>
                <w:rFonts w:cs="Arial"/>
                <w:sz w:val="24"/>
              </w:rPr>
              <w:t>Hopewood Park</w:t>
            </w:r>
          </w:p>
        </w:tc>
        <w:tc>
          <w:tcPr>
            <w:tcW w:w="1741" w:type="dxa"/>
            <w:shd w:val="clear" w:color="auto" w:fill="auto"/>
            <w:vAlign w:val="center"/>
            <w:hideMark/>
          </w:tcPr>
          <w:p w14:paraId="74BD7583"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23522B7C"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225B087E" w14:textId="77777777" w:rsidR="001D2E87" w:rsidRPr="00CE240B" w:rsidRDefault="001D2E87" w:rsidP="00CE240B">
            <w:pPr>
              <w:widowControl w:val="0"/>
              <w:contextualSpacing/>
              <w:jc w:val="center"/>
              <w:rPr>
                <w:rFonts w:cs="Arial"/>
                <w:sz w:val="24"/>
              </w:rPr>
            </w:pPr>
            <w:r w:rsidRPr="00CE240B">
              <w:rPr>
                <w:rFonts w:cs="Arial"/>
                <w:sz w:val="24"/>
              </w:rPr>
              <w:t>£30,000</w:t>
            </w:r>
          </w:p>
        </w:tc>
        <w:tc>
          <w:tcPr>
            <w:tcW w:w="1741" w:type="dxa"/>
            <w:shd w:val="clear" w:color="auto" w:fill="auto"/>
            <w:vAlign w:val="center"/>
            <w:hideMark/>
          </w:tcPr>
          <w:p w14:paraId="19619873" w14:textId="77777777" w:rsidR="001D2E87" w:rsidRPr="00CE240B" w:rsidRDefault="001D2E87" w:rsidP="00CE240B">
            <w:pPr>
              <w:widowControl w:val="0"/>
              <w:contextualSpacing/>
              <w:jc w:val="center"/>
              <w:rPr>
                <w:rFonts w:cs="Arial"/>
                <w:sz w:val="24"/>
              </w:rPr>
            </w:pPr>
            <w:r w:rsidRPr="00CE240B">
              <w:rPr>
                <w:rFonts w:cs="Arial"/>
                <w:sz w:val="24"/>
              </w:rPr>
              <w:t>£350,000</w:t>
            </w:r>
          </w:p>
        </w:tc>
      </w:tr>
      <w:tr w:rsidR="001D2E87" w:rsidRPr="00CE240B" w14:paraId="53D066BE" w14:textId="77777777" w:rsidTr="00CF7D7C">
        <w:trPr>
          <w:trHeight w:val="397"/>
        </w:trPr>
        <w:tc>
          <w:tcPr>
            <w:tcW w:w="2570" w:type="dxa"/>
            <w:shd w:val="clear" w:color="D3D3D3" w:fill="D3D3D3"/>
            <w:vAlign w:val="center"/>
            <w:hideMark/>
          </w:tcPr>
          <w:p w14:paraId="4D704A6F" w14:textId="77777777" w:rsidR="001D2E87" w:rsidRPr="00CE240B" w:rsidRDefault="001D2E87" w:rsidP="00CE240B">
            <w:pPr>
              <w:widowControl w:val="0"/>
              <w:contextualSpacing/>
              <w:rPr>
                <w:rFonts w:cs="Arial"/>
                <w:sz w:val="24"/>
              </w:rPr>
            </w:pPr>
            <w:r w:rsidRPr="00CE240B">
              <w:rPr>
                <w:rFonts w:cs="Arial"/>
                <w:sz w:val="24"/>
              </w:rPr>
              <w:t>Carleton Clinic</w:t>
            </w:r>
          </w:p>
        </w:tc>
        <w:tc>
          <w:tcPr>
            <w:tcW w:w="1741" w:type="dxa"/>
            <w:shd w:val="clear" w:color="auto" w:fill="auto"/>
            <w:vAlign w:val="center"/>
            <w:hideMark/>
          </w:tcPr>
          <w:p w14:paraId="67E46774"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vAlign w:val="center"/>
            <w:hideMark/>
          </w:tcPr>
          <w:p w14:paraId="4061B2E5" w14:textId="77777777" w:rsidR="001D2E87" w:rsidRPr="00CE240B" w:rsidRDefault="001D2E87" w:rsidP="00CE240B">
            <w:pPr>
              <w:widowControl w:val="0"/>
              <w:contextualSpacing/>
              <w:jc w:val="center"/>
              <w:rPr>
                <w:rFonts w:cs="Arial"/>
                <w:sz w:val="24"/>
              </w:rPr>
            </w:pPr>
            <w:r w:rsidRPr="00CE240B">
              <w:rPr>
                <w:rFonts w:cs="Arial"/>
                <w:sz w:val="24"/>
              </w:rPr>
              <w:t>£226,509</w:t>
            </w:r>
          </w:p>
        </w:tc>
        <w:tc>
          <w:tcPr>
            <w:tcW w:w="1741" w:type="dxa"/>
            <w:shd w:val="clear" w:color="auto" w:fill="auto"/>
            <w:vAlign w:val="center"/>
            <w:hideMark/>
          </w:tcPr>
          <w:p w14:paraId="7F18C84A" w14:textId="77777777" w:rsidR="001D2E87" w:rsidRPr="00CE240B" w:rsidRDefault="001D2E87" w:rsidP="00CE240B">
            <w:pPr>
              <w:widowControl w:val="0"/>
              <w:contextualSpacing/>
              <w:jc w:val="center"/>
              <w:rPr>
                <w:rFonts w:cs="Arial"/>
                <w:sz w:val="24"/>
              </w:rPr>
            </w:pPr>
            <w:r w:rsidRPr="00CE240B">
              <w:rPr>
                <w:rFonts w:cs="Arial"/>
                <w:sz w:val="24"/>
              </w:rPr>
              <w:t>£1,368,440</w:t>
            </w:r>
          </w:p>
        </w:tc>
        <w:tc>
          <w:tcPr>
            <w:tcW w:w="1741" w:type="dxa"/>
            <w:shd w:val="clear" w:color="auto" w:fill="auto"/>
            <w:vAlign w:val="center"/>
            <w:hideMark/>
          </w:tcPr>
          <w:p w14:paraId="74C8BB90" w14:textId="77777777" w:rsidR="001D2E87" w:rsidRPr="00CE240B" w:rsidRDefault="001D2E87" w:rsidP="00CE240B">
            <w:pPr>
              <w:widowControl w:val="0"/>
              <w:contextualSpacing/>
              <w:jc w:val="center"/>
              <w:rPr>
                <w:rFonts w:cs="Arial"/>
                <w:sz w:val="24"/>
              </w:rPr>
            </w:pPr>
            <w:r w:rsidRPr="00CE240B">
              <w:rPr>
                <w:rFonts w:cs="Arial"/>
                <w:sz w:val="24"/>
              </w:rPr>
              <w:t>£217,601</w:t>
            </w:r>
          </w:p>
        </w:tc>
      </w:tr>
      <w:tr w:rsidR="001D2E87" w:rsidRPr="00CE240B" w14:paraId="798387E0" w14:textId="77777777" w:rsidTr="00CF7D7C">
        <w:trPr>
          <w:trHeight w:val="397"/>
        </w:trPr>
        <w:tc>
          <w:tcPr>
            <w:tcW w:w="2570" w:type="dxa"/>
            <w:shd w:val="clear" w:color="auto" w:fill="D9D9D9" w:themeFill="background1" w:themeFillShade="D9"/>
            <w:noWrap/>
            <w:vAlign w:val="center"/>
            <w:hideMark/>
          </w:tcPr>
          <w:p w14:paraId="7D02625C" w14:textId="77777777" w:rsidR="001D2E87" w:rsidRPr="00CE240B" w:rsidRDefault="001D2E87" w:rsidP="00CE240B">
            <w:pPr>
              <w:widowControl w:val="0"/>
              <w:contextualSpacing/>
              <w:rPr>
                <w:rFonts w:cs="Arial"/>
                <w:sz w:val="24"/>
              </w:rPr>
            </w:pPr>
            <w:r w:rsidRPr="00CE240B">
              <w:rPr>
                <w:rFonts w:cs="Arial"/>
                <w:sz w:val="24"/>
              </w:rPr>
              <w:t>Other Sites</w:t>
            </w:r>
          </w:p>
        </w:tc>
        <w:tc>
          <w:tcPr>
            <w:tcW w:w="1741" w:type="dxa"/>
            <w:shd w:val="clear" w:color="auto" w:fill="auto"/>
            <w:noWrap/>
            <w:vAlign w:val="center"/>
            <w:hideMark/>
          </w:tcPr>
          <w:p w14:paraId="5F844D5E" w14:textId="77777777" w:rsidR="001D2E87" w:rsidRPr="00CE240B" w:rsidRDefault="001D2E87" w:rsidP="00CE240B">
            <w:pPr>
              <w:widowControl w:val="0"/>
              <w:contextualSpacing/>
              <w:jc w:val="center"/>
              <w:rPr>
                <w:rFonts w:cs="Arial"/>
                <w:sz w:val="24"/>
              </w:rPr>
            </w:pPr>
            <w:r w:rsidRPr="00CE240B">
              <w:rPr>
                <w:rFonts w:cs="Arial"/>
                <w:sz w:val="24"/>
              </w:rPr>
              <w:t>£0</w:t>
            </w:r>
          </w:p>
        </w:tc>
        <w:tc>
          <w:tcPr>
            <w:tcW w:w="1741" w:type="dxa"/>
            <w:shd w:val="clear" w:color="auto" w:fill="auto"/>
            <w:noWrap/>
            <w:vAlign w:val="center"/>
            <w:hideMark/>
          </w:tcPr>
          <w:p w14:paraId="7199095B" w14:textId="77777777" w:rsidR="001D2E87" w:rsidRPr="00CE240B" w:rsidRDefault="001D2E87" w:rsidP="00CE240B">
            <w:pPr>
              <w:widowControl w:val="0"/>
              <w:contextualSpacing/>
              <w:jc w:val="center"/>
              <w:rPr>
                <w:rFonts w:cs="Arial"/>
                <w:sz w:val="24"/>
              </w:rPr>
            </w:pPr>
            <w:r w:rsidRPr="00CE240B">
              <w:rPr>
                <w:rFonts w:cs="Arial"/>
                <w:sz w:val="24"/>
              </w:rPr>
              <w:t>£625,003</w:t>
            </w:r>
          </w:p>
        </w:tc>
        <w:tc>
          <w:tcPr>
            <w:tcW w:w="1741" w:type="dxa"/>
            <w:shd w:val="clear" w:color="auto" w:fill="auto"/>
            <w:noWrap/>
            <w:vAlign w:val="center"/>
            <w:hideMark/>
          </w:tcPr>
          <w:p w14:paraId="1708CBB7" w14:textId="77777777" w:rsidR="001D2E87" w:rsidRPr="00CE240B" w:rsidRDefault="001D2E87" w:rsidP="00CE240B">
            <w:pPr>
              <w:widowControl w:val="0"/>
              <w:contextualSpacing/>
              <w:jc w:val="center"/>
              <w:rPr>
                <w:rFonts w:cs="Arial"/>
                <w:sz w:val="24"/>
              </w:rPr>
            </w:pPr>
            <w:r w:rsidRPr="00CE240B">
              <w:rPr>
                <w:rFonts w:cs="Arial"/>
                <w:sz w:val="24"/>
              </w:rPr>
              <w:t>£269,979</w:t>
            </w:r>
          </w:p>
        </w:tc>
        <w:tc>
          <w:tcPr>
            <w:tcW w:w="1741" w:type="dxa"/>
            <w:shd w:val="clear" w:color="auto" w:fill="auto"/>
            <w:noWrap/>
            <w:vAlign w:val="center"/>
            <w:hideMark/>
          </w:tcPr>
          <w:p w14:paraId="477BF56F" w14:textId="77777777" w:rsidR="001D2E87" w:rsidRPr="00CE240B" w:rsidRDefault="001D2E87" w:rsidP="00CE240B">
            <w:pPr>
              <w:widowControl w:val="0"/>
              <w:contextualSpacing/>
              <w:jc w:val="center"/>
              <w:rPr>
                <w:rFonts w:cs="Arial"/>
                <w:sz w:val="24"/>
              </w:rPr>
            </w:pPr>
            <w:r w:rsidRPr="00CE240B">
              <w:rPr>
                <w:rFonts w:cs="Arial"/>
                <w:sz w:val="24"/>
              </w:rPr>
              <w:t>£673,787</w:t>
            </w:r>
          </w:p>
        </w:tc>
      </w:tr>
      <w:tr w:rsidR="001D2E87" w:rsidRPr="00CE240B" w14:paraId="25668ECE" w14:textId="77777777" w:rsidTr="00CF7D7C">
        <w:trPr>
          <w:trHeight w:val="397"/>
        </w:trPr>
        <w:tc>
          <w:tcPr>
            <w:tcW w:w="2570" w:type="dxa"/>
            <w:shd w:val="clear" w:color="auto" w:fill="D9D9D9" w:themeFill="background1" w:themeFillShade="D9"/>
            <w:noWrap/>
            <w:vAlign w:val="bottom"/>
            <w:hideMark/>
          </w:tcPr>
          <w:p w14:paraId="46009370" w14:textId="77777777" w:rsidR="001D2E87" w:rsidRPr="00CE240B" w:rsidRDefault="001D2E87" w:rsidP="00CE240B">
            <w:pPr>
              <w:widowControl w:val="0"/>
              <w:contextualSpacing/>
              <w:jc w:val="right"/>
              <w:rPr>
                <w:rFonts w:cs="Arial"/>
                <w:b/>
                <w:sz w:val="24"/>
              </w:rPr>
            </w:pPr>
            <w:r w:rsidRPr="00CE240B">
              <w:rPr>
                <w:rFonts w:cs="Arial"/>
                <w:b/>
                <w:sz w:val="24"/>
              </w:rPr>
              <w:t>Total</w:t>
            </w:r>
          </w:p>
        </w:tc>
        <w:tc>
          <w:tcPr>
            <w:tcW w:w="1741" w:type="dxa"/>
            <w:shd w:val="clear" w:color="auto" w:fill="auto"/>
            <w:noWrap/>
            <w:hideMark/>
          </w:tcPr>
          <w:p w14:paraId="1F24FB4B" w14:textId="77777777" w:rsidR="001D2E87" w:rsidRPr="00CE240B" w:rsidRDefault="001D2E87" w:rsidP="00CE240B">
            <w:pPr>
              <w:widowControl w:val="0"/>
              <w:contextualSpacing/>
              <w:jc w:val="center"/>
              <w:rPr>
                <w:rFonts w:cs="Arial"/>
                <w:b/>
                <w:sz w:val="24"/>
              </w:rPr>
            </w:pPr>
            <w:r w:rsidRPr="00CE240B">
              <w:rPr>
                <w:rFonts w:cs="Arial"/>
                <w:b/>
                <w:sz w:val="24"/>
              </w:rPr>
              <w:t>£0</w:t>
            </w:r>
          </w:p>
        </w:tc>
        <w:tc>
          <w:tcPr>
            <w:tcW w:w="1741" w:type="dxa"/>
            <w:shd w:val="clear" w:color="auto" w:fill="auto"/>
            <w:noWrap/>
            <w:hideMark/>
          </w:tcPr>
          <w:p w14:paraId="68C92A49" w14:textId="77777777" w:rsidR="001D2E87" w:rsidRPr="00CE240B" w:rsidRDefault="001D2E87" w:rsidP="00CE240B">
            <w:pPr>
              <w:widowControl w:val="0"/>
              <w:contextualSpacing/>
              <w:jc w:val="center"/>
              <w:rPr>
                <w:rFonts w:cs="Arial"/>
                <w:b/>
                <w:sz w:val="24"/>
              </w:rPr>
            </w:pPr>
            <w:r w:rsidRPr="00CE240B">
              <w:rPr>
                <w:rFonts w:cs="Arial"/>
                <w:b/>
                <w:sz w:val="24"/>
              </w:rPr>
              <w:t>£931,512</w:t>
            </w:r>
          </w:p>
        </w:tc>
        <w:tc>
          <w:tcPr>
            <w:tcW w:w="1741" w:type="dxa"/>
            <w:shd w:val="clear" w:color="auto" w:fill="auto"/>
            <w:noWrap/>
            <w:hideMark/>
          </w:tcPr>
          <w:p w14:paraId="08681BA6" w14:textId="77777777" w:rsidR="001D2E87" w:rsidRPr="00CE240B" w:rsidRDefault="001D2E87" w:rsidP="00CE240B">
            <w:pPr>
              <w:widowControl w:val="0"/>
              <w:contextualSpacing/>
              <w:jc w:val="center"/>
              <w:rPr>
                <w:rFonts w:cs="Arial"/>
                <w:b/>
                <w:sz w:val="24"/>
              </w:rPr>
            </w:pPr>
            <w:r w:rsidRPr="00CE240B">
              <w:rPr>
                <w:rFonts w:cs="Arial"/>
                <w:b/>
                <w:sz w:val="24"/>
              </w:rPr>
              <w:t>£2,018,419</w:t>
            </w:r>
          </w:p>
        </w:tc>
        <w:tc>
          <w:tcPr>
            <w:tcW w:w="1741" w:type="dxa"/>
            <w:shd w:val="clear" w:color="auto" w:fill="auto"/>
            <w:noWrap/>
            <w:hideMark/>
          </w:tcPr>
          <w:p w14:paraId="1CF95CB7" w14:textId="77777777" w:rsidR="001D2E87" w:rsidRPr="00CE240B" w:rsidRDefault="001D2E87" w:rsidP="00CE240B">
            <w:pPr>
              <w:widowControl w:val="0"/>
              <w:contextualSpacing/>
              <w:jc w:val="center"/>
              <w:rPr>
                <w:rFonts w:cs="Arial"/>
                <w:b/>
                <w:sz w:val="24"/>
              </w:rPr>
            </w:pPr>
            <w:r w:rsidRPr="00CE240B">
              <w:rPr>
                <w:rFonts w:cs="Arial"/>
                <w:b/>
                <w:sz w:val="24"/>
              </w:rPr>
              <w:t>£2,032,864</w:t>
            </w:r>
          </w:p>
        </w:tc>
      </w:tr>
    </w:tbl>
    <w:p w14:paraId="6A8142C2" w14:textId="62EDBA3C" w:rsidR="001D2E87" w:rsidRPr="00CE240B" w:rsidRDefault="001D2E87" w:rsidP="00CE240B">
      <w:pPr>
        <w:contextualSpacing/>
        <w:jc w:val="center"/>
        <w:rPr>
          <w:rFonts w:cs="Arial"/>
          <w:sz w:val="24"/>
        </w:rPr>
      </w:pPr>
      <w:r>
        <w:t xml:space="preserve">Table </w:t>
      </w:r>
      <w:r w:rsidR="00255B1D">
        <w:t>20</w:t>
      </w:r>
      <w:r>
        <w:t xml:space="preserve"> Backlog Position by Site</w:t>
      </w:r>
    </w:p>
    <w:p w14:paraId="7BEB0914" w14:textId="77777777" w:rsidR="001D2E87" w:rsidRPr="00CE240B" w:rsidRDefault="001D2E87" w:rsidP="00CE240B">
      <w:pPr>
        <w:contextualSpacing/>
        <w:jc w:val="center"/>
        <w:rPr>
          <w:rFonts w:cs="Arial"/>
          <w:sz w:val="24"/>
        </w:rPr>
      </w:pPr>
    </w:p>
    <w:p w14:paraId="585C1CE3" w14:textId="77777777" w:rsidR="001D2E87" w:rsidRPr="007E7D73" w:rsidRDefault="001D2E87" w:rsidP="00CE240B">
      <w:pPr>
        <w:pStyle w:val="Heading2"/>
        <w:ind w:left="0"/>
        <w:rPr>
          <w:color w:val="0070C0"/>
        </w:rPr>
      </w:pPr>
      <w:r w:rsidRPr="007E7D73">
        <w:rPr>
          <w:color w:val="0070C0"/>
        </w:rPr>
        <w:t>3.6</w:t>
      </w:r>
      <w:r w:rsidRPr="007E7D73">
        <w:rPr>
          <w:color w:val="0070C0"/>
        </w:rPr>
        <w:tab/>
        <w:t>External Perspective</w:t>
      </w:r>
    </w:p>
    <w:p w14:paraId="4FA91B73" w14:textId="77777777" w:rsidR="007E7D73" w:rsidRPr="007E7D73" w:rsidRDefault="007E7D73" w:rsidP="007E7D73">
      <w:pPr>
        <w:rPr>
          <w:lang w:eastAsia="en-GB"/>
        </w:rPr>
      </w:pPr>
    </w:p>
    <w:p w14:paraId="60CD2102" w14:textId="77777777" w:rsidR="001D2E87" w:rsidRPr="00CE240B" w:rsidRDefault="001D2E87" w:rsidP="00CE240B">
      <w:pPr>
        <w:contextualSpacing/>
        <w:rPr>
          <w:rFonts w:cs="Arial"/>
          <w:sz w:val="24"/>
        </w:rPr>
      </w:pPr>
      <w:r w:rsidRPr="00CE240B">
        <w:rPr>
          <w:rFonts w:cs="Arial"/>
          <w:sz w:val="24"/>
        </w:rPr>
        <w:t xml:space="preserve">The Care Quality Commission have undertaken </w:t>
      </w:r>
      <w:proofErr w:type="gramStart"/>
      <w:r w:rsidRPr="00CE240B">
        <w:rPr>
          <w:rFonts w:cs="Arial"/>
          <w:sz w:val="24"/>
        </w:rPr>
        <w:t>a number of</w:t>
      </w:r>
      <w:proofErr w:type="gramEnd"/>
      <w:r w:rsidRPr="00CE240B">
        <w:rPr>
          <w:rFonts w:cs="Arial"/>
          <w:sz w:val="24"/>
        </w:rPr>
        <w:t xml:space="preserve"> comprehensive inspections of the Trust and continue to give an overall rating of </w:t>
      </w:r>
      <w:r w:rsidRPr="00CE240B">
        <w:rPr>
          <w:rFonts w:cs="Arial"/>
          <w:b/>
          <w:sz w:val="24"/>
        </w:rPr>
        <w:t>outstanding</w:t>
      </w:r>
      <w:r w:rsidRPr="00CE240B">
        <w:rPr>
          <w:rFonts w:cs="Arial"/>
          <w:sz w:val="24"/>
        </w:rPr>
        <w:t xml:space="preserve">.  </w:t>
      </w:r>
    </w:p>
    <w:p w14:paraId="51C84D65" w14:textId="77777777" w:rsidR="00CE240B" w:rsidRPr="007E7D73" w:rsidRDefault="00CE240B" w:rsidP="00CE240B">
      <w:pPr>
        <w:contextualSpacing/>
        <w:rPr>
          <w:rFonts w:cs="Arial"/>
          <w:b/>
          <w:color w:val="0070C0"/>
          <w:sz w:val="24"/>
        </w:rPr>
      </w:pPr>
    </w:p>
    <w:p w14:paraId="387833D3" w14:textId="40D8A1E9" w:rsidR="001D2E87" w:rsidRPr="007E7D73" w:rsidRDefault="001D2E87" w:rsidP="00CE240B">
      <w:pPr>
        <w:contextualSpacing/>
        <w:rPr>
          <w:rFonts w:cs="Arial"/>
          <w:b/>
          <w:color w:val="0070C0"/>
          <w:sz w:val="24"/>
        </w:rPr>
      </w:pPr>
      <w:r w:rsidRPr="007E7D73">
        <w:rPr>
          <w:rFonts w:cs="Arial"/>
          <w:b/>
          <w:color w:val="0070C0"/>
          <w:sz w:val="24"/>
        </w:rPr>
        <w:t>Care Quality Commission – Former NTW Services</w:t>
      </w:r>
    </w:p>
    <w:p w14:paraId="76690748" w14:textId="77777777" w:rsidR="001D2E87" w:rsidRPr="00CE240B" w:rsidRDefault="001D2E87" w:rsidP="002867BC">
      <w:pPr>
        <w:pStyle w:val="ListParagraph"/>
        <w:numPr>
          <w:ilvl w:val="0"/>
          <w:numId w:val="21"/>
        </w:numPr>
        <w:spacing w:before="120" w:after="120"/>
        <w:ind w:right="340"/>
        <w:jc w:val="both"/>
        <w:rPr>
          <w:rFonts w:cs="Arial"/>
          <w:sz w:val="24"/>
        </w:rPr>
      </w:pPr>
      <w:r w:rsidRPr="00CE240B">
        <w:rPr>
          <w:rFonts w:cs="Arial"/>
          <w:sz w:val="24"/>
        </w:rPr>
        <w:t xml:space="preserve">The Trust must ensure patients have access to a nurse call system in the event of an </w:t>
      </w:r>
      <w:proofErr w:type="gramStart"/>
      <w:r w:rsidRPr="00CE240B">
        <w:rPr>
          <w:rFonts w:cs="Arial"/>
          <w:sz w:val="24"/>
        </w:rPr>
        <w:t>emergency,</w:t>
      </w:r>
      <w:proofErr w:type="gramEnd"/>
      <w:r w:rsidRPr="00CE240B">
        <w:rPr>
          <w:rFonts w:cs="Arial"/>
          <w:sz w:val="24"/>
        </w:rPr>
        <w:t xml:space="preserve"> this was identified on </w:t>
      </w:r>
      <w:proofErr w:type="gramStart"/>
      <w:r w:rsidRPr="00CE240B">
        <w:rPr>
          <w:rFonts w:cs="Arial"/>
          <w:sz w:val="24"/>
        </w:rPr>
        <w:t>a number of</w:t>
      </w:r>
      <w:proofErr w:type="gramEnd"/>
      <w:r w:rsidRPr="00CE240B">
        <w:rPr>
          <w:rFonts w:cs="Arial"/>
          <w:sz w:val="24"/>
        </w:rPr>
        <w:t xml:space="preserve"> wards.</w:t>
      </w:r>
    </w:p>
    <w:p w14:paraId="364948FF" w14:textId="77777777" w:rsidR="001D2E87" w:rsidRPr="00CE240B" w:rsidRDefault="001D2E87" w:rsidP="002867BC">
      <w:pPr>
        <w:pStyle w:val="ListParagraph"/>
        <w:numPr>
          <w:ilvl w:val="0"/>
          <w:numId w:val="21"/>
        </w:numPr>
        <w:spacing w:before="120" w:after="120"/>
        <w:ind w:right="340"/>
        <w:jc w:val="both"/>
        <w:rPr>
          <w:rFonts w:cs="Arial"/>
          <w:sz w:val="24"/>
        </w:rPr>
      </w:pPr>
      <w:r w:rsidRPr="00CE240B">
        <w:rPr>
          <w:rFonts w:cs="Arial"/>
          <w:sz w:val="24"/>
        </w:rPr>
        <w:t xml:space="preserve">The need to address the environmental issues associated with the Newcastle adult acute wards </w:t>
      </w:r>
    </w:p>
    <w:p w14:paraId="34823195" w14:textId="77777777" w:rsidR="001D2E87" w:rsidRPr="00CE240B" w:rsidRDefault="001D2E87" w:rsidP="002867BC">
      <w:pPr>
        <w:pStyle w:val="ListParagraph"/>
        <w:numPr>
          <w:ilvl w:val="0"/>
          <w:numId w:val="21"/>
        </w:numPr>
        <w:spacing w:before="120" w:after="120"/>
        <w:ind w:right="340"/>
        <w:jc w:val="both"/>
        <w:rPr>
          <w:rFonts w:cs="Arial"/>
          <w:sz w:val="24"/>
        </w:rPr>
      </w:pPr>
      <w:r w:rsidRPr="00CE240B">
        <w:rPr>
          <w:rFonts w:cs="Arial"/>
          <w:sz w:val="24"/>
        </w:rPr>
        <w:t>The environment at Alnwood did not support children and young people’s recovery and is linked to high levels of mechanical restraint, concerns were raised about access to external space.</w:t>
      </w:r>
    </w:p>
    <w:p w14:paraId="29A847DA" w14:textId="77777777" w:rsidR="00CE240B" w:rsidRPr="007E7D73" w:rsidRDefault="00CE240B" w:rsidP="00CE240B">
      <w:pPr>
        <w:contextualSpacing/>
        <w:rPr>
          <w:rFonts w:cs="Arial"/>
          <w:b/>
          <w:color w:val="0070C0"/>
          <w:sz w:val="24"/>
        </w:rPr>
      </w:pPr>
    </w:p>
    <w:p w14:paraId="01B4FDE5" w14:textId="0C4E0F29" w:rsidR="001D2E87" w:rsidRDefault="001D2E87" w:rsidP="00CE240B">
      <w:pPr>
        <w:contextualSpacing/>
        <w:rPr>
          <w:rFonts w:cs="Arial"/>
          <w:b/>
          <w:color w:val="0070C0"/>
          <w:sz w:val="24"/>
        </w:rPr>
      </w:pPr>
      <w:r w:rsidRPr="007E7D73">
        <w:rPr>
          <w:rFonts w:cs="Arial"/>
          <w:b/>
          <w:color w:val="0070C0"/>
          <w:sz w:val="24"/>
        </w:rPr>
        <w:t>Care Quality Commission – Former Cumbria Services</w:t>
      </w:r>
    </w:p>
    <w:p w14:paraId="7704C622" w14:textId="77777777" w:rsidR="007E7D73" w:rsidRPr="007E7D73" w:rsidRDefault="007E7D73" w:rsidP="00CE240B">
      <w:pPr>
        <w:contextualSpacing/>
        <w:rPr>
          <w:rFonts w:cs="Arial"/>
          <w:b/>
          <w:color w:val="0070C0"/>
          <w:sz w:val="24"/>
        </w:rPr>
      </w:pPr>
    </w:p>
    <w:p w14:paraId="177CE8BA" w14:textId="06DF8700" w:rsidR="001D2E87" w:rsidRPr="00CE240B" w:rsidRDefault="001D2E87" w:rsidP="00CE240B">
      <w:pPr>
        <w:contextualSpacing/>
        <w:rPr>
          <w:rFonts w:cs="Arial"/>
          <w:sz w:val="24"/>
        </w:rPr>
      </w:pPr>
      <w:r w:rsidRPr="00CE240B">
        <w:rPr>
          <w:rFonts w:cs="Arial"/>
          <w:sz w:val="24"/>
        </w:rPr>
        <w:t xml:space="preserve">The CQC identified </w:t>
      </w:r>
      <w:proofErr w:type="gramStart"/>
      <w:r w:rsidRPr="00CE240B">
        <w:rPr>
          <w:rFonts w:cs="Arial"/>
          <w:sz w:val="24"/>
        </w:rPr>
        <w:t>a number of</w:t>
      </w:r>
      <w:proofErr w:type="gramEnd"/>
      <w:r w:rsidRPr="00CE240B">
        <w:rPr>
          <w:rFonts w:cs="Arial"/>
          <w:sz w:val="24"/>
        </w:rPr>
        <w:t xml:space="preserve"> estates issues in the Cumbria estate </w:t>
      </w:r>
      <w:r w:rsidR="002D27B6" w:rsidRPr="00CE240B">
        <w:rPr>
          <w:rFonts w:cs="Arial"/>
          <w:sz w:val="24"/>
        </w:rPr>
        <w:t>including.</w:t>
      </w:r>
    </w:p>
    <w:p w14:paraId="2DF8D355" w14:textId="77777777" w:rsidR="001D2E87" w:rsidRPr="00CE240B" w:rsidRDefault="001D2E87" w:rsidP="002867BC">
      <w:pPr>
        <w:pStyle w:val="ListParagraph"/>
        <w:numPr>
          <w:ilvl w:val="0"/>
          <w:numId w:val="21"/>
        </w:numPr>
        <w:spacing w:before="120" w:after="120"/>
        <w:ind w:right="340"/>
        <w:jc w:val="both"/>
        <w:rPr>
          <w:rFonts w:cs="Arial"/>
          <w:b/>
          <w:sz w:val="24"/>
        </w:rPr>
      </w:pPr>
      <w:r w:rsidRPr="00CE240B">
        <w:rPr>
          <w:rFonts w:cs="Arial"/>
          <w:sz w:val="24"/>
        </w:rPr>
        <w:t xml:space="preserve">The Trust must ensure patients have access to a nurse call system in the event of an </w:t>
      </w:r>
      <w:proofErr w:type="gramStart"/>
      <w:r w:rsidRPr="00CE240B">
        <w:rPr>
          <w:rFonts w:cs="Arial"/>
          <w:sz w:val="24"/>
        </w:rPr>
        <w:t>emergency,</w:t>
      </w:r>
      <w:proofErr w:type="gramEnd"/>
      <w:r w:rsidRPr="00CE240B">
        <w:rPr>
          <w:rFonts w:cs="Arial"/>
          <w:sz w:val="24"/>
        </w:rPr>
        <w:t xml:space="preserve"> this was identified on </w:t>
      </w:r>
      <w:proofErr w:type="gramStart"/>
      <w:r w:rsidRPr="00CE240B">
        <w:rPr>
          <w:rFonts w:cs="Arial"/>
          <w:sz w:val="24"/>
        </w:rPr>
        <w:t>a number of</w:t>
      </w:r>
      <w:proofErr w:type="gramEnd"/>
      <w:r w:rsidRPr="00CE240B">
        <w:rPr>
          <w:rFonts w:cs="Arial"/>
          <w:sz w:val="24"/>
        </w:rPr>
        <w:t xml:space="preserve"> wards.</w:t>
      </w:r>
    </w:p>
    <w:p w14:paraId="3DD0315B" w14:textId="77777777" w:rsidR="001D2E87" w:rsidRPr="00CE240B" w:rsidRDefault="001D2E87" w:rsidP="002867BC">
      <w:pPr>
        <w:pStyle w:val="ListParagraph"/>
        <w:numPr>
          <w:ilvl w:val="0"/>
          <w:numId w:val="21"/>
        </w:numPr>
        <w:spacing w:before="120" w:after="120"/>
        <w:ind w:right="340"/>
        <w:jc w:val="both"/>
        <w:rPr>
          <w:rFonts w:cs="Arial"/>
          <w:b/>
          <w:sz w:val="24"/>
        </w:rPr>
      </w:pPr>
      <w:r w:rsidRPr="00CE240B">
        <w:rPr>
          <w:rFonts w:cs="Arial"/>
          <w:sz w:val="24"/>
        </w:rPr>
        <w:t>Poor environment at both Carleton Clinic and Yewdale ward</w:t>
      </w:r>
    </w:p>
    <w:p w14:paraId="22906C9B" w14:textId="77777777" w:rsidR="00CE240B" w:rsidRDefault="00CE240B" w:rsidP="00CE240B">
      <w:pPr>
        <w:contextualSpacing/>
        <w:rPr>
          <w:rFonts w:cs="Arial"/>
          <w:b/>
          <w:sz w:val="24"/>
        </w:rPr>
      </w:pPr>
    </w:p>
    <w:p w14:paraId="770242DA" w14:textId="37D93343" w:rsidR="001D2E87" w:rsidRPr="007E7D73" w:rsidRDefault="001D2E87" w:rsidP="00CE240B">
      <w:pPr>
        <w:contextualSpacing/>
        <w:rPr>
          <w:rFonts w:cs="Arial"/>
          <w:b/>
          <w:color w:val="0070C0"/>
          <w:sz w:val="24"/>
        </w:rPr>
      </w:pPr>
      <w:r w:rsidRPr="007E7D73">
        <w:rPr>
          <w:rFonts w:cs="Arial"/>
          <w:b/>
          <w:color w:val="0070C0"/>
          <w:sz w:val="24"/>
        </w:rPr>
        <w:t>PLACE</w:t>
      </w:r>
    </w:p>
    <w:p w14:paraId="549C7709" w14:textId="77777777" w:rsidR="007E7D73" w:rsidRPr="00CE240B" w:rsidRDefault="007E7D73" w:rsidP="00CE240B">
      <w:pPr>
        <w:contextualSpacing/>
        <w:rPr>
          <w:rFonts w:cs="Arial"/>
          <w:b/>
          <w:sz w:val="24"/>
        </w:rPr>
      </w:pPr>
    </w:p>
    <w:p w14:paraId="2CCB9A62" w14:textId="77777777" w:rsidR="001D2E87" w:rsidRPr="00CE240B" w:rsidRDefault="001D2E87" w:rsidP="00CE240B">
      <w:pPr>
        <w:contextualSpacing/>
        <w:rPr>
          <w:rFonts w:cs="Arial"/>
          <w:sz w:val="24"/>
        </w:rPr>
      </w:pPr>
      <w:r w:rsidRPr="00CE240B">
        <w:rPr>
          <w:rFonts w:cs="Arial"/>
          <w:sz w:val="24"/>
        </w:rPr>
        <w:t xml:space="preserve">A patient led assessment of the care environment (PLACE), has been carried out covering a wide range of patient and public areas including wards and </w:t>
      </w:r>
      <w:proofErr w:type="gramStart"/>
      <w:r w:rsidRPr="00CE240B">
        <w:rPr>
          <w:rFonts w:cs="Arial"/>
          <w:sz w:val="24"/>
        </w:rPr>
        <w:t>outpatients</w:t>
      </w:r>
      <w:proofErr w:type="gramEnd"/>
      <w:r w:rsidRPr="00CE240B">
        <w:rPr>
          <w:rFonts w:cs="Arial"/>
          <w:sz w:val="24"/>
        </w:rPr>
        <w:t xml:space="preserve"> departments.</w:t>
      </w:r>
    </w:p>
    <w:p w14:paraId="2A9A6F54" w14:textId="77777777" w:rsidR="00255B1D" w:rsidRDefault="00255B1D" w:rsidP="00CE240B">
      <w:pPr>
        <w:contextualSpacing/>
        <w:rPr>
          <w:rFonts w:cs="Arial"/>
          <w:sz w:val="24"/>
        </w:rPr>
      </w:pPr>
    </w:p>
    <w:p w14:paraId="19EE7EBD" w14:textId="3526BFD7" w:rsidR="001D2E87" w:rsidRPr="00CE240B" w:rsidRDefault="001D2E87" w:rsidP="00CE240B">
      <w:pPr>
        <w:contextualSpacing/>
        <w:rPr>
          <w:rFonts w:cs="Arial"/>
          <w:sz w:val="24"/>
        </w:rPr>
      </w:pPr>
      <w:r w:rsidRPr="00CE240B">
        <w:rPr>
          <w:rFonts w:cs="Arial"/>
          <w:sz w:val="24"/>
        </w:rPr>
        <w:t xml:space="preserve">The aim of the PLACE assessments is to provide a snapshot of how an organisation is performing against a range of non-clinical activities which impact on the patient experience of care.  This includes cleanliness, the condition appearance and maintenance of healthcare premises, the extent to which the environment supports the delivery of care with privacy and dignity, the quality and availability of food and beverages, whether premises are equipped to meet the needs of dementia sufferers and how well hospital environments support those with disabilities. </w:t>
      </w:r>
    </w:p>
    <w:p w14:paraId="27E91DBE" w14:textId="77777777" w:rsidR="00255B1D" w:rsidRDefault="00255B1D" w:rsidP="00CE240B">
      <w:pPr>
        <w:contextualSpacing/>
        <w:rPr>
          <w:rFonts w:cs="Arial"/>
          <w:sz w:val="24"/>
        </w:rPr>
      </w:pPr>
    </w:p>
    <w:p w14:paraId="6D80EA08" w14:textId="76ADDDA9" w:rsidR="001D2E87" w:rsidRDefault="001D2E87" w:rsidP="00CE240B">
      <w:pPr>
        <w:contextualSpacing/>
        <w:rPr>
          <w:rFonts w:cs="Arial"/>
          <w:sz w:val="24"/>
        </w:rPr>
      </w:pPr>
      <w:r w:rsidRPr="00CE240B">
        <w:rPr>
          <w:rFonts w:cs="Arial"/>
          <w:sz w:val="24"/>
        </w:rPr>
        <w:t xml:space="preserve">The last assessment was carried out in 2022, the previous assessment being in 2019 with a gap occuring due to COVID. At the time of writing this strategy we are waiting for the scores to be published. In the 2019 assessment we scored above the national MH/LD average for “condition, appearance and </w:t>
      </w:r>
      <w:proofErr w:type="gramStart"/>
      <w:r w:rsidRPr="00CE240B">
        <w:rPr>
          <w:rFonts w:cs="Arial"/>
          <w:sz w:val="24"/>
        </w:rPr>
        <w:t>maintenance“ but</w:t>
      </w:r>
      <w:proofErr w:type="gramEnd"/>
      <w:r w:rsidRPr="00CE240B">
        <w:rPr>
          <w:rFonts w:cs="Arial"/>
          <w:sz w:val="24"/>
        </w:rPr>
        <w:t xml:space="preserve"> slightly below in the areas </w:t>
      </w:r>
      <w:r w:rsidR="002D27B6" w:rsidRPr="00CE240B">
        <w:rPr>
          <w:rFonts w:cs="Arial"/>
          <w:sz w:val="24"/>
        </w:rPr>
        <w:t>of:</w:t>
      </w:r>
      <w:r w:rsidRPr="00CE240B">
        <w:rPr>
          <w:rFonts w:cs="Arial"/>
          <w:sz w:val="24"/>
        </w:rPr>
        <w:t xml:space="preserve"> privacy and dignity, dementia and disability. These scores reflect the good condition of our estate but suggest we need to focus on aspects of quality and functional suitability </w:t>
      </w:r>
      <w:proofErr w:type="gramStart"/>
      <w:r w:rsidRPr="00CE240B">
        <w:rPr>
          <w:rFonts w:cs="Arial"/>
          <w:sz w:val="24"/>
        </w:rPr>
        <w:t>in order to</w:t>
      </w:r>
      <w:proofErr w:type="gramEnd"/>
      <w:r w:rsidRPr="00CE240B">
        <w:rPr>
          <w:rFonts w:cs="Arial"/>
          <w:sz w:val="24"/>
        </w:rPr>
        <w:t xml:space="preserve"> improve scores.</w:t>
      </w:r>
    </w:p>
    <w:p w14:paraId="36051B53" w14:textId="77777777" w:rsidR="007E7D73" w:rsidRDefault="007E7D73" w:rsidP="00CE240B">
      <w:pPr>
        <w:pStyle w:val="Heading2"/>
        <w:ind w:left="0"/>
      </w:pPr>
    </w:p>
    <w:p w14:paraId="1BB2358B" w14:textId="4A262FD0" w:rsidR="001D2E87" w:rsidRPr="007E7D73" w:rsidRDefault="001D2E87" w:rsidP="00CE240B">
      <w:pPr>
        <w:pStyle w:val="Heading2"/>
        <w:ind w:left="0"/>
        <w:rPr>
          <w:color w:val="0070C0"/>
        </w:rPr>
      </w:pPr>
      <w:r w:rsidRPr="007E7D73">
        <w:rPr>
          <w:color w:val="0070C0"/>
        </w:rPr>
        <w:t>3.7</w:t>
      </w:r>
      <w:r w:rsidRPr="007E7D73">
        <w:rPr>
          <w:color w:val="0070C0"/>
        </w:rPr>
        <w:tab/>
        <w:t xml:space="preserve">Summary </w:t>
      </w:r>
    </w:p>
    <w:p w14:paraId="4F9E5A47" w14:textId="77777777" w:rsidR="00CE240B" w:rsidRDefault="00CE240B" w:rsidP="00CE240B">
      <w:pPr>
        <w:rPr>
          <w:lang w:eastAsia="en-GB"/>
        </w:rPr>
      </w:pPr>
    </w:p>
    <w:p w14:paraId="06DA403F" w14:textId="77777777" w:rsidR="001D2E87" w:rsidRPr="00CE240B" w:rsidRDefault="001D2E87" w:rsidP="00CE240B">
      <w:pPr>
        <w:contextualSpacing/>
        <w:rPr>
          <w:rFonts w:cs="Arial"/>
          <w:sz w:val="24"/>
        </w:rPr>
      </w:pPr>
      <w:r w:rsidRPr="00CE240B">
        <w:rPr>
          <w:rFonts w:cs="Arial"/>
          <w:sz w:val="24"/>
        </w:rPr>
        <w:t xml:space="preserve">The Trust operates a diverse estate providing a range of accommodation types spread across a large geographical area. The accommodation is also subject to a wide range of tenure including freehold, PFI, leasehold, licence and service level agreement.  </w:t>
      </w:r>
    </w:p>
    <w:p w14:paraId="7DDF6BB4" w14:textId="77777777" w:rsidR="001D2E87" w:rsidRPr="00CE240B" w:rsidRDefault="001D2E87" w:rsidP="00CE240B">
      <w:pPr>
        <w:contextualSpacing/>
        <w:rPr>
          <w:rFonts w:cs="Arial"/>
          <w:sz w:val="24"/>
        </w:rPr>
      </w:pPr>
      <w:r w:rsidRPr="00CE240B">
        <w:rPr>
          <w:rFonts w:cs="Arial"/>
          <w:sz w:val="24"/>
        </w:rPr>
        <w:t xml:space="preserve">Since the last Estate Strategy there have been significant improvements across the 6 facets. </w:t>
      </w:r>
    </w:p>
    <w:p w14:paraId="7D5E0314" w14:textId="77777777" w:rsidR="00255B1D" w:rsidRDefault="00255B1D" w:rsidP="00CE240B">
      <w:pPr>
        <w:contextualSpacing/>
        <w:rPr>
          <w:rFonts w:cs="Arial"/>
          <w:sz w:val="24"/>
        </w:rPr>
      </w:pPr>
    </w:p>
    <w:p w14:paraId="7F33C8C8" w14:textId="01ADA34A" w:rsidR="001D2E87" w:rsidRPr="00CE240B" w:rsidRDefault="001D2E87" w:rsidP="00CE240B">
      <w:pPr>
        <w:contextualSpacing/>
        <w:rPr>
          <w:rFonts w:cs="Arial"/>
          <w:sz w:val="24"/>
        </w:rPr>
      </w:pPr>
      <w:r w:rsidRPr="00CE240B">
        <w:rPr>
          <w:rFonts w:cs="Arial"/>
          <w:sz w:val="24"/>
        </w:rPr>
        <w:t>Reductions in backlog maintenance position, bed numbers and number of sites has also helped to create an environment more suited to delivering fit for purpose healthcare.</w:t>
      </w:r>
    </w:p>
    <w:p w14:paraId="639C2498" w14:textId="77777777" w:rsidR="00255B1D" w:rsidRDefault="00255B1D" w:rsidP="00CE240B">
      <w:pPr>
        <w:contextualSpacing/>
        <w:rPr>
          <w:rFonts w:cs="Arial"/>
          <w:sz w:val="24"/>
        </w:rPr>
      </w:pPr>
    </w:p>
    <w:p w14:paraId="00AA8C2F" w14:textId="1AA91520" w:rsidR="001D2E87" w:rsidRPr="00CE240B" w:rsidRDefault="001D2E87" w:rsidP="00CE240B">
      <w:pPr>
        <w:contextualSpacing/>
        <w:rPr>
          <w:rFonts w:cs="Arial"/>
          <w:sz w:val="24"/>
          <w:highlight w:val="yellow"/>
        </w:rPr>
      </w:pPr>
      <w:r w:rsidRPr="00CE240B">
        <w:rPr>
          <w:rFonts w:cs="Arial"/>
          <w:sz w:val="24"/>
        </w:rPr>
        <w:t xml:space="preserve">However, the information also reveals </w:t>
      </w:r>
      <w:proofErr w:type="gramStart"/>
      <w:r w:rsidRPr="00CE240B">
        <w:rPr>
          <w:rFonts w:cs="Arial"/>
          <w:sz w:val="24"/>
        </w:rPr>
        <w:t>a number of</w:t>
      </w:r>
      <w:proofErr w:type="gramEnd"/>
      <w:r w:rsidRPr="00CE240B">
        <w:rPr>
          <w:rFonts w:cs="Arial"/>
          <w:sz w:val="24"/>
        </w:rPr>
        <w:t xml:space="preserve"> shortfalls in the condition of some Trust accomodation which will need to be targeted over the next 5 years, including:</w:t>
      </w:r>
    </w:p>
    <w:p w14:paraId="29D08D5D" w14:textId="77777777"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Improve any remaining areas of poor physical condition and high levels of backlog</w:t>
      </w:r>
    </w:p>
    <w:p w14:paraId="40CBFBA8" w14:textId="77777777"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 xml:space="preserve">Improve functional suitability and quality of parts of the estate </w:t>
      </w:r>
    </w:p>
    <w:p w14:paraId="6C823D53" w14:textId="165DE7B6"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 xml:space="preserve">Address areas of </w:t>
      </w:r>
      <w:r w:rsidR="002D27B6" w:rsidRPr="00CE240B">
        <w:rPr>
          <w:rFonts w:cs="Arial"/>
          <w:sz w:val="24"/>
        </w:rPr>
        <w:t>under-utilised</w:t>
      </w:r>
      <w:r w:rsidRPr="00CE240B">
        <w:rPr>
          <w:rFonts w:cs="Arial"/>
          <w:sz w:val="24"/>
        </w:rPr>
        <w:t xml:space="preserve"> space</w:t>
      </w:r>
    </w:p>
    <w:p w14:paraId="5B7780DA" w14:textId="24D30229"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 xml:space="preserve">Develop a strategy to exit poor quality / </w:t>
      </w:r>
      <w:r w:rsidR="002D27B6" w:rsidRPr="00CE240B">
        <w:rPr>
          <w:rFonts w:cs="Arial"/>
          <w:sz w:val="24"/>
        </w:rPr>
        <w:t>high-cost</w:t>
      </w:r>
      <w:r w:rsidRPr="00CE240B">
        <w:rPr>
          <w:rFonts w:cs="Arial"/>
          <w:sz w:val="24"/>
        </w:rPr>
        <w:t xml:space="preserve"> leasehold properties and re-provide</w:t>
      </w:r>
    </w:p>
    <w:p w14:paraId="12971406" w14:textId="77777777"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Address asset sale potential for a range of properties</w:t>
      </w:r>
    </w:p>
    <w:p w14:paraId="48E7E213" w14:textId="77777777" w:rsidR="001D2E87" w:rsidRPr="00CE240B" w:rsidRDefault="001D2E87" w:rsidP="002867BC">
      <w:pPr>
        <w:pStyle w:val="ListParagraph"/>
        <w:numPr>
          <w:ilvl w:val="0"/>
          <w:numId w:val="32"/>
        </w:numPr>
        <w:spacing w:before="120" w:after="120"/>
        <w:ind w:right="340"/>
        <w:jc w:val="both"/>
        <w:rPr>
          <w:rFonts w:cs="Arial"/>
          <w:sz w:val="24"/>
        </w:rPr>
      </w:pPr>
      <w:r w:rsidRPr="00CE240B">
        <w:rPr>
          <w:rFonts w:cs="Arial"/>
          <w:sz w:val="24"/>
        </w:rPr>
        <w:t>Improve the safety of our in-patient estate to reduce risks</w:t>
      </w:r>
    </w:p>
    <w:p w14:paraId="1C150C61" w14:textId="043CB025" w:rsidR="00650EED" w:rsidRPr="00255B1D" w:rsidRDefault="001D2E87" w:rsidP="00255B1D">
      <w:pPr>
        <w:pStyle w:val="ListParagraph"/>
        <w:numPr>
          <w:ilvl w:val="0"/>
          <w:numId w:val="32"/>
        </w:numPr>
        <w:spacing w:before="120" w:after="120"/>
        <w:ind w:right="340"/>
        <w:jc w:val="both"/>
        <w:rPr>
          <w:rFonts w:cs="Arial"/>
          <w:sz w:val="24"/>
        </w:rPr>
      </w:pPr>
      <w:r w:rsidRPr="00CE240B">
        <w:rPr>
          <w:rFonts w:cs="Arial"/>
          <w:sz w:val="24"/>
        </w:rPr>
        <w:lastRenderedPageBreak/>
        <w:t xml:space="preserve">Reduce carbon emissions and implement the Green Plan </w:t>
      </w:r>
    </w:p>
    <w:p w14:paraId="7B9E457B" w14:textId="7CF6140B" w:rsidR="00650EED" w:rsidRPr="007E7D73" w:rsidRDefault="001D2E87" w:rsidP="00650EED">
      <w:pPr>
        <w:pStyle w:val="Heading1"/>
      </w:pPr>
      <w:r w:rsidRPr="007E7D73">
        <w:t>4.0</w:t>
      </w:r>
      <w:r w:rsidRPr="007E7D73">
        <w:tab/>
        <w:t>Where do we want to be?</w:t>
      </w:r>
    </w:p>
    <w:p w14:paraId="322F7B2E" w14:textId="77777777" w:rsidR="001D2E87" w:rsidRDefault="001D2E87" w:rsidP="00650EED">
      <w:pPr>
        <w:pStyle w:val="Heading2"/>
        <w:ind w:left="0"/>
        <w:rPr>
          <w:color w:val="0070C0"/>
        </w:rPr>
      </w:pPr>
      <w:r w:rsidRPr="007E7D73">
        <w:rPr>
          <w:rFonts w:eastAsia="Times New Roman" w:cs="Arial"/>
          <w:color w:val="0070C0"/>
        </w:rPr>
        <w:t>4.</w:t>
      </w:r>
      <w:r w:rsidRPr="007E7D73">
        <w:rPr>
          <w:color w:val="0070C0"/>
        </w:rPr>
        <w:t>1</w:t>
      </w:r>
      <w:r w:rsidRPr="007E7D73">
        <w:rPr>
          <w:color w:val="0070C0"/>
        </w:rPr>
        <w:tab/>
        <w:t>Introduction</w:t>
      </w:r>
    </w:p>
    <w:p w14:paraId="17D26055" w14:textId="77777777" w:rsidR="007E7D73" w:rsidRDefault="007E7D73" w:rsidP="007E7D73">
      <w:pPr>
        <w:rPr>
          <w:lang w:eastAsia="en-GB"/>
        </w:rPr>
      </w:pPr>
    </w:p>
    <w:p w14:paraId="2C0E6676" w14:textId="076BE27C" w:rsidR="007E7D73" w:rsidRPr="007E7D73" w:rsidRDefault="007E7D73" w:rsidP="007E7D73">
      <w:pPr>
        <w:rPr>
          <w:lang w:eastAsia="en-GB"/>
        </w:rPr>
        <w:sectPr w:rsidR="007E7D73" w:rsidRPr="007E7D73" w:rsidSect="00650EED">
          <w:pgSz w:w="11906" w:h="16838"/>
          <w:pgMar w:top="426" w:right="1440" w:bottom="1135" w:left="1134" w:header="708" w:footer="708" w:gutter="0"/>
          <w:cols w:space="708"/>
          <w:docGrid w:linePitch="360"/>
        </w:sectPr>
      </w:pPr>
    </w:p>
    <w:p w14:paraId="3F7D8267" w14:textId="77777777" w:rsidR="001D2E87" w:rsidRPr="00CE240B" w:rsidRDefault="001D2E87" w:rsidP="00CE240B">
      <w:pPr>
        <w:widowControl w:val="0"/>
        <w:contextualSpacing/>
        <w:rPr>
          <w:rFonts w:cs="Arial"/>
          <w:sz w:val="24"/>
        </w:rPr>
      </w:pPr>
      <w:r w:rsidRPr="00CE240B">
        <w:rPr>
          <w:rFonts w:cs="Arial"/>
          <w:sz w:val="24"/>
        </w:rPr>
        <w:t xml:space="preserve">There are </w:t>
      </w:r>
      <w:proofErr w:type="gramStart"/>
      <w:r w:rsidRPr="00CE240B">
        <w:rPr>
          <w:rFonts w:cs="Arial"/>
          <w:sz w:val="24"/>
        </w:rPr>
        <w:t>a number of</w:t>
      </w:r>
      <w:proofErr w:type="gramEnd"/>
      <w:r w:rsidRPr="00CE240B">
        <w:rPr>
          <w:rFonts w:cs="Arial"/>
          <w:sz w:val="24"/>
        </w:rPr>
        <w:t xml:space="preserve"> local and national strategies, plans, assessments and initiatives etc. that shape both the Clinical and Operational services delivered by the Trust. In turn these influencing factors impact and help shape various aspects of the estate ranging from location, optimum tenure, size of estate, quality etc. </w:t>
      </w:r>
    </w:p>
    <w:p w14:paraId="17EB3B6D" w14:textId="77777777" w:rsidR="00255B1D" w:rsidRDefault="00255B1D" w:rsidP="00CE240B">
      <w:pPr>
        <w:contextualSpacing/>
        <w:rPr>
          <w:rFonts w:cs="Arial"/>
          <w:sz w:val="24"/>
        </w:rPr>
      </w:pPr>
    </w:p>
    <w:p w14:paraId="4D007DF9" w14:textId="273E3104" w:rsidR="001D2E87" w:rsidRPr="00CE240B" w:rsidRDefault="001D2E87" w:rsidP="00CE240B">
      <w:pPr>
        <w:contextualSpacing/>
        <w:rPr>
          <w:rFonts w:cs="Arial"/>
          <w:sz w:val="24"/>
        </w:rPr>
      </w:pPr>
      <w:r w:rsidRPr="00CE240B">
        <w:rPr>
          <w:rFonts w:cs="Arial"/>
          <w:sz w:val="24"/>
        </w:rPr>
        <w:t>Over the years, these influencing factors have driven significant change in the way the estate has been configured and will continue to do so in the future and by effectively reacting to these factors in a strategic way the Trust can deliver effective care in cost effective accommodation that positively supports the care provided.  These local and national strategies, plans, assessments and initiatives include:</w:t>
      </w:r>
    </w:p>
    <w:p w14:paraId="26EDA5CE"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Trust Strategies</w:t>
      </w:r>
    </w:p>
    <w:p w14:paraId="05FE9C57"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Care Quality Commission</w:t>
      </w:r>
    </w:p>
    <w:p w14:paraId="13C07A8B"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Cost improvement programs</w:t>
      </w:r>
    </w:p>
    <w:p w14:paraId="5A29DE2B"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CCG requirements</w:t>
      </w:r>
    </w:p>
    <w:p w14:paraId="133CEFE4"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NHS England requirements</w:t>
      </w:r>
    </w:p>
    <w:p w14:paraId="23CBB042"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Legislative change</w:t>
      </w:r>
    </w:p>
    <w:p w14:paraId="583590D1" w14:textId="77777777" w:rsidR="001D2E87" w:rsidRPr="00CE240B" w:rsidRDefault="001D2E87" w:rsidP="002867BC">
      <w:pPr>
        <w:pStyle w:val="ListParagraph"/>
        <w:numPr>
          <w:ilvl w:val="0"/>
          <w:numId w:val="52"/>
        </w:numPr>
        <w:spacing w:before="120" w:after="120"/>
        <w:ind w:right="340"/>
        <w:jc w:val="both"/>
        <w:rPr>
          <w:rFonts w:cs="Arial"/>
          <w:sz w:val="24"/>
        </w:rPr>
      </w:pPr>
      <w:r w:rsidRPr="00CE240B">
        <w:rPr>
          <w:rFonts w:cs="Arial"/>
          <w:sz w:val="24"/>
        </w:rPr>
        <w:t>Technological advancement</w:t>
      </w:r>
    </w:p>
    <w:p w14:paraId="1A018EA6" w14:textId="77777777" w:rsidR="001D2E87" w:rsidRPr="00255B1D" w:rsidRDefault="001D2E87" w:rsidP="00CE240B">
      <w:pPr>
        <w:contextualSpacing/>
        <w:rPr>
          <w:rFonts w:cs="Arial"/>
          <w:sz w:val="24"/>
        </w:rPr>
      </w:pPr>
      <w:r w:rsidRPr="00CE240B">
        <w:rPr>
          <w:rFonts w:cs="Arial"/>
          <w:sz w:val="24"/>
        </w:rPr>
        <w:t xml:space="preserve">The following sections provide more detail on the above and how they are likely to shape the strategic demands </w:t>
      </w:r>
      <w:r w:rsidRPr="00255B1D">
        <w:rPr>
          <w:rFonts w:cs="Arial"/>
          <w:sz w:val="24"/>
        </w:rPr>
        <w:t>required of the estate over the next 5 years so that the aspirations of the service can be effectively met.</w:t>
      </w:r>
    </w:p>
    <w:p w14:paraId="48CA3F49" w14:textId="77777777" w:rsidR="001D2E87" w:rsidRPr="00255B1D" w:rsidRDefault="001D2E87" w:rsidP="00CE240B">
      <w:pPr>
        <w:widowControl w:val="0"/>
        <w:ind w:left="720"/>
        <w:contextualSpacing/>
        <w:rPr>
          <w:rFonts w:eastAsia="Calibri" w:cs="Arial"/>
          <w:color w:val="595959"/>
          <w:sz w:val="24"/>
        </w:rPr>
        <w:sectPr w:rsidR="001D2E87" w:rsidRPr="00255B1D" w:rsidSect="00D5607D">
          <w:type w:val="continuous"/>
          <w:pgSz w:w="11906" w:h="16838"/>
          <w:pgMar w:top="1418" w:right="1134" w:bottom="1134" w:left="1134" w:header="708" w:footer="708" w:gutter="0"/>
          <w:cols w:space="227"/>
          <w:docGrid w:linePitch="360"/>
        </w:sectPr>
      </w:pPr>
    </w:p>
    <w:p w14:paraId="11EAAA37" w14:textId="7CC64EDA" w:rsidR="001D2E87" w:rsidRPr="007E7D73" w:rsidRDefault="001D2E87" w:rsidP="00650EED">
      <w:pPr>
        <w:pStyle w:val="Heading2"/>
        <w:ind w:left="0"/>
        <w:rPr>
          <w:color w:val="0070C0"/>
        </w:rPr>
        <w:sectPr w:rsidR="001D2E87" w:rsidRPr="007E7D73" w:rsidSect="00D5607D">
          <w:type w:val="continuous"/>
          <w:pgSz w:w="11906" w:h="16838"/>
          <w:pgMar w:top="1418" w:right="1134" w:bottom="1134" w:left="1134" w:header="708" w:footer="708" w:gutter="0"/>
          <w:cols w:space="708"/>
          <w:docGrid w:linePitch="360"/>
        </w:sectPr>
      </w:pPr>
      <w:r w:rsidRPr="007E7D73">
        <w:rPr>
          <w:color w:val="0070C0"/>
        </w:rPr>
        <w:t>4.2</w:t>
      </w:r>
      <w:r w:rsidRPr="007E7D73">
        <w:rPr>
          <w:color w:val="0070C0"/>
        </w:rPr>
        <w:tab/>
        <w:t>Trust Strategies, Priorities and Drivers</w:t>
      </w:r>
    </w:p>
    <w:p w14:paraId="3E63C43F" w14:textId="77777777" w:rsidR="00650EED" w:rsidRPr="00255B1D" w:rsidRDefault="00650EED" w:rsidP="00CE240B">
      <w:pPr>
        <w:contextualSpacing/>
        <w:rPr>
          <w:rFonts w:cs="Arial"/>
          <w:b/>
          <w:sz w:val="24"/>
        </w:rPr>
      </w:pPr>
    </w:p>
    <w:p w14:paraId="7290B986" w14:textId="13B2689B" w:rsidR="001D2E87" w:rsidRDefault="001D2E87" w:rsidP="00650EED">
      <w:pPr>
        <w:rPr>
          <w:color w:val="0070C0"/>
          <w:sz w:val="24"/>
        </w:rPr>
      </w:pPr>
      <w:r w:rsidRPr="007E7D73">
        <w:rPr>
          <w:color w:val="0070C0"/>
          <w:sz w:val="24"/>
        </w:rPr>
        <w:t>4.2.1</w:t>
      </w:r>
      <w:r w:rsidRPr="007E7D73">
        <w:rPr>
          <w:color w:val="0070C0"/>
          <w:sz w:val="24"/>
        </w:rPr>
        <w:tab/>
        <w:t>Caring, discovering, growing: Together</w:t>
      </w:r>
    </w:p>
    <w:p w14:paraId="54418DA9" w14:textId="77777777" w:rsidR="007E7D73" w:rsidRPr="007E7D73" w:rsidRDefault="007E7D73" w:rsidP="00650EED">
      <w:pPr>
        <w:rPr>
          <w:color w:val="0070C0"/>
          <w:sz w:val="24"/>
        </w:rPr>
      </w:pPr>
    </w:p>
    <w:p w14:paraId="352A36B4" w14:textId="77777777" w:rsidR="001D2E87" w:rsidRPr="00CE240B" w:rsidRDefault="001D2E87" w:rsidP="00CE240B">
      <w:pPr>
        <w:contextualSpacing/>
        <w:rPr>
          <w:rFonts w:cs="Arial"/>
          <w:sz w:val="24"/>
        </w:rPr>
      </w:pPr>
      <w:r w:rsidRPr="00CE240B">
        <w:rPr>
          <w:rFonts w:cs="Arial"/>
          <w:sz w:val="24"/>
        </w:rPr>
        <w:t>The trust is currently in the process of updating its operational and clinical strategies of which this Estates strategy is classed as an enabling strategy. In developing this strategy, utilisation of the previous Trust strategy, Caring, discovering, growing: Together, has been utilised along with updated quality priorities and other relevant Trust guidance.</w:t>
      </w:r>
    </w:p>
    <w:p w14:paraId="2F8155F5" w14:textId="77777777" w:rsidR="001D2E87" w:rsidRPr="00CE240B" w:rsidRDefault="001D2E87" w:rsidP="00CE240B">
      <w:pPr>
        <w:widowControl w:val="0"/>
        <w:ind w:left="720"/>
        <w:contextualSpacing/>
        <w:rPr>
          <w:rFonts w:eastAsia="Calibri" w:cs="Arial"/>
          <w:color w:val="595959"/>
          <w:sz w:val="24"/>
        </w:rPr>
        <w:sectPr w:rsidR="001D2E87" w:rsidRPr="00CE240B" w:rsidSect="00D5607D">
          <w:type w:val="continuous"/>
          <w:pgSz w:w="11906" w:h="16838"/>
          <w:pgMar w:top="1418" w:right="1134" w:bottom="1134" w:left="1134" w:header="708" w:footer="708" w:gutter="0"/>
          <w:cols w:space="227"/>
          <w:docGrid w:linePitch="360"/>
        </w:sectPr>
      </w:pPr>
    </w:p>
    <w:p w14:paraId="0FCB652F" w14:textId="77777777" w:rsidR="001D2E87" w:rsidRPr="00CE240B" w:rsidRDefault="001D2E87" w:rsidP="00CE240B">
      <w:pPr>
        <w:contextualSpacing/>
        <w:rPr>
          <w:rFonts w:cs="Arial"/>
          <w:sz w:val="24"/>
        </w:rPr>
      </w:pPr>
      <w:r w:rsidRPr="00CE240B">
        <w:rPr>
          <w:rFonts w:cs="Arial"/>
          <w:sz w:val="24"/>
        </w:rPr>
        <w:t>The strategy, ‘</w:t>
      </w:r>
      <w:r w:rsidRPr="00CE240B">
        <w:rPr>
          <w:rFonts w:cs="Arial"/>
          <w:b/>
          <w:sz w:val="24"/>
        </w:rPr>
        <w:t>Caring, discovering, growing: Together’</w:t>
      </w:r>
      <w:r w:rsidRPr="00CE240B">
        <w:rPr>
          <w:rFonts w:cs="Arial"/>
          <w:sz w:val="24"/>
        </w:rPr>
        <w:t xml:space="preserve"> developed 6 strategic ambitions which are:</w:t>
      </w:r>
    </w:p>
    <w:p w14:paraId="08F57300"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Working together with service users and carers we will provide excellent care, supporting people on their personal journey to wellbeing.</w:t>
      </w:r>
    </w:p>
    <w:p w14:paraId="4B497FF2"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With people, communities and partners, together we will promote prevention, early intervention and resilience.</w:t>
      </w:r>
    </w:p>
    <w:p w14:paraId="5DBE428D"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Working with partners there will be “no health without mental health” and services will be “joined up”.</w:t>
      </w:r>
    </w:p>
    <w:p w14:paraId="670BFAAE"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The Trust’s mental health and disability services will be sustainable and deliver real value to the people who use them.</w:t>
      </w:r>
    </w:p>
    <w:p w14:paraId="519CCEC9"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The Trust will be a centre of excellence for mental health and disability.</w:t>
      </w:r>
    </w:p>
    <w:p w14:paraId="07B5CC3D" w14:textId="77777777" w:rsidR="001D2E87" w:rsidRPr="00CE240B" w:rsidRDefault="001D2E87" w:rsidP="002867BC">
      <w:pPr>
        <w:pStyle w:val="ListParagraph"/>
        <w:numPr>
          <w:ilvl w:val="0"/>
          <w:numId w:val="49"/>
        </w:numPr>
        <w:spacing w:before="120" w:after="120"/>
        <w:ind w:right="340"/>
        <w:jc w:val="both"/>
        <w:rPr>
          <w:rFonts w:cs="Arial"/>
          <w:sz w:val="24"/>
        </w:rPr>
      </w:pPr>
      <w:r w:rsidRPr="00CE240B">
        <w:rPr>
          <w:rFonts w:cs="Arial"/>
          <w:sz w:val="24"/>
        </w:rPr>
        <w:t>The Trust will be regarded as a great place to work.</w:t>
      </w:r>
    </w:p>
    <w:p w14:paraId="760AD84B" w14:textId="77777777" w:rsidR="00650EED" w:rsidRDefault="00650EED" w:rsidP="00CE240B">
      <w:pPr>
        <w:contextualSpacing/>
        <w:rPr>
          <w:rFonts w:cs="Arial"/>
          <w:sz w:val="24"/>
        </w:rPr>
      </w:pPr>
    </w:p>
    <w:p w14:paraId="6469041E" w14:textId="70332B23" w:rsidR="001D2E87" w:rsidRPr="00CE240B" w:rsidRDefault="001D2E87" w:rsidP="00CE240B">
      <w:pPr>
        <w:contextualSpacing/>
        <w:rPr>
          <w:rFonts w:cs="Arial"/>
          <w:sz w:val="24"/>
        </w:rPr>
      </w:pPr>
      <w:r w:rsidRPr="00CE240B">
        <w:rPr>
          <w:rFonts w:cs="Arial"/>
          <w:sz w:val="24"/>
        </w:rPr>
        <w:t xml:space="preserve">Each of CNTW’s strategic ambitions are underpinned by high level, measurable goals. These focus on Trust-wide issues for example care models, </w:t>
      </w:r>
      <w:r w:rsidRPr="00CE240B">
        <w:rPr>
          <w:rFonts w:cs="Arial"/>
          <w:b/>
          <w:sz w:val="24"/>
        </w:rPr>
        <w:t>changes to the estate</w:t>
      </w:r>
      <w:r w:rsidRPr="00CE240B">
        <w:rPr>
          <w:rFonts w:cs="Arial"/>
          <w:sz w:val="24"/>
        </w:rPr>
        <w:t xml:space="preserve"> and partnership working. </w:t>
      </w:r>
    </w:p>
    <w:p w14:paraId="291A476F" w14:textId="77777777" w:rsidR="00650EED" w:rsidRDefault="00650EED" w:rsidP="00CE240B">
      <w:pPr>
        <w:contextualSpacing/>
        <w:rPr>
          <w:rFonts w:cs="Arial"/>
          <w:sz w:val="24"/>
        </w:rPr>
      </w:pPr>
    </w:p>
    <w:p w14:paraId="2BCFE970" w14:textId="3EA3B317" w:rsidR="001D2E87" w:rsidRPr="00CE240B" w:rsidRDefault="001D2E87" w:rsidP="00CE240B">
      <w:pPr>
        <w:contextualSpacing/>
        <w:rPr>
          <w:rFonts w:cs="Arial"/>
          <w:sz w:val="24"/>
        </w:rPr>
      </w:pPr>
      <w:r w:rsidRPr="00CE240B">
        <w:rPr>
          <w:rFonts w:cs="Arial"/>
          <w:sz w:val="24"/>
        </w:rPr>
        <w:lastRenderedPageBreak/>
        <w:t>A further element to CNTW’s strategy is the major change programme of work. This sets out the significant service developments (</w:t>
      </w:r>
      <w:r w:rsidRPr="00CE240B">
        <w:rPr>
          <w:rFonts w:cs="Arial"/>
          <w:b/>
          <w:sz w:val="24"/>
        </w:rPr>
        <w:t>including estates programmes</w:t>
      </w:r>
      <w:r w:rsidRPr="00CE240B">
        <w:rPr>
          <w:rFonts w:cs="Arial"/>
          <w:sz w:val="24"/>
        </w:rPr>
        <w:t>) which will contribute to the different strategic ambitions. These include:</w:t>
      </w:r>
    </w:p>
    <w:p w14:paraId="623B2ECC"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Delivering excellence in in-patient care: In-patient care is provided in </w:t>
      </w:r>
      <w:r w:rsidRPr="00CE240B">
        <w:rPr>
          <w:rFonts w:cs="Arial"/>
          <w:b/>
          <w:sz w:val="24"/>
        </w:rPr>
        <w:t>fit for purpose facilities</w:t>
      </w:r>
      <w:r w:rsidRPr="00CE240B">
        <w:rPr>
          <w:rFonts w:cs="Arial"/>
          <w:sz w:val="24"/>
        </w:rPr>
        <w:t>, with common standards of care and support, responsively, 7 days per week, within the constraints of the resources available to us</w:t>
      </w:r>
    </w:p>
    <w:p w14:paraId="137F4265" w14:textId="6D947365"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Great </w:t>
      </w:r>
      <w:r w:rsidRPr="00CE240B">
        <w:rPr>
          <w:rFonts w:cs="Arial"/>
          <w:b/>
          <w:sz w:val="24"/>
        </w:rPr>
        <w:t>care in the community</w:t>
      </w:r>
      <w:r w:rsidRPr="00CE240B">
        <w:rPr>
          <w:rFonts w:cs="Arial"/>
          <w:sz w:val="24"/>
        </w:rPr>
        <w:t xml:space="preserve">: Roll out new community </w:t>
      </w:r>
      <w:r w:rsidR="002D27B6" w:rsidRPr="00CE240B">
        <w:rPr>
          <w:rFonts w:cs="Arial"/>
          <w:sz w:val="24"/>
        </w:rPr>
        <w:t>evidence-based</w:t>
      </w:r>
      <w:r w:rsidRPr="00CE240B">
        <w:rPr>
          <w:rFonts w:cs="Arial"/>
          <w:sz w:val="24"/>
        </w:rPr>
        <w:t xml:space="preserve"> care pathways and ensure that our community services work alongside our partners to ensure people’s holistic needs are met. We will deliver community services which demonstrably deliver value for money in terms of productivity and outcomes</w:t>
      </w:r>
    </w:p>
    <w:p w14:paraId="1422E0F4"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Building the right support: Transforming services for people with learning disabilities and autism: We will </w:t>
      </w:r>
      <w:r w:rsidRPr="00CE240B">
        <w:rPr>
          <w:rFonts w:cs="Arial"/>
          <w:b/>
          <w:sz w:val="24"/>
        </w:rPr>
        <w:t>close the agreed number of adult beds</w:t>
      </w:r>
      <w:r w:rsidRPr="00CE240B">
        <w:rPr>
          <w:rFonts w:cs="Arial"/>
          <w:sz w:val="24"/>
        </w:rPr>
        <w:t xml:space="preserve">, in line with the national programme. We will work to ensure a patch wide approach to improving services for people with a learning disability and autism, using our expertise alongside partners to transform the services across the whole pathway in all localities. We will </w:t>
      </w:r>
      <w:r w:rsidRPr="00CE240B">
        <w:rPr>
          <w:rFonts w:cs="Arial"/>
          <w:b/>
          <w:sz w:val="24"/>
        </w:rPr>
        <w:t>develop</w:t>
      </w:r>
      <w:r w:rsidRPr="00CE240B">
        <w:rPr>
          <w:rFonts w:cs="Arial"/>
          <w:sz w:val="24"/>
        </w:rPr>
        <w:t xml:space="preserve"> our provision of world class </w:t>
      </w:r>
      <w:r w:rsidRPr="00CE240B">
        <w:rPr>
          <w:rFonts w:cs="Arial"/>
          <w:b/>
          <w:sz w:val="24"/>
        </w:rPr>
        <w:t>in-patient services</w:t>
      </w:r>
      <w:r w:rsidRPr="00CE240B">
        <w:rPr>
          <w:rFonts w:cs="Arial"/>
          <w:sz w:val="24"/>
        </w:rPr>
        <w:t xml:space="preserve"> for people with autism with the most complex needs</w:t>
      </w:r>
    </w:p>
    <w:p w14:paraId="191CB654"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Building resilience for people and communities: We will, as an integral part of local integrated care systems, play a leading role with partners in developing a patch wide approach to building resilience for people and communities. We will work with all partners and agencies to enable people, their families, carers and communities to better manage mental illness, including its precursors, and disability</w:t>
      </w:r>
    </w:p>
    <w:p w14:paraId="7D8B6524"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Our Future for Children and Young People- </w:t>
      </w:r>
      <w:r w:rsidRPr="00CE240B">
        <w:rPr>
          <w:rFonts w:cs="Arial"/>
          <w:b/>
          <w:sz w:val="24"/>
        </w:rPr>
        <w:t>improved access to community services</w:t>
      </w:r>
      <w:r w:rsidRPr="00CE240B">
        <w:rPr>
          <w:rFonts w:cs="Arial"/>
          <w:sz w:val="24"/>
        </w:rPr>
        <w:t>: We will promote and play an integral part in delivering a system wide approach to improving services for children and young people, collaborating with all partners</w:t>
      </w:r>
    </w:p>
    <w:p w14:paraId="67B411DC"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Enabling the system to support your whole needs: We will promote a </w:t>
      </w:r>
      <w:r w:rsidRPr="00CE240B">
        <w:rPr>
          <w:rFonts w:cs="Arial"/>
          <w:b/>
          <w:sz w:val="24"/>
        </w:rPr>
        <w:t>patch wide approach</w:t>
      </w:r>
      <w:r w:rsidRPr="00CE240B">
        <w:rPr>
          <w:rFonts w:cs="Arial"/>
          <w:sz w:val="24"/>
        </w:rPr>
        <w:t xml:space="preserve"> to better supporting people’s whole needs, working with all local acute hospitals and community service providers to integrate mental health into physical health pathways</w:t>
      </w:r>
    </w:p>
    <w:p w14:paraId="021E0176" w14:textId="77777777" w:rsidR="001D2E87" w:rsidRPr="00CE240B" w:rsidRDefault="001D2E87" w:rsidP="002867BC">
      <w:pPr>
        <w:pStyle w:val="ListParagraph"/>
        <w:numPr>
          <w:ilvl w:val="0"/>
          <w:numId w:val="35"/>
        </w:numPr>
        <w:spacing w:before="120" w:after="120"/>
        <w:ind w:right="340"/>
        <w:jc w:val="both"/>
        <w:rPr>
          <w:rFonts w:cs="Arial"/>
          <w:sz w:val="24"/>
        </w:rPr>
      </w:pPr>
      <w:r w:rsidRPr="00CE240B">
        <w:rPr>
          <w:rFonts w:cs="Arial"/>
          <w:sz w:val="24"/>
        </w:rPr>
        <w:t xml:space="preserve">Our Future for Children and Young People-Care for the most vulnerable: We will </w:t>
      </w:r>
      <w:r w:rsidRPr="00CE240B">
        <w:rPr>
          <w:rFonts w:cs="Arial"/>
          <w:b/>
          <w:sz w:val="24"/>
        </w:rPr>
        <w:t>not provide</w:t>
      </w:r>
      <w:r w:rsidRPr="00CE240B">
        <w:rPr>
          <w:rFonts w:cs="Arial"/>
          <w:sz w:val="24"/>
        </w:rPr>
        <w:t xml:space="preserve"> </w:t>
      </w:r>
      <w:r w:rsidRPr="00CE240B">
        <w:rPr>
          <w:rFonts w:cs="Arial"/>
          <w:b/>
          <w:sz w:val="24"/>
        </w:rPr>
        <w:t>young people’s specialist inpatient services from the current location of Alnwood</w:t>
      </w:r>
      <w:r w:rsidRPr="00CE240B">
        <w:rPr>
          <w:rFonts w:cs="Arial"/>
          <w:sz w:val="24"/>
        </w:rPr>
        <w:t xml:space="preserve"> in the medium term and will re-provide those services from alternative accommodation or exit from the market. We will develop a sustainable model of care for children and young people requiring specialist in-patient support.</w:t>
      </w:r>
    </w:p>
    <w:p w14:paraId="64E743A9" w14:textId="77777777" w:rsidR="00650EED" w:rsidRDefault="00650EED" w:rsidP="00CE240B">
      <w:pPr>
        <w:contextualSpacing/>
        <w:rPr>
          <w:rFonts w:cs="Arial"/>
          <w:sz w:val="24"/>
        </w:rPr>
      </w:pPr>
    </w:p>
    <w:p w14:paraId="542ACBDB" w14:textId="1918BBBF" w:rsidR="001D2E87" w:rsidRPr="00CE240B" w:rsidRDefault="001D2E87" w:rsidP="00CE240B">
      <w:pPr>
        <w:contextualSpacing/>
        <w:rPr>
          <w:rFonts w:cs="Arial"/>
          <w:i/>
          <w:sz w:val="24"/>
        </w:rPr>
        <w:sectPr w:rsidR="001D2E87" w:rsidRPr="00CE240B" w:rsidSect="00D5607D">
          <w:type w:val="continuous"/>
          <w:pgSz w:w="11906" w:h="16838"/>
          <w:pgMar w:top="1418" w:right="1134" w:bottom="1134" w:left="1134" w:header="708" w:footer="708" w:gutter="0"/>
          <w:cols w:space="227"/>
          <w:docGrid w:linePitch="360"/>
        </w:sectPr>
      </w:pPr>
      <w:r w:rsidRPr="00CE240B">
        <w:rPr>
          <w:rFonts w:cs="Arial"/>
          <w:sz w:val="24"/>
        </w:rPr>
        <w:t xml:space="preserve">The proposals in this </w:t>
      </w:r>
      <w:proofErr w:type="gramStart"/>
      <w:r w:rsidRPr="00CE240B">
        <w:rPr>
          <w:rFonts w:cs="Arial"/>
          <w:sz w:val="24"/>
        </w:rPr>
        <w:t>estates</w:t>
      </w:r>
      <w:proofErr w:type="gramEnd"/>
      <w:r w:rsidRPr="00CE240B">
        <w:rPr>
          <w:rFonts w:cs="Arial"/>
          <w:sz w:val="24"/>
        </w:rPr>
        <w:t xml:space="preserve"> strategy are directly related to the support of the Trusts strategic ambitions.</w:t>
      </w:r>
    </w:p>
    <w:p w14:paraId="653FEBB6" w14:textId="77777777" w:rsidR="001D2E87" w:rsidRPr="00CE240B" w:rsidRDefault="001D2E87" w:rsidP="00CE240B">
      <w:pPr>
        <w:widowControl w:val="0"/>
        <w:ind w:left="360"/>
        <w:contextualSpacing/>
        <w:rPr>
          <w:rFonts w:cs="Arial"/>
          <w:b/>
          <w:sz w:val="24"/>
        </w:rPr>
      </w:pPr>
    </w:p>
    <w:p w14:paraId="6042827A" w14:textId="77777777" w:rsidR="001D2E87" w:rsidRDefault="001D2E87" w:rsidP="00CE240B">
      <w:pPr>
        <w:widowControl w:val="0"/>
        <w:ind w:left="360"/>
        <w:contextualSpacing/>
        <w:rPr>
          <w:rFonts w:cs="Arial"/>
          <w:b/>
          <w:sz w:val="24"/>
        </w:rPr>
      </w:pPr>
    </w:p>
    <w:p w14:paraId="616C8664" w14:textId="77777777" w:rsidR="007E7D73" w:rsidRPr="00CE240B" w:rsidRDefault="007E7D73" w:rsidP="00CE240B">
      <w:pPr>
        <w:widowControl w:val="0"/>
        <w:ind w:left="360"/>
        <w:contextualSpacing/>
        <w:rPr>
          <w:rFonts w:cs="Arial"/>
          <w:b/>
          <w:sz w:val="24"/>
        </w:rPr>
      </w:pPr>
    </w:p>
    <w:p w14:paraId="72946898" w14:textId="77777777" w:rsidR="001D2E87" w:rsidRPr="007E7D73" w:rsidRDefault="001D2E87" w:rsidP="00650EED">
      <w:pPr>
        <w:widowControl w:val="0"/>
        <w:contextualSpacing/>
        <w:rPr>
          <w:rFonts w:eastAsia="Calibri" w:cs="Arial"/>
          <w:color w:val="0070C0"/>
          <w:sz w:val="24"/>
        </w:rPr>
      </w:pPr>
      <w:r w:rsidRPr="007E7D73">
        <w:rPr>
          <w:rFonts w:cs="Arial"/>
          <w:b/>
          <w:color w:val="0070C0"/>
          <w:sz w:val="24"/>
        </w:rPr>
        <w:t>4.2.2</w:t>
      </w:r>
      <w:r w:rsidRPr="007E7D73">
        <w:rPr>
          <w:rFonts w:cs="Arial"/>
          <w:b/>
          <w:color w:val="0070C0"/>
          <w:sz w:val="24"/>
        </w:rPr>
        <w:tab/>
        <w:t>Trust Quality Priorities</w:t>
      </w:r>
    </w:p>
    <w:p w14:paraId="2F675CA7" w14:textId="77777777" w:rsidR="001D2E87" w:rsidRDefault="001D2E87" w:rsidP="00CE240B">
      <w:pPr>
        <w:contextualSpacing/>
        <w:rPr>
          <w:rFonts w:cs="Arial"/>
          <w:b/>
          <w:sz w:val="24"/>
        </w:rPr>
      </w:pPr>
    </w:p>
    <w:p w14:paraId="427D8D19" w14:textId="77777777" w:rsidR="007E7D73" w:rsidRPr="00CE240B" w:rsidRDefault="007E7D73" w:rsidP="00CE240B">
      <w:pPr>
        <w:contextualSpacing/>
        <w:rPr>
          <w:rFonts w:cs="Arial"/>
          <w:b/>
          <w:sz w:val="24"/>
        </w:rPr>
        <w:sectPr w:rsidR="007E7D73" w:rsidRPr="00CE240B" w:rsidSect="00D5607D">
          <w:type w:val="continuous"/>
          <w:pgSz w:w="11906" w:h="16838"/>
          <w:pgMar w:top="1418" w:right="1134" w:bottom="1134" w:left="1134" w:header="708" w:footer="708" w:gutter="0"/>
          <w:cols w:space="227"/>
          <w:docGrid w:linePitch="360"/>
        </w:sectPr>
      </w:pPr>
    </w:p>
    <w:p w14:paraId="659AD7EA" w14:textId="7B1504D4" w:rsidR="001D2E87" w:rsidRPr="00CE240B" w:rsidRDefault="001D2E87" w:rsidP="00CE240B">
      <w:pPr>
        <w:contextualSpacing/>
        <w:rPr>
          <w:rFonts w:eastAsia="Calibri" w:cs="Arial"/>
          <w:color w:val="595959"/>
          <w:sz w:val="24"/>
        </w:rPr>
        <w:sectPr w:rsidR="001D2E87" w:rsidRPr="00CE240B" w:rsidSect="00D5607D">
          <w:type w:val="continuous"/>
          <w:pgSz w:w="11906" w:h="16838"/>
          <w:pgMar w:top="1418" w:right="1134" w:bottom="1134" w:left="1134" w:header="708" w:footer="708" w:gutter="0"/>
          <w:cols w:space="227"/>
          <w:docGrid w:linePitch="360"/>
        </w:sectPr>
      </w:pPr>
      <w:r w:rsidRPr="00CE240B">
        <w:rPr>
          <w:rFonts w:cs="Arial"/>
          <w:noProof/>
          <w:sz w:val="24"/>
          <w:lang w:eastAsia="en-GB"/>
        </w:rPr>
        <w:lastRenderedPageBreak/>
        <w:drawing>
          <wp:anchor distT="0" distB="0" distL="114300" distR="114300" simplePos="0" relativeHeight="251684864" behindDoc="0" locked="0" layoutInCell="1" allowOverlap="1" wp14:anchorId="298318B9" wp14:editId="25583C23">
            <wp:simplePos x="0" y="0"/>
            <wp:positionH relativeFrom="margin">
              <wp:align>center</wp:align>
            </wp:positionH>
            <wp:positionV relativeFrom="paragraph">
              <wp:posOffset>1018600</wp:posOffset>
            </wp:positionV>
            <wp:extent cx="5038725" cy="421005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038725" cy="4210050"/>
                    </a:xfrm>
                    <a:prstGeom prst="rect">
                      <a:avLst/>
                    </a:prstGeom>
                  </pic:spPr>
                </pic:pic>
              </a:graphicData>
            </a:graphic>
          </wp:anchor>
        </w:drawing>
      </w:r>
      <w:r w:rsidRPr="00CE240B">
        <w:rPr>
          <w:rFonts w:cs="Arial"/>
          <w:sz w:val="24"/>
        </w:rPr>
        <w:t>The Trusts Quality Priorities relating to improving the service user and carer experience are shown in</w:t>
      </w:r>
      <w:r w:rsidR="00DA25FC">
        <w:rPr>
          <w:rFonts w:cs="Arial"/>
          <w:sz w:val="24"/>
        </w:rPr>
        <w:t xml:space="preserve"> figure 15 </w:t>
      </w:r>
      <w:r w:rsidRPr="00CE240B">
        <w:rPr>
          <w:rFonts w:cs="Arial"/>
          <w:sz w:val="24"/>
        </w:rPr>
        <w:t xml:space="preserve">below.  </w:t>
      </w:r>
      <w:r w:rsidRPr="00CE240B">
        <w:rPr>
          <w:rFonts w:eastAsia="Calibri" w:cs="Arial"/>
          <w:color w:val="595959"/>
          <w:sz w:val="24"/>
        </w:rPr>
        <w:t>The overall aspiration of the Trust is to ensure that people with a mental illness or disability can access consistently good quality care and treatment services that meet their individual needs.</w:t>
      </w:r>
    </w:p>
    <w:p w14:paraId="005A1210" w14:textId="77777777" w:rsidR="001D2E87" w:rsidRPr="00CE240B" w:rsidRDefault="001D2E87" w:rsidP="00CE240B">
      <w:pPr>
        <w:contextualSpacing/>
        <w:rPr>
          <w:rFonts w:cs="Arial"/>
          <w:sz w:val="24"/>
        </w:rPr>
      </w:pPr>
    </w:p>
    <w:p w14:paraId="1A73B26D" w14:textId="46329263" w:rsidR="001D2E87" w:rsidRPr="00CE240B" w:rsidRDefault="001D2E87" w:rsidP="00CE240B">
      <w:pPr>
        <w:contextualSpacing/>
        <w:jc w:val="center"/>
        <w:rPr>
          <w:rFonts w:eastAsia="Calibri" w:cs="Arial"/>
          <w:color w:val="595959"/>
          <w:sz w:val="24"/>
        </w:rPr>
      </w:pPr>
      <w:r>
        <w:t>Figure 1</w:t>
      </w:r>
      <w:r w:rsidR="00DA25FC">
        <w:t>5</w:t>
      </w:r>
      <w:r>
        <w:t xml:space="preserve"> Trust Quality Priorities 2022/23</w:t>
      </w:r>
    </w:p>
    <w:p w14:paraId="0DD52FFC" w14:textId="77777777" w:rsidR="00650EED" w:rsidRDefault="00650EED" w:rsidP="00CE240B">
      <w:pPr>
        <w:contextualSpacing/>
        <w:rPr>
          <w:rFonts w:eastAsia="Calibri" w:cs="Arial"/>
          <w:color w:val="595959"/>
          <w:sz w:val="24"/>
        </w:rPr>
      </w:pPr>
    </w:p>
    <w:p w14:paraId="6390C56E" w14:textId="6E74B1C8" w:rsidR="001D2E87" w:rsidRPr="00650EED" w:rsidRDefault="001D2E87" w:rsidP="00CE240B">
      <w:pPr>
        <w:contextualSpacing/>
        <w:rPr>
          <w:rFonts w:eastAsia="Calibri" w:cs="Arial"/>
          <w:sz w:val="24"/>
        </w:rPr>
      </w:pPr>
      <w:r w:rsidRPr="00650EED">
        <w:rPr>
          <w:rFonts w:eastAsia="Calibri" w:cs="Arial"/>
          <w:sz w:val="24"/>
        </w:rPr>
        <w:t xml:space="preserve">The quality priorities have a direct link to the quality of the estate, specifically around safety, quality and service delivery. </w:t>
      </w:r>
    </w:p>
    <w:p w14:paraId="168459C6" w14:textId="77777777" w:rsidR="00650EED" w:rsidRDefault="00650EED" w:rsidP="00CE240B">
      <w:pPr>
        <w:ind w:left="1435" w:hanging="1095"/>
        <w:contextualSpacing/>
        <w:rPr>
          <w:rFonts w:cs="Arial"/>
          <w:b/>
          <w:sz w:val="24"/>
        </w:rPr>
      </w:pPr>
    </w:p>
    <w:p w14:paraId="43F30042" w14:textId="149FB85E" w:rsidR="001D2E87" w:rsidRPr="007E7D73" w:rsidRDefault="001D2E87" w:rsidP="00650EED">
      <w:pPr>
        <w:contextualSpacing/>
        <w:rPr>
          <w:rFonts w:cs="Arial"/>
          <w:b/>
          <w:color w:val="0070C0"/>
          <w:sz w:val="24"/>
        </w:rPr>
      </w:pPr>
      <w:r w:rsidRPr="007E7D73">
        <w:rPr>
          <w:rFonts w:cs="Arial"/>
          <w:b/>
          <w:color w:val="0070C0"/>
          <w:sz w:val="24"/>
        </w:rPr>
        <w:t>4.2.3</w:t>
      </w:r>
      <w:r w:rsidRPr="007E7D73">
        <w:rPr>
          <w:rFonts w:cs="Arial"/>
          <w:b/>
          <w:color w:val="0070C0"/>
          <w:sz w:val="24"/>
        </w:rPr>
        <w:tab/>
        <w:t>North East and North Cumbria Integrated Care Partnership Draft Integrated Care Strategy 2022</w:t>
      </w:r>
    </w:p>
    <w:p w14:paraId="4166F236" w14:textId="77777777" w:rsidR="007E7D73" w:rsidRPr="00CE240B" w:rsidRDefault="007E7D73" w:rsidP="00650EED">
      <w:pPr>
        <w:contextualSpacing/>
        <w:rPr>
          <w:rFonts w:cs="Arial"/>
          <w:b/>
          <w:sz w:val="24"/>
        </w:rPr>
      </w:pPr>
    </w:p>
    <w:p w14:paraId="5C5DB439" w14:textId="77777777" w:rsidR="001D2E87" w:rsidRPr="00CE240B" w:rsidRDefault="001D2E87" w:rsidP="00CE240B">
      <w:pPr>
        <w:contextualSpacing/>
        <w:rPr>
          <w:rFonts w:cs="Arial"/>
          <w:sz w:val="24"/>
        </w:rPr>
      </w:pPr>
      <w:r w:rsidRPr="00CE240B">
        <w:rPr>
          <w:rFonts w:cs="Arial"/>
          <w:sz w:val="24"/>
        </w:rPr>
        <w:t>This document sets out the Integrated Care Strategy for the North East and North Cumbria Integrated Care Partnership (ICP), in the context of existing partnership working arrangements and the national guidance. The document is currently in draft stage.</w:t>
      </w:r>
    </w:p>
    <w:p w14:paraId="3B1583DE" w14:textId="77777777" w:rsidR="00255B1D" w:rsidRDefault="00255B1D" w:rsidP="00CE240B">
      <w:pPr>
        <w:contextualSpacing/>
        <w:rPr>
          <w:rFonts w:cs="Arial"/>
          <w:sz w:val="24"/>
        </w:rPr>
      </w:pPr>
    </w:p>
    <w:p w14:paraId="11D7DD28" w14:textId="36537753" w:rsidR="001D2E87" w:rsidRPr="00CE240B" w:rsidRDefault="001D2E87" w:rsidP="00CE240B">
      <w:pPr>
        <w:contextualSpacing/>
        <w:rPr>
          <w:rFonts w:cs="Arial"/>
          <w:sz w:val="24"/>
        </w:rPr>
      </w:pPr>
      <w:r w:rsidRPr="00CE240B">
        <w:rPr>
          <w:rFonts w:cs="Arial"/>
          <w:sz w:val="24"/>
        </w:rPr>
        <w:t xml:space="preserve">The document sets out </w:t>
      </w:r>
      <w:proofErr w:type="gramStart"/>
      <w:r w:rsidRPr="00CE240B">
        <w:rPr>
          <w:rFonts w:cs="Arial"/>
          <w:sz w:val="24"/>
        </w:rPr>
        <w:t>a number of</w:t>
      </w:r>
      <w:proofErr w:type="gramEnd"/>
      <w:r w:rsidRPr="00CE240B">
        <w:rPr>
          <w:rFonts w:cs="Arial"/>
          <w:sz w:val="24"/>
        </w:rPr>
        <w:t xml:space="preserve"> estates related commitments that </w:t>
      </w:r>
    </w:p>
    <w:p w14:paraId="214BF0F8" w14:textId="77777777" w:rsidR="001D2E87" w:rsidRPr="00CE240B" w:rsidRDefault="001D2E87" w:rsidP="002867BC">
      <w:pPr>
        <w:pStyle w:val="ListParagraph"/>
        <w:numPr>
          <w:ilvl w:val="0"/>
          <w:numId w:val="53"/>
        </w:numPr>
        <w:spacing w:before="120" w:after="120"/>
        <w:ind w:right="340"/>
        <w:jc w:val="both"/>
        <w:rPr>
          <w:rFonts w:cs="Arial"/>
          <w:sz w:val="24"/>
        </w:rPr>
      </w:pPr>
      <w:r w:rsidRPr="00CE240B">
        <w:rPr>
          <w:rFonts w:cs="Arial"/>
          <w:sz w:val="24"/>
        </w:rPr>
        <w:t>Consolidating services onto fewer sites to maximise the use of existing infrastructure and to promote joint working where it is in the best interests of service users</w:t>
      </w:r>
    </w:p>
    <w:p w14:paraId="79681EBA" w14:textId="77777777" w:rsidR="001D2E87" w:rsidRPr="00CE240B" w:rsidRDefault="001D2E87" w:rsidP="002867BC">
      <w:pPr>
        <w:pStyle w:val="ListParagraph"/>
        <w:numPr>
          <w:ilvl w:val="0"/>
          <w:numId w:val="53"/>
        </w:numPr>
        <w:spacing w:before="120" w:after="120"/>
        <w:ind w:right="340"/>
        <w:jc w:val="both"/>
        <w:rPr>
          <w:rFonts w:cs="Arial"/>
          <w:sz w:val="24"/>
        </w:rPr>
      </w:pPr>
      <w:r w:rsidRPr="00CE240B">
        <w:rPr>
          <w:rFonts w:cs="Arial"/>
          <w:sz w:val="24"/>
        </w:rPr>
        <w:t>Adopt ‘one public estate’ principles at Place level, including the potential to use shared estates to deliver jointed up clinical and care services</w:t>
      </w:r>
    </w:p>
    <w:p w14:paraId="2A6FAE19" w14:textId="77777777" w:rsidR="001D2E87" w:rsidRPr="00CE240B" w:rsidRDefault="001D2E87" w:rsidP="002867BC">
      <w:pPr>
        <w:pStyle w:val="ListParagraph"/>
        <w:numPr>
          <w:ilvl w:val="0"/>
          <w:numId w:val="53"/>
        </w:numPr>
        <w:spacing w:before="120" w:after="120"/>
        <w:ind w:right="340"/>
        <w:jc w:val="both"/>
        <w:rPr>
          <w:rFonts w:cs="Arial"/>
          <w:sz w:val="24"/>
        </w:rPr>
      </w:pPr>
      <w:r w:rsidRPr="00CE240B">
        <w:rPr>
          <w:rFonts w:cs="Arial"/>
          <w:sz w:val="24"/>
        </w:rPr>
        <w:t>Prioritising capital investment to effectively meet need</w:t>
      </w:r>
    </w:p>
    <w:p w14:paraId="1976B78C" w14:textId="77777777" w:rsidR="001D2E87" w:rsidRPr="00CE240B" w:rsidRDefault="001D2E87" w:rsidP="002867BC">
      <w:pPr>
        <w:pStyle w:val="ListParagraph"/>
        <w:numPr>
          <w:ilvl w:val="0"/>
          <w:numId w:val="53"/>
        </w:numPr>
        <w:spacing w:before="120" w:after="120"/>
        <w:ind w:right="340"/>
        <w:jc w:val="both"/>
        <w:rPr>
          <w:rFonts w:cs="Arial"/>
          <w:sz w:val="24"/>
        </w:rPr>
      </w:pPr>
      <w:r w:rsidRPr="00CE240B">
        <w:rPr>
          <w:rFonts w:cs="Arial"/>
          <w:sz w:val="24"/>
        </w:rPr>
        <w:t xml:space="preserve">Promoting opportunities to reduce cost within the estate and maximises capital </w:t>
      </w:r>
    </w:p>
    <w:p w14:paraId="7A6C2DC1" w14:textId="77777777" w:rsidR="001D2E87" w:rsidRPr="00CE240B" w:rsidRDefault="001D2E87" w:rsidP="002867BC">
      <w:pPr>
        <w:pStyle w:val="ListParagraph"/>
        <w:numPr>
          <w:ilvl w:val="0"/>
          <w:numId w:val="53"/>
        </w:numPr>
        <w:spacing w:before="120" w:after="120"/>
        <w:ind w:right="340"/>
        <w:jc w:val="both"/>
        <w:rPr>
          <w:rFonts w:cs="Arial"/>
          <w:sz w:val="24"/>
        </w:rPr>
      </w:pPr>
      <w:r w:rsidRPr="00CE240B">
        <w:rPr>
          <w:rFonts w:cs="Arial"/>
          <w:sz w:val="24"/>
        </w:rPr>
        <w:lastRenderedPageBreak/>
        <w:t>Working from the ground up at neighbourhood, Place and local ICP level</w:t>
      </w:r>
    </w:p>
    <w:p w14:paraId="23243249" w14:textId="77777777" w:rsidR="001D2E87" w:rsidRPr="00CE240B" w:rsidRDefault="001D2E87" w:rsidP="002867BC">
      <w:pPr>
        <w:pStyle w:val="ListParagraph"/>
        <w:numPr>
          <w:ilvl w:val="0"/>
          <w:numId w:val="53"/>
        </w:numPr>
        <w:spacing w:before="120" w:after="120"/>
        <w:ind w:right="340"/>
        <w:jc w:val="both"/>
        <w:rPr>
          <w:rFonts w:eastAsia="Calibri" w:cs="Arial"/>
          <w:color w:val="595959"/>
          <w:sz w:val="24"/>
        </w:rPr>
      </w:pPr>
      <w:r w:rsidRPr="00CE240B">
        <w:rPr>
          <w:rFonts w:cs="Arial"/>
          <w:sz w:val="24"/>
        </w:rPr>
        <w:t>Support to Primary Care Networks and provider collaboratives to ensure well planned and prioritised capital investments.</w:t>
      </w:r>
    </w:p>
    <w:p w14:paraId="3EA9E706" w14:textId="77777777" w:rsidR="001D2E87" w:rsidRPr="00CE240B" w:rsidRDefault="001D2E87" w:rsidP="00CE240B">
      <w:pPr>
        <w:contextualSpacing/>
        <w:rPr>
          <w:rFonts w:eastAsia="Calibri" w:cs="Arial"/>
          <w:color w:val="595959"/>
          <w:sz w:val="24"/>
        </w:rPr>
      </w:pPr>
      <w:r w:rsidRPr="00650EED">
        <w:rPr>
          <w:rFonts w:eastAsia="Calibri" w:cs="Arial"/>
          <w:sz w:val="24"/>
        </w:rPr>
        <w:t>The CNTW Estates strategy follows similar principals to this draft strategy and opportunities to deliver value for money with other ICP providers can be accommodated</w:t>
      </w:r>
      <w:r w:rsidRPr="00CE240B">
        <w:rPr>
          <w:rFonts w:eastAsia="Calibri" w:cs="Arial"/>
          <w:color w:val="595959"/>
          <w:sz w:val="24"/>
        </w:rPr>
        <w:t>.</w:t>
      </w:r>
    </w:p>
    <w:p w14:paraId="70F94DA1" w14:textId="77777777" w:rsidR="00650EED" w:rsidRDefault="00650EED" w:rsidP="00CE240B">
      <w:pPr>
        <w:contextualSpacing/>
        <w:rPr>
          <w:rFonts w:cs="Arial"/>
          <w:b/>
          <w:sz w:val="24"/>
        </w:rPr>
      </w:pPr>
    </w:p>
    <w:p w14:paraId="1710961E" w14:textId="54342EEE" w:rsidR="001D2E87" w:rsidRPr="007E7D73" w:rsidRDefault="001D2E87" w:rsidP="00CE240B">
      <w:pPr>
        <w:contextualSpacing/>
        <w:rPr>
          <w:rFonts w:cs="Arial"/>
          <w:b/>
          <w:color w:val="0070C0"/>
          <w:sz w:val="24"/>
        </w:rPr>
      </w:pPr>
      <w:r w:rsidRPr="007E7D73">
        <w:rPr>
          <w:rFonts w:cs="Arial"/>
          <w:b/>
          <w:color w:val="0070C0"/>
          <w:sz w:val="24"/>
        </w:rPr>
        <w:t>4.2.4</w:t>
      </w:r>
      <w:r w:rsidRPr="007E7D73">
        <w:rPr>
          <w:rFonts w:cs="Arial"/>
          <w:b/>
          <w:color w:val="0070C0"/>
          <w:sz w:val="24"/>
        </w:rPr>
        <w:tab/>
        <w:t>Clinical Business Unit and Corporate Services Feedback</w:t>
      </w:r>
    </w:p>
    <w:p w14:paraId="7465BB8A" w14:textId="77777777" w:rsidR="007E7D73" w:rsidRDefault="007E7D73" w:rsidP="00CE240B">
      <w:pPr>
        <w:contextualSpacing/>
        <w:rPr>
          <w:rFonts w:cs="Arial"/>
          <w:sz w:val="24"/>
        </w:rPr>
      </w:pPr>
    </w:p>
    <w:p w14:paraId="725BB491" w14:textId="2566D0D1" w:rsidR="001D2E87" w:rsidRPr="00CE240B" w:rsidRDefault="001D2E87" w:rsidP="00CE240B">
      <w:pPr>
        <w:contextualSpacing/>
        <w:rPr>
          <w:rFonts w:cs="Arial"/>
          <w:sz w:val="24"/>
        </w:rPr>
      </w:pPr>
      <w:r w:rsidRPr="00CE240B">
        <w:rPr>
          <w:rFonts w:cs="Arial"/>
          <w:sz w:val="24"/>
        </w:rPr>
        <w:t xml:space="preserve">The three Trust CBU’s and Corporate services have been involved in the development of this estates strategy, this includes an engagement session at CDT-B and discussions with teams to understand future needs. The themes they identified are listed below, some of the issues have been addressed through recent or on-going estates developments. </w:t>
      </w:r>
    </w:p>
    <w:p w14:paraId="2CF7E420" w14:textId="77777777" w:rsidR="00650EED" w:rsidRDefault="00650EED" w:rsidP="00CE240B">
      <w:pPr>
        <w:contextualSpacing/>
        <w:rPr>
          <w:rFonts w:cs="Arial"/>
          <w:b/>
          <w:sz w:val="24"/>
        </w:rPr>
      </w:pPr>
    </w:p>
    <w:p w14:paraId="432B1D4E" w14:textId="27240C48" w:rsidR="001D2E87" w:rsidRPr="007E7D73" w:rsidRDefault="001D2E87" w:rsidP="00CE240B">
      <w:pPr>
        <w:contextualSpacing/>
        <w:rPr>
          <w:rFonts w:cs="Arial"/>
          <w:b/>
          <w:color w:val="0070C0"/>
          <w:sz w:val="24"/>
        </w:rPr>
      </w:pPr>
      <w:r w:rsidRPr="007E7D73">
        <w:rPr>
          <w:rFonts w:cs="Arial"/>
          <w:b/>
          <w:color w:val="0070C0"/>
          <w:sz w:val="24"/>
        </w:rPr>
        <w:t>South</w:t>
      </w:r>
    </w:p>
    <w:p w14:paraId="68101246"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Poor condition of Monkwearmouth Hospital older buildings</w:t>
      </w:r>
    </w:p>
    <w:p w14:paraId="4B99F892"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Elements of the OPS for South Tyneside are based at Monkwearmouth</w:t>
      </w:r>
    </w:p>
    <w:p w14:paraId="6CE1DD84"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Uncertainty over long term future / sustainability of Rose Lodge in its current location</w:t>
      </w:r>
    </w:p>
    <w:p w14:paraId="2FFC010C"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Poor medical staff accommodation and links to admin staff</w:t>
      </w:r>
    </w:p>
    <w:p w14:paraId="71C0F901"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 xml:space="preserve">Community teams in Sunderland - teams are suggesting a need to merge / co-locate, </w:t>
      </w:r>
      <w:proofErr w:type="gramStart"/>
      <w:r w:rsidRPr="00CE240B">
        <w:rPr>
          <w:rFonts w:cs="Arial"/>
          <w:sz w:val="24"/>
        </w:rPr>
        <w:t>in order to</w:t>
      </w:r>
      <w:proofErr w:type="gramEnd"/>
      <w:r w:rsidRPr="00CE240B">
        <w:rPr>
          <w:rFonts w:cs="Arial"/>
          <w:sz w:val="24"/>
        </w:rPr>
        <w:t xml:space="preserve"> provide a better service and cost benefits, however the team configuration has not been evolved.</w:t>
      </w:r>
    </w:p>
    <w:p w14:paraId="131D9ECA"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 xml:space="preserve">Community transformation model needs to be reviewed </w:t>
      </w:r>
      <w:proofErr w:type="gramStart"/>
      <w:r w:rsidRPr="00CE240B">
        <w:rPr>
          <w:rFonts w:cs="Arial"/>
          <w:sz w:val="24"/>
        </w:rPr>
        <w:t>in order to</w:t>
      </w:r>
      <w:proofErr w:type="gramEnd"/>
      <w:r w:rsidRPr="00CE240B">
        <w:rPr>
          <w:rFonts w:cs="Arial"/>
          <w:sz w:val="24"/>
        </w:rPr>
        <w:t xml:space="preserve"> address shortfalls </w:t>
      </w:r>
    </w:p>
    <w:p w14:paraId="726175EF"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Poor accommodation for Psychiatric Liaison teams on acute hospital sites</w:t>
      </w:r>
    </w:p>
    <w:p w14:paraId="1FF647C3"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Brooke House - could it be a consideration to move it to Meadow View</w:t>
      </w:r>
    </w:p>
    <w:p w14:paraId="462BDA15" w14:textId="77777777" w:rsidR="001D2E87" w:rsidRPr="00CE240B" w:rsidRDefault="001D2E87" w:rsidP="002867BC">
      <w:pPr>
        <w:pStyle w:val="ListParagraph"/>
        <w:numPr>
          <w:ilvl w:val="0"/>
          <w:numId w:val="36"/>
        </w:numPr>
        <w:spacing w:before="120" w:after="120"/>
        <w:ind w:right="340"/>
        <w:jc w:val="both"/>
        <w:rPr>
          <w:rFonts w:cs="Arial"/>
          <w:sz w:val="24"/>
        </w:rPr>
      </w:pPr>
      <w:r w:rsidRPr="00CE240B">
        <w:rPr>
          <w:rFonts w:cs="Arial"/>
          <w:sz w:val="24"/>
        </w:rPr>
        <w:t>Meadow View is not considered suitable for a wide ranging decant ward</w:t>
      </w:r>
    </w:p>
    <w:p w14:paraId="1B5A3418" w14:textId="77777777" w:rsidR="001D2E87" w:rsidRPr="007E7D73" w:rsidRDefault="001D2E87" w:rsidP="00CE240B">
      <w:pPr>
        <w:contextualSpacing/>
        <w:rPr>
          <w:rFonts w:cs="Arial"/>
          <w:b/>
          <w:color w:val="0070C0"/>
          <w:sz w:val="24"/>
        </w:rPr>
      </w:pPr>
      <w:r w:rsidRPr="007E7D73">
        <w:rPr>
          <w:rFonts w:cs="Arial"/>
          <w:b/>
          <w:color w:val="0070C0"/>
          <w:sz w:val="24"/>
        </w:rPr>
        <w:t>Central</w:t>
      </w:r>
    </w:p>
    <w:p w14:paraId="6E8D35BD"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Community provision in the West end of Gateshead is considered poor</w:t>
      </w:r>
    </w:p>
    <w:p w14:paraId="3A537644"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Dryden Road needs to be upgraded</w:t>
      </w:r>
    </w:p>
    <w:p w14:paraId="2EECEA0B"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Need more bookable space for group work</w:t>
      </w:r>
    </w:p>
    <w:p w14:paraId="51DB6B95"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Safe space for staff to see clients</w:t>
      </w:r>
    </w:p>
    <w:p w14:paraId="69BB06D2"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Accessibility for clients to attend community facilities needs to be considered for future developments</w:t>
      </w:r>
    </w:p>
    <w:p w14:paraId="4701A25F"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Crisis team should be located on the SNH site</w:t>
      </w:r>
    </w:p>
    <w:p w14:paraId="24BEE88F"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Poor facilities for staff across most sites</w:t>
      </w:r>
    </w:p>
    <w:p w14:paraId="4AEC8BD1"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Poor accommodation for Psychiatric Liaison teams</w:t>
      </w:r>
    </w:p>
    <w:p w14:paraId="6FBCB0E8"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 xml:space="preserve">Older </w:t>
      </w:r>
      <w:proofErr w:type="gramStart"/>
      <w:r w:rsidRPr="00CE240B">
        <w:rPr>
          <w:rFonts w:cs="Arial"/>
          <w:sz w:val="24"/>
        </w:rPr>
        <w:t>peoples</w:t>
      </w:r>
      <w:proofErr w:type="gramEnd"/>
      <w:r w:rsidRPr="00CE240B">
        <w:rPr>
          <w:rFonts w:cs="Arial"/>
          <w:sz w:val="24"/>
        </w:rPr>
        <w:t xml:space="preserve"> beds need to be resolved on the CAV site as a priority following sale to </w:t>
      </w:r>
      <w:proofErr w:type="gramStart"/>
      <w:r w:rsidRPr="00CE240B">
        <w:rPr>
          <w:rFonts w:cs="Arial"/>
          <w:sz w:val="24"/>
        </w:rPr>
        <w:t>University</w:t>
      </w:r>
      <w:proofErr w:type="gramEnd"/>
      <w:r w:rsidRPr="00CE240B">
        <w:rPr>
          <w:rFonts w:cs="Arial"/>
          <w:sz w:val="24"/>
        </w:rPr>
        <w:t xml:space="preserve"> and impending site development</w:t>
      </w:r>
    </w:p>
    <w:p w14:paraId="34DBA845"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Poor accommodation on the CAV site</w:t>
      </w:r>
    </w:p>
    <w:p w14:paraId="69D33FCC" w14:textId="77777777" w:rsidR="001D2E87" w:rsidRPr="00CE240B" w:rsidRDefault="001D2E87" w:rsidP="002867BC">
      <w:pPr>
        <w:pStyle w:val="ListParagraph"/>
        <w:numPr>
          <w:ilvl w:val="0"/>
          <w:numId w:val="37"/>
        </w:numPr>
        <w:spacing w:before="120" w:after="120"/>
        <w:ind w:right="340"/>
        <w:jc w:val="both"/>
        <w:rPr>
          <w:rFonts w:cs="Arial"/>
          <w:sz w:val="24"/>
        </w:rPr>
      </w:pPr>
      <w:r w:rsidRPr="00CE240B">
        <w:rPr>
          <w:rFonts w:cs="Arial"/>
          <w:sz w:val="24"/>
        </w:rPr>
        <w:t>Benton House generally does not meet team needs and car parking is poor</w:t>
      </w:r>
    </w:p>
    <w:p w14:paraId="6843620E" w14:textId="77777777" w:rsidR="001D2E87" w:rsidRPr="007E7D73" w:rsidRDefault="001D2E87" w:rsidP="00CE240B">
      <w:pPr>
        <w:contextualSpacing/>
        <w:rPr>
          <w:rFonts w:cs="Arial"/>
          <w:b/>
          <w:color w:val="0070C0"/>
          <w:sz w:val="24"/>
        </w:rPr>
      </w:pPr>
      <w:r w:rsidRPr="007E7D73">
        <w:rPr>
          <w:rFonts w:cs="Arial"/>
          <w:b/>
          <w:color w:val="0070C0"/>
          <w:sz w:val="24"/>
        </w:rPr>
        <w:t>North</w:t>
      </w:r>
    </w:p>
    <w:p w14:paraId="7C1590F8"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Trust is moving to a more specialist type of service in the Autism sector with increasing demand for bespoke packages of care</w:t>
      </w:r>
    </w:p>
    <w:p w14:paraId="62676AC9"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The need for flexible / adaptable estate</w:t>
      </w:r>
    </w:p>
    <w:p w14:paraId="3478820D" w14:textId="513AE7BA"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 xml:space="preserve">Future </w:t>
      </w:r>
      <w:r w:rsidR="002D27B6" w:rsidRPr="00CE240B">
        <w:rPr>
          <w:rFonts w:cs="Arial"/>
          <w:sz w:val="24"/>
        </w:rPr>
        <w:t>moves</w:t>
      </w:r>
      <w:r w:rsidRPr="00CE240B">
        <w:rPr>
          <w:rFonts w:cs="Arial"/>
          <w:sz w:val="24"/>
        </w:rPr>
        <w:t xml:space="preserve"> out of “main stream services” into specialist / challenging areas of care</w:t>
      </w:r>
    </w:p>
    <w:p w14:paraId="0E220F2F"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Homeworking - how can this be supported</w:t>
      </w:r>
    </w:p>
    <w:p w14:paraId="4BAD251D"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lastRenderedPageBreak/>
        <w:t>More robust accommodation will be required to cater for a challenging patient group</w:t>
      </w:r>
    </w:p>
    <w:p w14:paraId="4C75955D"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Druridge on the SGP site is underused</w:t>
      </w:r>
    </w:p>
    <w:p w14:paraId="55EFE3BB"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The client group on the SGP Village is becoming more challenging and consideration should be given to moving them to alternative accommodation - perhaps Druridge ward as it is empty</w:t>
      </w:r>
    </w:p>
    <w:p w14:paraId="6F0059B1"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Major redevelopment for Northgate is welcomed</w:t>
      </w:r>
    </w:p>
    <w:p w14:paraId="7B7DD68E"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Not all services impacted by CEDAR have a plan to relocate the services</w:t>
      </w:r>
    </w:p>
    <w:p w14:paraId="259CFE26"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They need greater CCTV coverage</w:t>
      </w:r>
    </w:p>
    <w:p w14:paraId="12CEB553" w14:textId="77777777" w:rsidR="001D2E87" w:rsidRPr="007E7D73" w:rsidRDefault="001D2E87" w:rsidP="00CE240B">
      <w:pPr>
        <w:contextualSpacing/>
        <w:rPr>
          <w:rFonts w:cs="Arial"/>
          <w:b/>
          <w:color w:val="0070C0"/>
          <w:sz w:val="24"/>
        </w:rPr>
      </w:pPr>
      <w:r w:rsidRPr="007E7D73">
        <w:rPr>
          <w:rFonts w:cs="Arial"/>
          <w:b/>
          <w:color w:val="0070C0"/>
          <w:sz w:val="24"/>
        </w:rPr>
        <w:t>West</w:t>
      </w:r>
    </w:p>
    <w:p w14:paraId="1F0EE980"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Future of Yewdale ward needs to be considered as it is in poor accommodation</w:t>
      </w:r>
    </w:p>
    <w:p w14:paraId="1A209DC2"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 xml:space="preserve">Carleton Clinic accommodation is poor- lack of en-suites, poor layouts, </w:t>
      </w:r>
    </w:p>
    <w:p w14:paraId="7050CF2D"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Overuse of mixed sex accommodation</w:t>
      </w:r>
    </w:p>
    <w:p w14:paraId="6728D7EC"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Layout of accommodation on the Carleton Clinic site is poor and issues with NCIC and shared space need to be resolved</w:t>
      </w:r>
    </w:p>
    <w:p w14:paraId="24F06C33"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136 Suite not fit for purpose</w:t>
      </w:r>
    </w:p>
    <w:p w14:paraId="3673B6D8"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Fragmented site at Carleton Clinic due to house building</w:t>
      </w:r>
    </w:p>
    <w:p w14:paraId="103A5FE7" w14:textId="77777777" w:rsidR="001D2E87" w:rsidRPr="00CE240B" w:rsidRDefault="001D2E87" w:rsidP="002867BC">
      <w:pPr>
        <w:pStyle w:val="ListParagraph"/>
        <w:numPr>
          <w:ilvl w:val="0"/>
          <w:numId w:val="38"/>
        </w:numPr>
        <w:spacing w:before="120" w:after="120"/>
        <w:ind w:right="340"/>
        <w:jc w:val="both"/>
        <w:rPr>
          <w:rFonts w:cs="Arial"/>
          <w:sz w:val="24"/>
        </w:rPr>
      </w:pPr>
      <w:r w:rsidRPr="00CE240B">
        <w:rPr>
          <w:rFonts w:cs="Arial"/>
          <w:sz w:val="24"/>
        </w:rPr>
        <w:t xml:space="preserve">PICU closure with </w:t>
      </w:r>
    </w:p>
    <w:p w14:paraId="2A7DD5D2" w14:textId="77777777" w:rsidR="001D2E87" w:rsidRPr="007E7D73" w:rsidRDefault="001D2E87" w:rsidP="00CE240B">
      <w:pPr>
        <w:contextualSpacing/>
        <w:rPr>
          <w:rFonts w:cs="Arial"/>
          <w:b/>
          <w:color w:val="0070C0"/>
          <w:sz w:val="24"/>
        </w:rPr>
      </w:pPr>
      <w:r w:rsidRPr="007E7D73">
        <w:rPr>
          <w:rFonts w:cs="Arial"/>
          <w:b/>
          <w:color w:val="0070C0"/>
          <w:sz w:val="24"/>
        </w:rPr>
        <w:t>Safer Care</w:t>
      </w:r>
    </w:p>
    <w:p w14:paraId="388095E8" w14:textId="77777777" w:rsidR="001D2E87" w:rsidRPr="00CE240B" w:rsidRDefault="001D2E87" w:rsidP="002867BC">
      <w:pPr>
        <w:pStyle w:val="ListParagraph"/>
        <w:numPr>
          <w:ilvl w:val="0"/>
          <w:numId w:val="48"/>
        </w:numPr>
        <w:spacing w:before="120" w:after="120"/>
        <w:ind w:right="340"/>
        <w:jc w:val="both"/>
        <w:rPr>
          <w:rFonts w:cs="Arial"/>
          <w:sz w:val="24"/>
        </w:rPr>
      </w:pPr>
      <w:r w:rsidRPr="00CE240B">
        <w:rPr>
          <w:rFonts w:cs="Arial"/>
          <w:sz w:val="24"/>
        </w:rPr>
        <w:t>Lack of standardisation across the estate</w:t>
      </w:r>
    </w:p>
    <w:p w14:paraId="3803BD19" w14:textId="77777777" w:rsidR="001D2E87" w:rsidRPr="00CE240B" w:rsidRDefault="001D2E87" w:rsidP="002867BC">
      <w:pPr>
        <w:pStyle w:val="ListParagraph"/>
        <w:numPr>
          <w:ilvl w:val="0"/>
          <w:numId w:val="48"/>
        </w:numPr>
        <w:spacing w:before="120" w:after="120"/>
        <w:ind w:right="340"/>
        <w:jc w:val="both"/>
        <w:rPr>
          <w:rFonts w:cs="Arial"/>
          <w:sz w:val="24"/>
        </w:rPr>
      </w:pPr>
      <w:r w:rsidRPr="00CE240B">
        <w:rPr>
          <w:rFonts w:cs="Arial"/>
          <w:sz w:val="24"/>
        </w:rPr>
        <w:t>Provision of safe environments incorporating safety features varies between buildings, these safety features include:</w:t>
      </w:r>
    </w:p>
    <w:p w14:paraId="027A3D6E"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CCTV</w:t>
      </w:r>
    </w:p>
    <w:p w14:paraId="2693542B"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Seclusion room standards</w:t>
      </w:r>
    </w:p>
    <w:p w14:paraId="7D10B9BB"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Metal detection</w:t>
      </w:r>
    </w:p>
    <w:p w14:paraId="05B2300D"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En-suite doors</w:t>
      </w:r>
    </w:p>
    <w:p w14:paraId="1FEA129B"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Bedroom door alarms</w:t>
      </w:r>
    </w:p>
    <w:p w14:paraId="71D87A67"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Nurse call</w:t>
      </w:r>
    </w:p>
    <w:p w14:paraId="18DCC72B"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Standardised Staff Attack System</w:t>
      </w:r>
    </w:p>
    <w:p w14:paraId="68D178F0" w14:textId="77777777" w:rsidR="001D2E87" w:rsidRPr="00CE240B" w:rsidRDefault="001D2E87" w:rsidP="00255B1D">
      <w:pPr>
        <w:pStyle w:val="ListParagraph"/>
        <w:numPr>
          <w:ilvl w:val="1"/>
          <w:numId w:val="48"/>
        </w:numPr>
        <w:spacing w:before="120" w:after="120"/>
        <w:ind w:left="1420" w:right="340"/>
        <w:jc w:val="both"/>
        <w:rPr>
          <w:rFonts w:cs="Arial"/>
          <w:sz w:val="24"/>
        </w:rPr>
      </w:pPr>
      <w:r w:rsidRPr="00CE240B">
        <w:rPr>
          <w:rFonts w:cs="Arial"/>
          <w:sz w:val="24"/>
        </w:rPr>
        <w:t>Patient monitoring</w:t>
      </w:r>
    </w:p>
    <w:p w14:paraId="4719717E" w14:textId="77777777" w:rsidR="001D2E87" w:rsidRPr="00CE240B" w:rsidRDefault="001D2E87" w:rsidP="00CE240B">
      <w:pPr>
        <w:contextualSpacing/>
        <w:rPr>
          <w:rFonts w:cs="Arial"/>
          <w:b/>
          <w:sz w:val="24"/>
        </w:rPr>
      </w:pPr>
      <w:r w:rsidRPr="007E7D73">
        <w:rPr>
          <w:rFonts w:cs="Arial"/>
          <w:b/>
          <w:color w:val="0070C0"/>
          <w:sz w:val="24"/>
        </w:rPr>
        <w:t>Corporate</w:t>
      </w:r>
    </w:p>
    <w:p w14:paraId="3623D49A" w14:textId="77777777" w:rsidR="001D2E87" w:rsidRPr="00CE240B" w:rsidRDefault="001D2E87" w:rsidP="002867BC">
      <w:pPr>
        <w:pStyle w:val="ListParagraph"/>
        <w:numPr>
          <w:ilvl w:val="0"/>
          <w:numId w:val="47"/>
        </w:numPr>
        <w:spacing w:before="120" w:after="120"/>
        <w:ind w:right="340"/>
        <w:jc w:val="both"/>
        <w:rPr>
          <w:rFonts w:cs="Arial"/>
          <w:sz w:val="24"/>
        </w:rPr>
      </w:pPr>
      <w:r w:rsidRPr="00CE240B">
        <w:rPr>
          <w:rFonts w:cs="Arial"/>
          <w:sz w:val="24"/>
        </w:rPr>
        <w:t>Location of corporate services – on hospital sites or off site</w:t>
      </w:r>
    </w:p>
    <w:p w14:paraId="179FEC05" w14:textId="17F77D4C" w:rsidR="001D2E87" w:rsidRPr="00CE240B" w:rsidRDefault="001D2E87" w:rsidP="002867BC">
      <w:pPr>
        <w:pStyle w:val="ListParagraph"/>
        <w:numPr>
          <w:ilvl w:val="0"/>
          <w:numId w:val="47"/>
        </w:numPr>
        <w:spacing w:before="120" w:after="120"/>
        <w:ind w:right="340"/>
        <w:jc w:val="both"/>
        <w:rPr>
          <w:rFonts w:cs="Arial"/>
          <w:sz w:val="24"/>
        </w:rPr>
      </w:pPr>
      <w:r w:rsidRPr="00CE240B">
        <w:rPr>
          <w:rFonts w:cs="Arial"/>
          <w:sz w:val="24"/>
        </w:rPr>
        <w:t xml:space="preserve">Working from home model following COVID needs to be </w:t>
      </w:r>
      <w:r w:rsidR="002D27B6" w:rsidRPr="00CE240B">
        <w:rPr>
          <w:rFonts w:cs="Arial"/>
          <w:sz w:val="24"/>
        </w:rPr>
        <w:t>explored,</w:t>
      </w:r>
      <w:r w:rsidRPr="00CE240B">
        <w:rPr>
          <w:rFonts w:cs="Arial"/>
          <w:sz w:val="24"/>
        </w:rPr>
        <w:t xml:space="preserve"> and this may reduce need for space</w:t>
      </w:r>
    </w:p>
    <w:p w14:paraId="6D2E27A6" w14:textId="77777777" w:rsidR="001D2E87" w:rsidRPr="00CE240B" w:rsidRDefault="001D2E87" w:rsidP="002867BC">
      <w:pPr>
        <w:pStyle w:val="ListParagraph"/>
        <w:numPr>
          <w:ilvl w:val="0"/>
          <w:numId w:val="47"/>
        </w:numPr>
        <w:spacing w:before="120" w:after="120"/>
        <w:ind w:right="340"/>
        <w:jc w:val="both"/>
        <w:rPr>
          <w:rFonts w:cs="Arial"/>
          <w:sz w:val="24"/>
        </w:rPr>
      </w:pPr>
      <w:r w:rsidRPr="00CE240B">
        <w:rPr>
          <w:rFonts w:cs="Arial"/>
          <w:sz w:val="24"/>
        </w:rPr>
        <w:t xml:space="preserve">Outside space for recreational use is not fully utilised. </w:t>
      </w:r>
    </w:p>
    <w:p w14:paraId="1EB3EF1D" w14:textId="274D7808" w:rsidR="001D2E87" w:rsidRPr="00CE240B" w:rsidRDefault="001D2E87" w:rsidP="002867BC">
      <w:pPr>
        <w:pStyle w:val="ListParagraph"/>
        <w:numPr>
          <w:ilvl w:val="0"/>
          <w:numId w:val="47"/>
        </w:numPr>
        <w:spacing w:before="120" w:after="120"/>
        <w:ind w:right="340"/>
        <w:jc w:val="both"/>
        <w:rPr>
          <w:rFonts w:cs="Arial"/>
          <w:sz w:val="24"/>
        </w:rPr>
      </w:pPr>
      <w:r w:rsidRPr="00CE240B">
        <w:rPr>
          <w:rFonts w:cs="Arial"/>
          <w:sz w:val="24"/>
        </w:rPr>
        <w:t xml:space="preserve">Ventilation in some areas is reliant on windows that have limited </w:t>
      </w:r>
      <w:r w:rsidR="002D27B6" w:rsidRPr="00CE240B">
        <w:rPr>
          <w:rFonts w:cs="Arial"/>
          <w:sz w:val="24"/>
        </w:rPr>
        <w:t>opening,</w:t>
      </w:r>
      <w:r w:rsidRPr="00CE240B">
        <w:rPr>
          <w:rFonts w:cs="Arial"/>
          <w:sz w:val="24"/>
        </w:rPr>
        <w:t xml:space="preserve"> and this problem has been magnified due to COVID </w:t>
      </w:r>
    </w:p>
    <w:p w14:paraId="77E8DCE9" w14:textId="3CF75B6B" w:rsidR="001D2E87" w:rsidRPr="00CE240B" w:rsidRDefault="001D2E87" w:rsidP="002867BC">
      <w:pPr>
        <w:pStyle w:val="ListParagraph"/>
        <w:numPr>
          <w:ilvl w:val="0"/>
          <w:numId w:val="47"/>
        </w:numPr>
        <w:spacing w:before="120" w:after="120"/>
        <w:ind w:right="340"/>
        <w:jc w:val="both"/>
        <w:rPr>
          <w:rFonts w:cs="Arial"/>
          <w:sz w:val="24"/>
        </w:rPr>
      </w:pPr>
      <w:r w:rsidRPr="00CE240B">
        <w:rPr>
          <w:rFonts w:cs="Arial"/>
          <w:sz w:val="24"/>
        </w:rPr>
        <w:t>Need to focus on the environmen</w:t>
      </w:r>
      <w:r w:rsidR="00650EED">
        <w:rPr>
          <w:rFonts w:cs="Arial"/>
          <w:sz w:val="24"/>
        </w:rPr>
        <w:t>t</w:t>
      </w:r>
    </w:p>
    <w:p w14:paraId="3B6FCB62" w14:textId="77777777" w:rsidR="001D2E87" w:rsidRPr="00CE240B" w:rsidRDefault="001D2E87" w:rsidP="00CE240B">
      <w:pPr>
        <w:contextualSpacing/>
        <w:rPr>
          <w:rFonts w:cs="Arial"/>
          <w:sz w:val="24"/>
        </w:rPr>
      </w:pPr>
    </w:p>
    <w:p w14:paraId="4ADA4871" w14:textId="77777777" w:rsidR="001D2E87" w:rsidRPr="00CE240B" w:rsidRDefault="001D2E87" w:rsidP="00CE240B">
      <w:pPr>
        <w:contextualSpacing/>
        <w:rPr>
          <w:rFonts w:cs="Arial"/>
          <w:sz w:val="24"/>
        </w:rPr>
      </w:pPr>
    </w:p>
    <w:p w14:paraId="3319E8B9" w14:textId="77777777" w:rsidR="001D2E87" w:rsidRPr="00650EED" w:rsidRDefault="001D2E87" w:rsidP="00CE240B">
      <w:pPr>
        <w:contextualSpacing/>
        <w:rPr>
          <w:rFonts w:eastAsia="Calibri" w:cs="Arial"/>
          <w:sz w:val="24"/>
        </w:rPr>
      </w:pPr>
      <w:r w:rsidRPr="00650EED">
        <w:rPr>
          <w:rFonts w:cs="Arial"/>
          <w:sz w:val="24"/>
        </w:rPr>
        <w:t>In summary the issues</w:t>
      </w:r>
      <w:r w:rsidRPr="00650EED">
        <w:rPr>
          <w:rFonts w:eastAsia="Calibri" w:cs="Arial"/>
          <w:sz w:val="24"/>
        </w:rPr>
        <w:t xml:space="preserve"> raised by the CBU’s and Corporate Services fall into </w:t>
      </w:r>
      <w:proofErr w:type="gramStart"/>
      <w:r w:rsidRPr="00650EED">
        <w:rPr>
          <w:rFonts w:eastAsia="Calibri" w:cs="Arial"/>
          <w:sz w:val="24"/>
        </w:rPr>
        <w:t>a number of</w:t>
      </w:r>
      <w:proofErr w:type="gramEnd"/>
      <w:r w:rsidRPr="00650EED">
        <w:rPr>
          <w:rFonts w:eastAsia="Calibri" w:cs="Arial"/>
          <w:sz w:val="24"/>
        </w:rPr>
        <w:t xml:space="preserve"> key themes:</w:t>
      </w:r>
    </w:p>
    <w:p w14:paraId="0401DA9A"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Focus on Quality</w:t>
      </w:r>
    </w:p>
    <w:p w14:paraId="562BEDCE"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Accessibility</w:t>
      </w:r>
    </w:p>
    <w:p w14:paraId="6E4EE9F3"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Bed Reductions</w:t>
      </w:r>
    </w:p>
    <w:p w14:paraId="6472019E"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Specialist Requirements</w:t>
      </w:r>
    </w:p>
    <w:p w14:paraId="04B4EB6F"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Location</w:t>
      </w:r>
    </w:p>
    <w:p w14:paraId="2BB8BD6B"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lastRenderedPageBreak/>
        <w:t>Car Parking</w:t>
      </w:r>
    </w:p>
    <w:p w14:paraId="69477F45"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Future Proofing</w:t>
      </w:r>
    </w:p>
    <w:p w14:paraId="76EA6C41"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Safety</w:t>
      </w:r>
    </w:p>
    <w:p w14:paraId="1A47F2ED"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Standardisation</w:t>
      </w:r>
    </w:p>
    <w:p w14:paraId="553F2492"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Robustness</w:t>
      </w:r>
    </w:p>
    <w:p w14:paraId="726AD0E6"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Standardisation</w:t>
      </w:r>
    </w:p>
    <w:p w14:paraId="06DCFBEC" w14:textId="77777777" w:rsidR="001D2E87" w:rsidRPr="00650EED" w:rsidRDefault="001D2E87" w:rsidP="002867BC">
      <w:pPr>
        <w:pStyle w:val="ListParagraph"/>
        <w:widowControl w:val="0"/>
        <w:numPr>
          <w:ilvl w:val="0"/>
          <w:numId w:val="50"/>
        </w:numPr>
        <w:spacing w:before="120"/>
        <w:ind w:right="340"/>
        <w:rPr>
          <w:rFonts w:eastAsia="Arial" w:cs="Arial"/>
          <w:sz w:val="24"/>
        </w:rPr>
      </w:pPr>
      <w:r w:rsidRPr="00650EED">
        <w:rPr>
          <w:rFonts w:eastAsia="Arial" w:cs="Arial"/>
          <w:sz w:val="24"/>
        </w:rPr>
        <w:t>Space use and having adaptable flexible space</w:t>
      </w:r>
    </w:p>
    <w:p w14:paraId="66B943A8" w14:textId="77777777" w:rsidR="001D2E87" w:rsidRPr="00CE240B" w:rsidRDefault="001D2E87" w:rsidP="002867BC">
      <w:pPr>
        <w:pStyle w:val="ListParagraph"/>
        <w:widowControl w:val="0"/>
        <w:numPr>
          <w:ilvl w:val="0"/>
          <w:numId w:val="50"/>
        </w:numPr>
        <w:spacing w:before="120"/>
        <w:ind w:right="340"/>
        <w:rPr>
          <w:rFonts w:eastAsia="Arial" w:cs="Arial"/>
          <w:color w:val="595959"/>
          <w:sz w:val="24"/>
        </w:rPr>
        <w:sectPr w:rsidR="001D2E87" w:rsidRPr="00CE240B" w:rsidSect="00E00A3E">
          <w:type w:val="continuous"/>
          <w:pgSz w:w="11906" w:h="16838"/>
          <w:pgMar w:top="1418" w:right="1134" w:bottom="1134" w:left="1134" w:header="708" w:footer="708" w:gutter="0"/>
          <w:cols w:space="227"/>
          <w:docGrid w:linePitch="360"/>
        </w:sectPr>
      </w:pPr>
      <w:r w:rsidRPr="00650EED">
        <w:rPr>
          <w:rFonts w:eastAsia="Arial" w:cs="Arial"/>
          <w:sz w:val="24"/>
        </w:rPr>
        <w:t>Being environmentally friendly</w:t>
      </w:r>
    </w:p>
    <w:p w14:paraId="1F4CE827" w14:textId="77777777" w:rsidR="00650EED" w:rsidRDefault="00650EED" w:rsidP="00CE240B">
      <w:pPr>
        <w:ind w:firstLine="340"/>
        <w:contextualSpacing/>
        <w:rPr>
          <w:rFonts w:cs="Arial"/>
          <w:b/>
          <w:sz w:val="24"/>
        </w:rPr>
      </w:pPr>
    </w:p>
    <w:p w14:paraId="6C656356" w14:textId="787AEFC2" w:rsidR="001D2E87" w:rsidRDefault="001D2E87" w:rsidP="00CE240B">
      <w:pPr>
        <w:ind w:firstLine="340"/>
        <w:contextualSpacing/>
        <w:rPr>
          <w:rFonts w:cs="Arial"/>
          <w:b/>
          <w:color w:val="0070C0"/>
          <w:sz w:val="24"/>
        </w:rPr>
      </w:pPr>
      <w:r w:rsidRPr="007E7D73">
        <w:rPr>
          <w:rFonts w:cs="Arial"/>
          <w:b/>
          <w:color w:val="0070C0"/>
          <w:sz w:val="24"/>
        </w:rPr>
        <w:t>4.2.4</w:t>
      </w:r>
      <w:r w:rsidRPr="007E7D73">
        <w:rPr>
          <w:rFonts w:cs="Arial"/>
          <w:b/>
          <w:color w:val="0070C0"/>
          <w:sz w:val="24"/>
        </w:rPr>
        <w:tab/>
        <w:t>Green Plan</w:t>
      </w:r>
    </w:p>
    <w:p w14:paraId="75BD702A" w14:textId="77777777" w:rsidR="007E7D73" w:rsidRPr="007E7D73" w:rsidRDefault="007E7D73" w:rsidP="00CE240B">
      <w:pPr>
        <w:ind w:firstLine="340"/>
        <w:contextualSpacing/>
        <w:rPr>
          <w:rFonts w:cs="Arial"/>
          <w:b/>
          <w:color w:val="0070C0"/>
          <w:sz w:val="24"/>
        </w:rPr>
      </w:pPr>
    </w:p>
    <w:p w14:paraId="08A0DC3F" w14:textId="77777777" w:rsidR="001D2E87" w:rsidRDefault="001D2E87" w:rsidP="00CE240B">
      <w:pPr>
        <w:contextualSpacing/>
        <w:rPr>
          <w:rFonts w:cs="Arial"/>
          <w:sz w:val="24"/>
        </w:rPr>
      </w:pPr>
      <w:r w:rsidRPr="00CE240B">
        <w:rPr>
          <w:rFonts w:cs="Arial"/>
          <w:noProof/>
          <w:sz w:val="24"/>
          <w:lang w:eastAsia="en-GB"/>
        </w:rPr>
        <w:drawing>
          <wp:anchor distT="0" distB="0" distL="114300" distR="114300" simplePos="0" relativeHeight="251683840" behindDoc="0" locked="0" layoutInCell="1" allowOverlap="1" wp14:anchorId="4507D6C4" wp14:editId="58C7050D">
            <wp:simplePos x="0" y="0"/>
            <wp:positionH relativeFrom="column">
              <wp:posOffset>232410</wp:posOffset>
            </wp:positionH>
            <wp:positionV relativeFrom="paragraph">
              <wp:posOffset>70485</wp:posOffset>
            </wp:positionV>
            <wp:extent cx="1828800" cy="135953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8800" cy="1359535"/>
                    </a:xfrm>
                    <a:prstGeom prst="rect">
                      <a:avLst/>
                    </a:prstGeom>
                  </pic:spPr>
                </pic:pic>
              </a:graphicData>
            </a:graphic>
            <wp14:sizeRelH relativeFrom="margin">
              <wp14:pctWidth>0</wp14:pctWidth>
            </wp14:sizeRelH>
            <wp14:sizeRelV relativeFrom="margin">
              <wp14:pctHeight>0</wp14:pctHeight>
            </wp14:sizeRelV>
          </wp:anchor>
        </w:drawing>
      </w:r>
      <w:r w:rsidRPr="00CE240B">
        <w:rPr>
          <w:rFonts w:cs="Arial"/>
          <w:sz w:val="24"/>
        </w:rPr>
        <w:t>With climate change labelled the greatest threat to health in the 21st century by medical journal The Lancet, in March 2020 CNTW’s Board joined a growing number of NHS organisations in declaring a ‘climate and ecological emergency’.</w:t>
      </w:r>
    </w:p>
    <w:p w14:paraId="24941E6F" w14:textId="77777777" w:rsidR="00255B1D" w:rsidRPr="00CE240B" w:rsidRDefault="00255B1D" w:rsidP="00CE240B">
      <w:pPr>
        <w:contextualSpacing/>
        <w:rPr>
          <w:rFonts w:cs="Arial"/>
          <w:sz w:val="24"/>
        </w:rPr>
      </w:pPr>
    </w:p>
    <w:p w14:paraId="1E2E160F" w14:textId="5C5C3EB3" w:rsidR="001D2E87" w:rsidRPr="00CE240B" w:rsidRDefault="001D2E87" w:rsidP="007E7D73">
      <w:pPr>
        <w:contextualSpacing/>
        <w:rPr>
          <w:rFonts w:cs="Arial"/>
          <w:sz w:val="24"/>
        </w:rPr>
      </w:pPr>
      <w:r w:rsidRPr="00CE240B">
        <w:rPr>
          <w:rFonts w:cs="Arial"/>
          <w:sz w:val="24"/>
        </w:rPr>
        <w:t xml:space="preserve">The Green Plan sets out </w:t>
      </w:r>
      <w:proofErr w:type="gramStart"/>
      <w:r w:rsidRPr="00CE240B">
        <w:rPr>
          <w:rFonts w:cs="Arial"/>
          <w:sz w:val="24"/>
        </w:rPr>
        <w:t>a number of</w:t>
      </w:r>
      <w:proofErr w:type="gramEnd"/>
      <w:r w:rsidRPr="00CE240B">
        <w:rPr>
          <w:rFonts w:cs="Arial"/>
          <w:sz w:val="24"/>
        </w:rPr>
        <w:t xml:space="preserve"> Estates related actions that CNTW will achieve. Initial targets were set for March </w:t>
      </w:r>
      <w:r w:rsidR="002D27B6" w:rsidRPr="00CE240B">
        <w:rPr>
          <w:rFonts w:cs="Arial"/>
          <w:sz w:val="24"/>
        </w:rPr>
        <w:t>2022;</w:t>
      </w:r>
      <w:r w:rsidRPr="00CE240B">
        <w:rPr>
          <w:rFonts w:cs="Arial"/>
          <w:sz w:val="24"/>
        </w:rPr>
        <w:t xml:space="preserve"> </w:t>
      </w:r>
      <w:r w:rsidR="00084AD8" w:rsidRPr="00CE240B">
        <w:rPr>
          <w:rFonts w:cs="Arial"/>
          <w:sz w:val="24"/>
        </w:rPr>
        <w:t>however,</w:t>
      </w:r>
      <w:r w:rsidRPr="00CE240B">
        <w:rPr>
          <w:rFonts w:cs="Arial"/>
          <w:sz w:val="24"/>
        </w:rPr>
        <w:t xml:space="preserve"> the plan will be updated on an on-</w:t>
      </w:r>
      <w:r w:rsidR="007E7D73">
        <w:rPr>
          <w:rFonts w:cs="Arial"/>
          <w:sz w:val="24"/>
        </w:rPr>
        <w:t xml:space="preserve">        </w:t>
      </w:r>
      <w:r w:rsidRPr="00CE240B">
        <w:rPr>
          <w:rFonts w:cs="Arial"/>
          <w:sz w:val="24"/>
        </w:rPr>
        <w:t>going basis to reflect a new set of actions for working towards the key goals. These actions cover a wide range of topics and include:</w:t>
      </w:r>
    </w:p>
    <w:p w14:paraId="691107A0" w14:textId="77777777" w:rsidR="001D2E87" w:rsidRPr="00CE240B" w:rsidRDefault="001D2E87" w:rsidP="002867BC">
      <w:pPr>
        <w:pStyle w:val="ListParagraph"/>
        <w:numPr>
          <w:ilvl w:val="0"/>
          <w:numId w:val="51"/>
        </w:numPr>
        <w:spacing w:before="120" w:after="120"/>
        <w:ind w:right="340"/>
        <w:jc w:val="both"/>
        <w:rPr>
          <w:rFonts w:cs="Arial"/>
          <w:sz w:val="24"/>
        </w:rPr>
      </w:pPr>
      <w:r w:rsidRPr="00CE240B">
        <w:rPr>
          <w:rFonts w:cs="Arial"/>
          <w:sz w:val="24"/>
        </w:rPr>
        <w:t>Reducing our own carbon emissions to net zero by 2040.</w:t>
      </w:r>
    </w:p>
    <w:p w14:paraId="4D5E7E95" w14:textId="77777777" w:rsidR="001D2E87" w:rsidRPr="00CE240B" w:rsidRDefault="001D2E87" w:rsidP="002867BC">
      <w:pPr>
        <w:pStyle w:val="ListParagraph"/>
        <w:numPr>
          <w:ilvl w:val="0"/>
          <w:numId w:val="51"/>
        </w:numPr>
        <w:spacing w:before="120" w:after="120"/>
        <w:ind w:right="340"/>
        <w:jc w:val="both"/>
        <w:rPr>
          <w:rFonts w:cs="Arial"/>
          <w:sz w:val="24"/>
        </w:rPr>
      </w:pPr>
      <w:r w:rsidRPr="00CE240B">
        <w:rPr>
          <w:rFonts w:cs="Arial"/>
          <w:sz w:val="24"/>
        </w:rPr>
        <w:t>Making the most of our green spaces for service users, carers, staff and local communities to enjoy, encouraging biodiversity and connection with nature.</w:t>
      </w:r>
    </w:p>
    <w:p w14:paraId="3D2B04D4" w14:textId="77777777" w:rsidR="001D2E87" w:rsidRPr="00CE240B" w:rsidRDefault="001D2E87" w:rsidP="002867BC">
      <w:pPr>
        <w:pStyle w:val="ListParagraph"/>
        <w:numPr>
          <w:ilvl w:val="0"/>
          <w:numId w:val="51"/>
        </w:numPr>
        <w:spacing w:before="120" w:after="120"/>
        <w:ind w:right="340"/>
        <w:jc w:val="both"/>
        <w:rPr>
          <w:rFonts w:cs="Arial"/>
          <w:sz w:val="24"/>
        </w:rPr>
      </w:pPr>
      <w:r w:rsidRPr="00CE240B">
        <w:rPr>
          <w:rFonts w:cs="Arial"/>
          <w:sz w:val="24"/>
        </w:rPr>
        <w:t>Minimising waste and inefficiency as much as possible.</w:t>
      </w:r>
    </w:p>
    <w:p w14:paraId="366505AB" w14:textId="77777777" w:rsidR="001D2E87" w:rsidRPr="00CE240B" w:rsidRDefault="001D2E87" w:rsidP="002867BC">
      <w:pPr>
        <w:pStyle w:val="ListParagraph"/>
        <w:numPr>
          <w:ilvl w:val="0"/>
          <w:numId w:val="51"/>
        </w:numPr>
        <w:spacing w:before="120" w:after="120"/>
        <w:ind w:right="340"/>
        <w:jc w:val="both"/>
        <w:rPr>
          <w:rFonts w:cs="Arial"/>
          <w:sz w:val="24"/>
        </w:rPr>
      </w:pPr>
      <w:r w:rsidRPr="00CE240B">
        <w:rPr>
          <w:rFonts w:cs="Arial"/>
          <w:sz w:val="24"/>
        </w:rPr>
        <w:t>Ensuring we consider the social and environmental impact of any decisions we make.</w:t>
      </w:r>
    </w:p>
    <w:p w14:paraId="5C9743FE" w14:textId="77777777" w:rsidR="001D2E87" w:rsidRPr="00CE240B" w:rsidRDefault="001D2E87" w:rsidP="002867BC">
      <w:pPr>
        <w:pStyle w:val="ListParagraph"/>
        <w:numPr>
          <w:ilvl w:val="0"/>
          <w:numId w:val="51"/>
        </w:numPr>
        <w:spacing w:before="120" w:after="120"/>
        <w:ind w:right="340"/>
        <w:jc w:val="both"/>
        <w:rPr>
          <w:rFonts w:cs="Arial"/>
          <w:sz w:val="24"/>
        </w:rPr>
      </w:pPr>
      <w:r w:rsidRPr="00CE240B">
        <w:rPr>
          <w:rFonts w:cs="Arial"/>
          <w:sz w:val="24"/>
        </w:rPr>
        <w:t>Working with our partner organisations to ensure a co-ordinated regional response to the impact of climate change.</w:t>
      </w:r>
    </w:p>
    <w:p w14:paraId="32183D11" w14:textId="189C0963" w:rsidR="001D2E87" w:rsidRPr="007E7D73" w:rsidRDefault="001D2E87" w:rsidP="00650EED">
      <w:pPr>
        <w:pStyle w:val="Heading2"/>
        <w:ind w:left="0"/>
        <w:rPr>
          <w:color w:val="0070C0"/>
        </w:rPr>
      </w:pPr>
      <w:r w:rsidRPr="007E7D73">
        <w:rPr>
          <w:color w:val="0070C0"/>
        </w:rPr>
        <w:t>4.3</w:t>
      </w:r>
      <w:r w:rsidRPr="007E7D73">
        <w:rPr>
          <w:color w:val="0070C0"/>
        </w:rPr>
        <w:tab/>
        <w:t xml:space="preserve">National Strategies and Policies </w:t>
      </w:r>
    </w:p>
    <w:p w14:paraId="6E72D84F" w14:textId="77777777" w:rsidR="007E7D73" w:rsidRPr="007E7D73" w:rsidRDefault="007E7D73" w:rsidP="007E7D73">
      <w:pPr>
        <w:rPr>
          <w:lang w:eastAsia="en-GB"/>
        </w:rPr>
      </w:pPr>
    </w:p>
    <w:p w14:paraId="66EB8E30" w14:textId="77777777" w:rsidR="001D2E87" w:rsidRPr="00CE240B" w:rsidRDefault="001D2E87" w:rsidP="00CE240B">
      <w:pPr>
        <w:contextualSpacing/>
        <w:rPr>
          <w:rFonts w:cs="Arial"/>
          <w:sz w:val="24"/>
        </w:rPr>
      </w:pPr>
      <w:r w:rsidRPr="00CE240B">
        <w:rPr>
          <w:rFonts w:cs="Arial"/>
          <w:sz w:val="24"/>
        </w:rPr>
        <w:t>In view of the extensive range of services provided by the Trust a significant number of National Strategies and Policies relate to our services, the most notable National Strategies and Policies underpinning the Trust’s strategic direction over the next five years, the key ones being as follows:</w:t>
      </w:r>
    </w:p>
    <w:p w14:paraId="18533E38" w14:textId="77777777" w:rsidR="001D2E87" w:rsidRPr="007E7D73" w:rsidRDefault="001D2E87" w:rsidP="00CE240B">
      <w:pPr>
        <w:contextualSpacing/>
        <w:rPr>
          <w:rFonts w:cs="Arial"/>
          <w:color w:val="0070C0"/>
          <w:sz w:val="24"/>
        </w:rPr>
      </w:pPr>
    </w:p>
    <w:p w14:paraId="4C86B499" w14:textId="77777777" w:rsidR="001D2E87" w:rsidRPr="007E7D73" w:rsidRDefault="001D2E87" w:rsidP="00CE240B">
      <w:pPr>
        <w:contextualSpacing/>
        <w:rPr>
          <w:rFonts w:cs="Arial"/>
          <w:color w:val="0070C0"/>
          <w:sz w:val="24"/>
        </w:rPr>
        <w:sectPr w:rsidR="001D2E87" w:rsidRPr="007E7D73" w:rsidSect="00D5607D">
          <w:type w:val="continuous"/>
          <w:pgSz w:w="11906" w:h="16838"/>
          <w:pgMar w:top="1418" w:right="1134" w:bottom="1134" w:left="1134" w:header="708" w:footer="708" w:gutter="0"/>
          <w:cols w:space="227"/>
          <w:docGrid w:linePitch="360"/>
        </w:sectPr>
      </w:pPr>
    </w:p>
    <w:p w14:paraId="66CB2BA5" w14:textId="77777777" w:rsidR="001D2E87" w:rsidRDefault="001D2E87" w:rsidP="00CE240B">
      <w:pPr>
        <w:contextualSpacing/>
        <w:rPr>
          <w:rFonts w:cs="Arial"/>
          <w:b/>
          <w:color w:val="0070C0"/>
          <w:sz w:val="24"/>
        </w:rPr>
      </w:pPr>
      <w:r w:rsidRPr="007E7D73">
        <w:rPr>
          <w:rFonts w:cs="Arial"/>
          <w:b/>
          <w:color w:val="0070C0"/>
          <w:sz w:val="24"/>
        </w:rPr>
        <w:lastRenderedPageBreak/>
        <w:t>4.3.1</w:t>
      </w:r>
      <w:r w:rsidRPr="007E7D73">
        <w:rPr>
          <w:rFonts w:cs="Arial"/>
          <w:b/>
          <w:color w:val="0070C0"/>
          <w:sz w:val="24"/>
        </w:rPr>
        <w:tab/>
        <w:t>Mental Health Act – Draft Bill 2022</w:t>
      </w:r>
    </w:p>
    <w:p w14:paraId="4CED420B" w14:textId="77777777" w:rsidR="007E7D73" w:rsidRPr="007E7D73" w:rsidRDefault="007E7D73" w:rsidP="00CE240B">
      <w:pPr>
        <w:contextualSpacing/>
        <w:rPr>
          <w:rFonts w:cs="Arial"/>
          <w:b/>
          <w:color w:val="0070C0"/>
          <w:sz w:val="24"/>
        </w:rPr>
      </w:pPr>
    </w:p>
    <w:p w14:paraId="1B563F85" w14:textId="77777777" w:rsidR="001D2E87" w:rsidRPr="00CE240B" w:rsidRDefault="001D2E87" w:rsidP="00CE240B">
      <w:pPr>
        <w:contextualSpacing/>
        <w:rPr>
          <w:rFonts w:cs="Arial"/>
          <w:sz w:val="24"/>
        </w:rPr>
      </w:pPr>
      <w:r w:rsidRPr="00CE240B">
        <w:rPr>
          <w:rFonts w:cs="Arial"/>
          <w:sz w:val="24"/>
        </w:rPr>
        <w:t>The government has published a draft Mental Health Bill for pre-legislative scrutiny, to modernise the Mental Health Act for the 21st century.</w:t>
      </w:r>
    </w:p>
    <w:p w14:paraId="56CF9E57" w14:textId="77777777" w:rsidR="001D2E87" w:rsidRPr="00CE240B" w:rsidRDefault="001D2E87" w:rsidP="00CE240B">
      <w:pPr>
        <w:contextualSpacing/>
        <w:rPr>
          <w:rFonts w:cs="Arial"/>
          <w:sz w:val="24"/>
        </w:rPr>
      </w:pPr>
      <w:r w:rsidRPr="00CE240B">
        <w:rPr>
          <w:rFonts w:cs="Arial"/>
          <w:sz w:val="24"/>
        </w:rPr>
        <w:t>The draft Bill establishes that its proposals are expected to bring significant benefits to patients interacting with the MHA through increasing patient choice and autonomy over their treatment, ensuring they are treated with dignity and respect, improving inpatient therapeutic environments and promoting equality throughout the process.</w:t>
      </w:r>
    </w:p>
    <w:p w14:paraId="75FA6551" w14:textId="77777777" w:rsidR="001D2E87" w:rsidRPr="00CE240B" w:rsidRDefault="001D2E87" w:rsidP="00CE240B">
      <w:pPr>
        <w:contextualSpacing/>
        <w:rPr>
          <w:rFonts w:cs="Arial"/>
          <w:sz w:val="24"/>
        </w:rPr>
      </w:pPr>
      <w:r w:rsidRPr="00CE240B">
        <w:rPr>
          <w:rFonts w:cs="Arial"/>
          <w:sz w:val="24"/>
        </w:rPr>
        <w:t>The draft Bill proposes that further limits to the extent to which the Act can be applied to people with learning disabilities and autistic people, most notably by not permitting detentions under Section 3 where the patient in question does not have a co-occurring mental health condition that requires hospital treatment. This may impact on the services provided by CNTW.</w:t>
      </w:r>
    </w:p>
    <w:p w14:paraId="703E2456" w14:textId="77777777" w:rsidR="00650EED" w:rsidRDefault="00650EED" w:rsidP="00CE240B">
      <w:pPr>
        <w:contextualSpacing/>
        <w:rPr>
          <w:rFonts w:cs="Arial"/>
          <w:b/>
          <w:sz w:val="24"/>
        </w:rPr>
      </w:pPr>
    </w:p>
    <w:p w14:paraId="220DBBFB" w14:textId="487CA120" w:rsidR="001D2E87" w:rsidRDefault="001D2E87" w:rsidP="00CE240B">
      <w:pPr>
        <w:contextualSpacing/>
        <w:rPr>
          <w:rFonts w:cs="Arial"/>
          <w:b/>
          <w:color w:val="0070C0"/>
          <w:sz w:val="24"/>
        </w:rPr>
      </w:pPr>
      <w:r w:rsidRPr="007E7D73">
        <w:rPr>
          <w:rFonts w:cs="Arial"/>
          <w:b/>
          <w:color w:val="0070C0"/>
          <w:sz w:val="24"/>
        </w:rPr>
        <w:t>4.3.2</w:t>
      </w:r>
      <w:r w:rsidRPr="007E7D73">
        <w:rPr>
          <w:rFonts w:cs="Arial"/>
          <w:b/>
          <w:color w:val="0070C0"/>
          <w:sz w:val="24"/>
        </w:rPr>
        <w:tab/>
        <w:t>The NHS - Five Year Forward View (2016)</w:t>
      </w:r>
    </w:p>
    <w:p w14:paraId="653C6DAE" w14:textId="77777777" w:rsidR="007E7D73" w:rsidRPr="007E7D73" w:rsidRDefault="007E7D73" w:rsidP="00CE240B">
      <w:pPr>
        <w:contextualSpacing/>
        <w:rPr>
          <w:rFonts w:cs="Arial"/>
          <w:b/>
          <w:color w:val="0070C0"/>
          <w:sz w:val="24"/>
        </w:rPr>
      </w:pPr>
    </w:p>
    <w:p w14:paraId="03F140DD" w14:textId="77777777" w:rsidR="001D2E87" w:rsidRPr="00CE240B" w:rsidRDefault="001D2E87" w:rsidP="00CE240B">
      <w:pPr>
        <w:contextualSpacing/>
        <w:rPr>
          <w:rFonts w:cs="Arial"/>
          <w:sz w:val="24"/>
        </w:rPr>
      </w:pPr>
      <w:r w:rsidRPr="00CE240B">
        <w:rPr>
          <w:rFonts w:cs="Arial"/>
          <w:sz w:val="24"/>
        </w:rPr>
        <w:t>During 2015/16, work began to lay the foundations for better, more responsive and accessible mental health services. The Immediate priorities for service redesign are:</w:t>
      </w:r>
    </w:p>
    <w:p w14:paraId="595205FF" w14:textId="77777777" w:rsidR="001D2E87" w:rsidRPr="00CE240B" w:rsidRDefault="001D2E87" w:rsidP="002867BC">
      <w:pPr>
        <w:pStyle w:val="ListParagraph"/>
        <w:numPr>
          <w:ilvl w:val="0"/>
          <w:numId w:val="39"/>
        </w:numPr>
        <w:spacing w:before="120" w:after="120"/>
        <w:ind w:right="340"/>
        <w:jc w:val="both"/>
        <w:rPr>
          <w:rFonts w:cs="Arial"/>
          <w:sz w:val="24"/>
        </w:rPr>
      </w:pPr>
      <w:r w:rsidRPr="00CE240B">
        <w:rPr>
          <w:rFonts w:cs="Arial"/>
          <w:sz w:val="24"/>
        </w:rPr>
        <w:t>To increase access to specialist perinatal care</w:t>
      </w:r>
    </w:p>
    <w:p w14:paraId="3ABCEBD1" w14:textId="77777777" w:rsidR="001D2E87" w:rsidRPr="00CE240B" w:rsidRDefault="001D2E87" w:rsidP="002867BC">
      <w:pPr>
        <w:pStyle w:val="ListParagraph"/>
        <w:numPr>
          <w:ilvl w:val="0"/>
          <w:numId w:val="39"/>
        </w:numPr>
        <w:spacing w:before="120" w:after="120"/>
        <w:ind w:right="340"/>
        <w:jc w:val="both"/>
        <w:rPr>
          <w:rFonts w:cs="Arial"/>
          <w:sz w:val="24"/>
        </w:rPr>
      </w:pPr>
      <w:r w:rsidRPr="00CE240B">
        <w:rPr>
          <w:rFonts w:cs="Arial"/>
          <w:sz w:val="24"/>
        </w:rPr>
        <w:t>To reduce the number of out of area placements for children, young people and adults through the provision of more care closer to and at home.</w:t>
      </w:r>
    </w:p>
    <w:p w14:paraId="7CAF8524" w14:textId="5F6BC30F" w:rsidR="001D2E87" w:rsidRPr="00CE240B" w:rsidRDefault="001D2E87" w:rsidP="002867BC">
      <w:pPr>
        <w:pStyle w:val="ListParagraph"/>
        <w:numPr>
          <w:ilvl w:val="0"/>
          <w:numId w:val="39"/>
        </w:numPr>
        <w:spacing w:before="120" w:after="120"/>
        <w:ind w:right="340"/>
        <w:jc w:val="both"/>
        <w:rPr>
          <w:rFonts w:cs="Arial"/>
          <w:sz w:val="24"/>
        </w:rPr>
      </w:pPr>
      <w:r w:rsidRPr="00CE240B">
        <w:rPr>
          <w:rFonts w:cs="Arial"/>
          <w:sz w:val="24"/>
        </w:rPr>
        <w:t xml:space="preserve">To increase access to </w:t>
      </w:r>
      <w:r w:rsidR="002D27B6" w:rsidRPr="00CE240B">
        <w:rPr>
          <w:rFonts w:cs="Arial"/>
          <w:sz w:val="24"/>
        </w:rPr>
        <w:t>crisis,</w:t>
      </w:r>
      <w:r w:rsidRPr="00CE240B">
        <w:rPr>
          <w:rFonts w:cs="Arial"/>
          <w:sz w:val="24"/>
        </w:rPr>
        <w:t xml:space="preserve"> care liaison services in emergency departments and inpatient wards.</w:t>
      </w:r>
    </w:p>
    <w:p w14:paraId="2BB5CD9C" w14:textId="77777777" w:rsidR="001D2E87" w:rsidRDefault="001D2E87" w:rsidP="002867BC">
      <w:pPr>
        <w:pStyle w:val="ListParagraph"/>
        <w:numPr>
          <w:ilvl w:val="0"/>
          <w:numId w:val="39"/>
        </w:numPr>
        <w:spacing w:before="120" w:after="120"/>
        <w:ind w:right="340"/>
        <w:jc w:val="both"/>
        <w:rPr>
          <w:rFonts w:cs="Arial"/>
          <w:color w:val="595959"/>
          <w:sz w:val="24"/>
        </w:rPr>
      </w:pPr>
      <w:r w:rsidRPr="00CE240B">
        <w:rPr>
          <w:rFonts w:cs="Arial"/>
          <w:color w:val="595959"/>
          <w:sz w:val="24"/>
        </w:rPr>
        <w:t>Suicide prevention</w:t>
      </w:r>
    </w:p>
    <w:p w14:paraId="43D93A8D" w14:textId="77777777" w:rsidR="007E7D73" w:rsidRDefault="007E7D73" w:rsidP="007E7D73">
      <w:pPr>
        <w:spacing w:before="120" w:after="120"/>
        <w:ind w:right="340"/>
        <w:jc w:val="both"/>
        <w:rPr>
          <w:rFonts w:cs="Arial"/>
          <w:color w:val="595959"/>
          <w:sz w:val="24"/>
        </w:rPr>
      </w:pPr>
    </w:p>
    <w:p w14:paraId="62B62F0A" w14:textId="77777777" w:rsidR="001D2E87" w:rsidRPr="00CE240B" w:rsidRDefault="001D2E87" w:rsidP="00CE240B">
      <w:pPr>
        <w:contextualSpacing/>
        <w:rPr>
          <w:rFonts w:cs="Arial"/>
          <w:sz w:val="24"/>
        </w:rPr>
      </w:pPr>
      <w:r w:rsidRPr="00CE240B">
        <w:rPr>
          <w:rFonts w:cs="Arial"/>
          <w:sz w:val="24"/>
        </w:rPr>
        <w:t>The NHS - Five Year Forward View (2016) sets out a vision for the future of the NHS Services and articulates why change is needed, what that change might look like and how it can be achieved. It acknowledges that “one size does not fit all” and describes various models of care which could be provided in the future, defining the actions at local and national level to support delivery.</w:t>
      </w:r>
    </w:p>
    <w:p w14:paraId="0237722C" w14:textId="77777777" w:rsidR="001D2E87" w:rsidRPr="00CE240B" w:rsidRDefault="001D2E87" w:rsidP="00CE240B">
      <w:pPr>
        <w:contextualSpacing/>
        <w:rPr>
          <w:rFonts w:eastAsia="Calibri" w:cs="Arial"/>
          <w:color w:val="595959"/>
          <w:sz w:val="24"/>
        </w:rPr>
      </w:pPr>
      <w:r w:rsidRPr="00CE240B">
        <w:rPr>
          <w:rFonts w:eastAsia="Calibri" w:cs="Arial"/>
          <w:noProof/>
          <w:color w:val="595959"/>
          <w:sz w:val="24"/>
          <w:lang w:eastAsia="en-GB"/>
        </w:rPr>
        <w:drawing>
          <wp:anchor distT="0" distB="0" distL="114300" distR="114300" simplePos="0" relativeHeight="251682816" behindDoc="1" locked="0" layoutInCell="1" allowOverlap="1" wp14:anchorId="6619BA7B" wp14:editId="0413FD12">
            <wp:simplePos x="0" y="0"/>
            <wp:positionH relativeFrom="column">
              <wp:posOffset>-23495</wp:posOffset>
            </wp:positionH>
            <wp:positionV relativeFrom="paragraph">
              <wp:posOffset>285750</wp:posOffset>
            </wp:positionV>
            <wp:extent cx="1911350" cy="1357630"/>
            <wp:effectExtent l="0" t="8890" r="3810" b="3810"/>
            <wp:wrapTight wrapText="bothSides">
              <wp:wrapPolygon edited="0">
                <wp:start x="21700" y="141"/>
                <wp:lineTo x="172" y="141"/>
                <wp:lineTo x="172" y="21358"/>
                <wp:lineTo x="21700" y="21358"/>
                <wp:lineTo x="21700" y="141"/>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1911350" cy="1357630"/>
                    </a:xfrm>
                    <a:prstGeom prst="rect">
                      <a:avLst/>
                    </a:prstGeom>
                  </pic:spPr>
                </pic:pic>
              </a:graphicData>
            </a:graphic>
            <wp14:sizeRelH relativeFrom="page">
              <wp14:pctWidth>0</wp14:pctWidth>
            </wp14:sizeRelH>
            <wp14:sizeRelV relativeFrom="page">
              <wp14:pctHeight>0</wp14:pctHeight>
            </wp14:sizeRelV>
          </wp:anchor>
        </w:drawing>
      </w:r>
      <w:r w:rsidRPr="00CE240B">
        <w:rPr>
          <w:rFonts w:eastAsia="Calibri" w:cs="Arial"/>
          <w:color w:val="595959"/>
          <w:sz w:val="24"/>
        </w:rPr>
        <w:t xml:space="preserve">The Forward View covers areas such as disease prevention; new flexible models of service delivery tailored to local populations and needs; integration between services; and consistent leadership across the health and care system. </w:t>
      </w:r>
    </w:p>
    <w:p w14:paraId="2423A5CD" w14:textId="77777777" w:rsidR="001D2E87" w:rsidRPr="00CE240B" w:rsidRDefault="001D2E87" w:rsidP="00CE240B">
      <w:pPr>
        <w:contextualSpacing/>
        <w:rPr>
          <w:rFonts w:eastAsia="Calibri" w:cs="Arial"/>
          <w:color w:val="595959"/>
          <w:sz w:val="24"/>
        </w:rPr>
      </w:pPr>
    </w:p>
    <w:p w14:paraId="069C7C93" w14:textId="77777777" w:rsidR="001D2E87" w:rsidRDefault="001D2E87" w:rsidP="00CE240B">
      <w:pPr>
        <w:contextualSpacing/>
        <w:rPr>
          <w:rFonts w:eastAsia="Calibri" w:cs="Arial"/>
          <w:color w:val="595959"/>
          <w:sz w:val="24"/>
        </w:rPr>
      </w:pPr>
      <w:r w:rsidRPr="00CE240B">
        <w:rPr>
          <w:rFonts w:eastAsia="Calibri" w:cs="Arial"/>
          <w:color w:val="595959"/>
          <w:sz w:val="24"/>
        </w:rPr>
        <w:t xml:space="preserve">In terms of mental health, The Forward View recognises that physical and mental health are closely linked - people with severe and prolonged mental illness die on average 15 to 20 years earlier than other people. </w:t>
      </w:r>
    </w:p>
    <w:p w14:paraId="48E7EAD6" w14:textId="77777777" w:rsidR="00255B1D" w:rsidRDefault="00255B1D" w:rsidP="00CE240B">
      <w:pPr>
        <w:contextualSpacing/>
        <w:rPr>
          <w:rFonts w:eastAsia="Calibri" w:cs="Arial"/>
          <w:color w:val="595959"/>
          <w:sz w:val="24"/>
        </w:rPr>
      </w:pPr>
    </w:p>
    <w:p w14:paraId="33378765" w14:textId="77777777" w:rsidR="00255B1D" w:rsidRPr="00CE240B" w:rsidRDefault="00255B1D" w:rsidP="00CE240B">
      <w:pPr>
        <w:contextualSpacing/>
        <w:rPr>
          <w:rFonts w:eastAsia="Calibri" w:cs="Arial"/>
          <w:color w:val="595959"/>
          <w:sz w:val="24"/>
        </w:rPr>
      </w:pPr>
    </w:p>
    <w:p w14:paraId="3C63C861" w14:textId="77777777" w:rsidR="001D2E87" w:rsidRPr="00CE240B" w:rsidRDefault="001D2E87" w:rsidP="00CE240B">
      <w:pPr>
        <w:contextualSpacing/>
        <w:rPr>
          <w:rFonts w:cs="Arial"/>
          <w:sz w:val="24"/>
        </w:rPr>
      </w:pPr>
      <w:r w:rsidRPr="00CE240B">
        <w:rPr>
          <w:rFonts w:cs="Arial"/>
          <w:sz w:val="24"/>
        </w:rPr>
        <w:t>The strategy states that the NHS must drive towards an equal response to mental and physical health and towards the two being treated together the ambition being to achieve genuine parity of esteem between physical and mental health.</w:t>
      </w:r>
    </w:p>
    <w:p w14:paraId="5B0AF4D3" w14:textId="77777777" w:rsidR="001D2E87" w:rsidRPr="00CE240B" w:rsidRDefault="001D2E87" w:rsidP="00CE240B">
      <w:pPr>
        <w:contextualSpacing/>
        <w:rPr>
          <w:rFonts w:cs="Arial"/>
          <w:sz w:val="24"/>
        </w:rPr>
      </w:pPr>
    </w:p>
    <w:p w14:paraId="4E5F1659" w14:textId="77777777" w:rsidR="001D2E87" w:rsidRDefault="001D2E87" w:rsidP="00CE240B">
      <w:pPr>
        <w:contextualSpacing/>
        <w:rPr>
          <w:rFonts w:cs="Arial"/>
          <w:b/>
          <w:color w:val="0070C0"/>
          <w:sz w:val="24"/>
        </w:rPr>
      </w:pPr>
      <w:r w:rsidRPr="007E7D73">
        <w:rPr>
          <w:rFonts w:cs="Arial"/>
          <w:b/>
          <w:color w:val="0070C0"/>
          <w:sz w:val="24"/>
        </w:rPr>
        <w:t>4.3.2</w:t>
      </w:r>
      <w:r w:rsidRPr="007E7D73">
        <w:rPr>
          <w:rFonts w:cs="Arial"/>
          <w:b/>
          <w:color w:val="0070C0"/>
          <w:sz w:val="24"/>
        </w:rPr>
        <w:tab/>
        <w:t>NHS Mental Health Implementation Plan 2019/20 – 2023/24</w:t>
      </w:r>
    </w:p>
    <w:p w14:paraId="6C467947" w14:textId="77777777" w:rsidR="007E7D73" w:rsidRPr="007E7D73" w:rsidRDefault="007E7D73" w:rsidP="00CE240B">
      <w:pPr>
        <w:contextualSpacing/>
        <w:rPr>
          <w:rFonts w:cs="Arial"/>
          <w:b/>
          <w:color w:val="0070C0"/>
          <w:sz w:val="24"/>
        </w:rPr>
      </w:pPr>
    </w:p>
    <w:p w14:paraId="30E92A0D" w14:textId="77777777" w:rsidR="001D2E87" w:rsidRPr="00CE240B" w:rsidRDefault="001D2E87" w:rsidP="00CE240B">
      <w:pPr>
        <w:contextualSpacing/>
        <w:rPr>
          <w:rFonts w:cs="Arial"/>
          <w:sz w:val="24"/>
        </w:rPr>
      </w:pPr>
      <w:r w:rsidRPr="00CE240B">
        <w:rPr>
          <w:rFonts w:cs="Arial"/>
          <w:sz w:val="24"/>
        </w:rPr>
        <w:t xml:space="preserve">This implementation plan followed the NHS Long Term Plan. The implementation plan sets out </w:t>
      </w:r>
      <w:proofErr w:type="gramStart"/>
      <w:r w:rsidRPr="00CE240B">
        <w:rPr>
          <w:rFonts w:cs="Arial"/>
          <w:sz w:val="24"/>
        </w:rPr>
        <w:t>a number of</w:t>
      </w:r>
      <w:proofErr w:type="gramEnd"/>
      <w:r w:rsidRPr="00CE240B">
        <w:rPr>
          <w:rFonts w:cs="Arial"/>
          <w:sz w:val="24"/>
        </w:rPr>
        <w:t xml:space="preserve"> priorities aimed at transforming mental health services towards a more integrated, population-level health systems which will support more </w:t>
      </w:r>
      <w:r w:rsidRPr="00CE240B">
        <w:rPr>
          <w:rFonts w:cs="Arial"/>
          <w:sz w:val="24"/>
        </w:rPr>
        <w:lastRenderedPageBreak/>
        <w:t xml:space="preserve">localised and personalised responses to health inequalities across the prevention and treatment spectrum. </w:t>
      </w:r>
    </w:p>
    <w:p w14:paraId="7BFF06C4" w14:textId="77777777" w:rsidR="001D2E87" w:rsidRPr="00CE240B" w:rsidRDefault="001D2E87" w:rsidP="00CE240B">
      <w:pPr>
        <w:contextualSpacing/>
        <w:rPr>
          <w:rFonts w:cs="Arial"/>
          <w:sz w:val="24"/>
        </w:rPr>
      </w:pPr>
      <w:r w:rsidRPr="00CE240B">
        <w:rPr>
          <w:rFonts w:cs="Arial"/>
          <w:sz w:val="24"/>
        </w:rPr>
        <w:t>The core ambitions set out in the Implementation Plan are summarised in the table below.</w:t>
      </w:r>
    </w:p>
    <w:p w14:paraId="01B38970" w14:textId="77777777" w:rsidR="001D2E87" w:rsidRPr="007E7D73" w:rsidRDefault="001D2E87" w:rsidP="00CE240B">
      <w:pPr>
        <w:ind w:left="700" w:firstLine="380"/>
        <w:contextualSpacing/>
        <w:rPr>
          <w:rFonts w:cs="Arial"/>
          <w:b/>
          <w:color w:val="0070C0"/>
          <w:sz w:val="24"/>
        </w:rPr>
      </w:pPr>
      <w:r w:rsidRPr="007E7D73">
        <w:rPr>
          <w:rFonts w:cs="Arial"/>
          <w:b/>
          <w:color w:val="0070C0"/>
          <w:sz w:val="24"/>
        </w:rPr>
        <w:t>Specialist Community Perinatal Mental Health</w:t>
      </w:r>
    </w:p>
    <w:p w14:paraId="5FAC4775" w14:textId="77777777"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Greater access to community services</w:t>
      </w:r>
    </w:p>
    <w:p w14:paraId="6F3E2F11" w14:textId="77777777"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Maternity outreach clinics</w:t>
      </w:r>
    </w:p>
    <w:p w14:paraId="3FA08EAB" w14:textId="77777777" w:rsidR="001D2E87" w:rsidRPr="00CE240B" w:rsidRDefault="001D2E87" w:rsidP="00CE240B">
      <w:pPr>
        <w:pStyle w:val="ListParagraph"/>
        <w:ind w:left="1440"/>
        <w:rPr>
          <w:rFonts w:cs="Arial"/>
          <w:b/>
          <w:sz w:val="24"/>
        </w:rPr>
      </w:pPr>
    </w:p>
    <w:p w14:paraId="0D8E1AC1" w14:textId="77777777" w:rsidR="001D2E87" w:rsidRDefault="001D2E87" w:rsidP="00CE240B">
      <w:pPr>
        <w:pStyle w:val="ListParagraph"/>
        <w:ind w:firstLine="360"/>
        <w:rPr>
          <w:rFonts w:cs="Arial"/>
          <w:b/>
          <w:color w:val="0070C0"/>
          <w:sz w:val="24"/>
        </w:rPr>
      </w:pPr>
      <w:r w:rsidRPr="007E7D73">
        <w:rPr>
          <w:rFonts w:cs="Arial"/>
          <w:b/>
          <w:color w:val="0070C0"/>
          <w:sz w:val="24"/>
        </w:rPr>
        <w:t>Children and Young People’s (CYP) Mental Health</w:t>
      </w:r>
    </w:p>
    <w:p w14:paraId="429A6EF1" w14:textId="77777777" w:rsidR="007E7D73" w:rsidRPr="007E7D73" w:rsidRDefault="007E7D73" w:rsidP="00CE240B">
      <w:pPr>
        <w:pStyle w:val="ListParagraph"/>
        <w:ind w:firstLine="360"/>
        <w:rPr>
          <w:rFonts w:cs="Arial"/>
          <w:b/>
          <w:color w:val="0070C0"/>
          <w:sz w:val="24"/>
        </w:rPr>
      </w:pPr>
    </w:p>
    <w:p w14:paraId="1FA50F6B" w14:textId="77777777"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Increased services and access to community teams</w:t>
      </w:r>
    </w:p>
    <w:p w14:paraId="1A4D4348" w14:textId="77777777"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24/7 crisis provision</w:t>
      </w:r>
    </w:p>
    <w:p w14:paraId="211AD89B" w14:textId="292CE6E5"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 xml:space="preserve">Comprehensive </w:t>
      </w:r>
      <w:r w:rsidR="002D27B6" w:rsidRPr="00CE240B">
        <w:rPr>
          <w:rFonts w:cs="Arial"/>
          <w:sz w:val="24"/>
        </w:rPr>
        <w:t>0–25-year-old</w:t>
      </w:r>
      <w:r w:rsidRPr="00CE240B">
        <w:rPr>
          <w:rFonts w:cs="Arial"/>
          <w:sz w:val="24"/>
        </w:rPr>
        <w:t xml:space="preserve"> offer that reaches across mental health services for CYP and adults</w:t>
      </w:r>
    </w:p>
    <w:p w14:paraId="1DF475AC" w14:textId="77777777" w:rsidR="001D2E87" w:rsidRPr="00CE240B" w:rsidRDefault="001D2E87" w:rsidP="002867BC">
      <w:pPr>
        <w:pStyle w:val="ListParagraph"/>
        <w:numPr>
          <w:ilvl w:val="0"/>
          <w:numId w:val="43"/>
        </w:numPr>
        <w:spacing w:before="120" w:after="120"/>
        <w:ind w:right="340"/>
        <w:jc w:val="both"/>
        <w:rPr>
          <w:rFonts w:cs="Arial"/>
          <w:sz w:val="24"/>
        </w:rPr>
      </w:pPr>
      <w:r w:rsidRPr="00CE240B">
        <w:rPr>
          <w:rFonts w:cs="Arial"/>
          <w:sz w:val="24"/>
        </w:rPr>
        <w:t>Target of 95% CYP with eating disorders accessing treatment within 1-4 weeks depending on urgency</w:t>
      </w:r>
    </w:p>
    <w:p w14:paraId="46530646" w14:textId="77777777" w:rsidR="001D2E87" w:rsidRPr="007E7D73" w:rsidRDefault="001D2E87" w:rsidP="00CE240B">
      <w:pPr>
        <w:ind w:left="700" w:firstLine="380"/>
        <w:contextualSpacing/>
        <w:rPr>
          <w:rFonts w:cs="Arial"/>
          <w:b/>
          <w:color w:val="0070C0"/>
          <w:sz w:val="24"/>
        </w:rPr>
      </w:pPr>
      <w:r w:rsidRPr="007E7D73">
        <w:rPr>
          <w:rFonts w:cs="Arial"/>
          <w:b/>
          <w:color w:val="0070C0"/>
          <w:sz w:val="24"/>
        </w:rPr>
        <w:t xml:space="preserve">Adult Common Mental Illnesses </w:t>
      </w:r>
    </w:p>
    <w:p w14:paraId="7A248D82" w14:textId="77777777" w:rsidR="001D2E87" w:rsidRPr="00CE240B" w:rsidRDefault="001D2E87" w:rsidP="002867BC">
      <w:pPr>
        <w:pStyle w:val="ListParagraph"/>
        <w:numPr>
          <w:ilvl w:val="0"/>
          <w:numId w:val="44"/>
        </w:numPr>
        <w:spacing w:before="120" w:after="120"/>
        <w:ind w:right="340"/>
        <w:jc w:val="both"/>
        <w:rPr>
          <w:rFonts w:cs="Arial"/>
          <w:sz w:val="24"/>
        </w:rPr>
      </w:pPr>
      <w:r w:rsidRPr="00CE240B">
        <w:rPr>
          <w:rFonts w:cs="Arial"/>
          <w:sz w:val="24"/>
        </w:rPr>
        <w:t>Increase access to IAPT services</w:t>
      </w:r>
    </w:p>
    <w:p w14:paraId="6755AB83" w14:textId="77777777" w:rsidR="001D2E87" w:rsidRPr="007E7D73" w:rsidRDefault="001D2E87" w:rsidP="00CE240B">
      <w:pPr>
        <w:ind w:left="1080"/>
        <w:contextualSpacing/>
        <w:rPr>
          <w:rFonts w:cs="Arial"/>
          <w:b/>
          <w:color w:val="0070C0"/>
          <w:sz w:val="24"/>
        </w:rPr>
      </w:pPr>
      <w:r w:rsidRPr="007E7D73">
        <w:rPr>
          <w:rFonts w:cs="Arial"/>
          <w:b/>
          <w:color w:val="0070C0"/>
          <w:sz w:val="24"/>
        </w:rPr>
        <w:t>Adult Severe Mental Illnesses (SMI) Community Care</w:t>
      </w:r>
    </w:p>
    <w:p w14:paraId="5CA1A105" w14:textId="77777777" w:rsidR="001D2E87" w:rsidRPr="00CE240B" w:rsidRDefault="001D2E87" w:rsidP="002867BC">
      <w:pPr>
        <w:pStyle w:val="ListParagraph"/>
        <w:numPr>
          <w:ilvl w:val="0"/>
          <w:numId w:val="44"/>
        </w:numPr>
        <w:spacing w:before="120" w:after="120"/>
        <w:ind w:right="340"/>
        <w:jc w:val="both"/>
        <w:rPr>
          <w:rFonts w:cs="Arial"/>
          <w:b/>
          <w:sz w:val="24"/>
        </w:rPr>
      </w:pPr>
      <w:r w:rsidRPr="00CE240B">
        <w:rPr>
          <w:rFonts w:cs="Arial"/>
          <w:sz w:val="24"/>
        </w:rPr>
        <w:t>New integrated community models for adults with SMI (including care for people with eating disorders, mental health rehabilitation needs and a ‘personality disorder’ diagnosis) spanning both core community provision and also dedicated services will ensure adults and older adults per year have greater choice and control over their care, and are supported to live well in their communities</w:t>
      </w:r>
    </w:p>
    <w:p w14:paraId="3FAB3441" w14:textId="77777777" w:rsidR="001D2E87" w:rsidRPr="00CE240B" w:rsidRDefault="001D2E87" w:rsidP="00CE240B">
      <w:pPr>
        <w:pStyle w:val="ListParagraph"/>
        <w:ind w:left="1440"/>
        <w:rPr>
          <w:rFonts w:cs="Arial"/>
          <w:b/>
          <w:sz w:val="24"/>
        </w:rPr>
      </w:pPr>
    </w:p>
    <w:p w14:paraId="2600699F" w14:textId="77777777" w:rsidR="001D2E87" w:rsidRDefault="001D2E87" w:rsidP="00CE240B">
      <w:pPr>
        <w:pStyle w:val="ListParagraph"/>
        <w:ind w:left="1080"/>
        <w:rPr>
          <w:rFonts w:cs="Arial"/>
          <w:b/>
          <w:color w:val="0070C0"/>
          <w:sz w:val="24"/>
        </w:rPr>
      </w:pPr>
      <w:r w:rsidRPr="007E7D73">
        <w:rPr>
          <w:rFonts w:cs="Arial"/>
          <w:b/>
          <w:color w:val="0070C0"/>
          <w:sz w:val="24"/>
        </w:rPr>
        <w:t>Mental Health Crisis Care and Liaison</w:t>
      </w:r>
    </w:p>
    <w:p w14:paraId="201D117A" w14:textId="77777777" w:rsidR="007E7D73" w:rsidRPr="007E7D73" w:rsidRDefault="007E7D73" w:rsidP="00CE240B">
      <w:pPr>
        <w:pStyle w:val="ListParagraph"/>
        <w:ind w:left="1080"/>
        <w:rPr>
          <w:rFonts w:cs="Arial"/>
          <w:b/>
          <w:color w:val="0070C0"/>
          <w:sz w:val="24"/>
        </w:rPr>
      </w:pPr>
    </w:p>
    <w:p w14:paraId="78E0C197" w14:textId="77777777" w:rsidR="001D2E87" w:rsidRPr="00CE240B" w:rsidRDefault="001D2E87" w:rsidP="002867BC">
      <w:pPr>
        <w:pStyle w:val="ListParagraph"/>
        <w:numPr>
          <w:ilvl w:val="0"/>
          <w:numId w:val="44"/>
        </w:numPr>
        <w:spacing w:before="120" w:after="120"/>
        <w:ind w:right="340"/>
        <w:jc w:val="both"/>
        <w:rPr>
          <w:rFonts w:cs="Arial"/>
          <w:b/>
          <w:sz w:val="24"/>
        </w:rPr>
      </w:pPr>
      <w:r w:rsidRPr="00CE240B">
        <w:rPr>
          <w:rFonts w:cs="Arial"/>
          <w:sz w:val="24"/>
        </w:rPr>
        <w:t>provide crisis resolution and home treatment (CRHT) functions that are resourced to operate in line with recognised best practice, delivering a 24/7 community-based crisis response and intensive home treatment as an alternative to acute inpatient admission</w:t>
      </w:r>
    </w:p>
    <w:p w14:paraId="616FACF9" w14:textId="77777777" w:rsidR="001D2E87" w:rsidRPr="007E7D73" w:rsidRDefault="001D2E87" w:rsidP="00CE240B">
      <w:pPr>
        <w:ind w:left="1080"/>
        <w:contextualSpacing/>
        <w:rPr>
          <w:rFonts w:cs="Arial"/>
          <w:b/>
          <w:color w:val="0070C0"/>
          <w:sz w:val="24"/>
        </w:rPr>
      </w:pPr>
      <w:r w:rsidRPr="007E7D73">
        <w:rPr>
          <w:rFonts w:cs="Arial"/>
          <w:b/>
          <w:color w:val="0070C0"/>
          <w:sz w:val="24"/>
        </w:rPr>
        <w:t>Therapeutic Acute Mental Health Inpatient Care</w:t>
      </w:r>
    </w:p>
    <w:p w14:paraId="144BB4AF" w14:textId="77777777" w:rsidR="001D2E87" w:rsidRPr="00CE240B" w:rsidRDefault="001D2E87" w:rsidP="002867BC">
      <w:pPr>
        <w:pStyle w:val="ListParagraph"/>
        <w:numPr>
          <w:ilvl w:val="0"/>
          <w:numId w:val="44"/>
        </w:numPr>
        <w:spacing w:before="120" w:after="120"/>
        <w:ind w:right="340"/>
        <w:jc w:val="both"/>
        <w:rPr>
          <w:rFonts w:cs="Arial"/>
          <w:sz w:val="24"/>
        </w:rPr>
      </w:pPr>
      <w:r w:rsidRPr="00CE240B">
        <w:rPr>
          <w:rFonts w:cs="Arial"/>
          <w:sz w:val="24"/>
        </w:rPr>
        <w:t>Deliver against STP-level plans to eliminate all inappropriate adult acute out of area placements</w:t>
      </w:r>
    </w:p>
    <w:p w14:paraId="375F6A74" w14:textId="77777777" w:rsidR="001D2E87" w:rsidRPr="00CE240B" w:rsidRDefault="001D2E87" w:rsidP="002867BC">
      <w:pPr>
        <w:pStyle w:val="ListParagraph"/>
        <w:numPr>
          <w:ilvl w:val="0"/>
          <w:numId w:val="44"/>
        </w:numPr>
        <w:spacing w:before="120" w:after="120"/>
        <w:ind w:right="340"/>
        <w:jc w:val="both"/>
        <w:rPr>
          <w:rFonts w:cs="Arial"/>
          <w:sz w:val="24"/>
        </w:rPr>
      </w:pPr>
      <w:r w:rsidRPr="00CE240B">
        <w:rPr>
          <w:rFonts w:cs="Arial"/>
          <w:sz w:val="24"/>
        </w:rPr>
        <w:t>The therapeutic offer from inpatient mental health services will be improved by increased investment in interventions and activities, resulting in better patient outcomes and experience in hospital. This will contribute to a reduction in length of stay for all services to the current national average of 32 days (or fewer) in adult acute inpatient mental health settings</w:t>
      </w:r>
    </w:p>
    <w:p w14:paraId="6283A58D" w14:textId="77777777" w:rsidR="001D2E87" w:rsidRPr="00CE240B" w:rsidRDefault="001D2E87" w:rsidP="00255B1D">
      <w:pPr>
        <w:pStyle w:val="NoSpacing"/>
      </w:pPr>
    </w:p>
    <w:p w14:paraId="6F730203" w14:textId="77777777" w:rsidR="001D2E87" w:rsidRPr="007E7D73" w:rsidRDefault="001D2E87" w:rsidP="00CE240B">
      <w:pPr>
        <w:ind w:left="1080"/>
        <w:contextualSpacing/>
        <w:rPr>
          <w:rFonts w:cs="Arial"/>
          <w:b/>
          <w:color w:val="0070C0"/>
          <w:sz w:val="24"/>
        </w:rPr>
      </w:pPr>
      <w:r w:rsidRPr="007E7D73">
        <w:rPr>
          <w:rFonts w:cs="Arial"/>
          <w:b/>
          <w:color w:val="0070C0"/>
          <w:sz w:val="24"/>
        </w:rPr>
        <w:t>Suicide Reduction and Bereavement Support</w:t>
      </w:r>
    </w:p>
    <w:p w14:paraId="2A212D98" w14:textId="77777777" w:rsidR="001D2E87" w:rsidRPr="00CE240B" w:rsidRDefault="001D2E87" w:rsidP="002867BC">
      <w:pPr>
        <w:pStyle w:val="ListParagraph"/>
        <w:numPr>
          <w:ilvl w:val="0"/>
          <w:numId w:val="45"/>
        </w:numPr>
        <w:spacing w:before="120" w:after="120"/>
        <w:ind w:right="340"/>
        <w:jc w:val="both"/>
        <w:rPr>
          <w:rFonts w:cs="Arial"/>
          <w:sz w:val="24"/>
        </w:rPr>
      </w:pPr>
      <w:r w:rsidRPr="00CE240B">
        <w:rPr>
          <w:rFonts w:cs="Arial"/>
          <w:sz w:val="24"/>
        </w:rPr>
        <w:t>Deliver against multi-agency suicide prevention plans, working towards a national 10% reduction in suicides by 2020/21. This includes working closely with mental health providers to ensure plans are in place for a ‘zero suicide’ ambition for mental health inpatients</w:t>
      </w:r>
    </w:p>
    <w:p w14:paraId="55DEE779" w14:textId="77777777" w:rsidR="001D2E87" w:rsidRPr="007E7D73" w:rsidRDefault="001D2E87" w:rsidP="00CE240B">
      <w:pPr>
        <w:ind w:left="1080"/>
        <w:contextualSpacing/>
        <w:rPr>
          <w:rFonts w:cs="Arial"/>
          <w:b/>
          <w:color w:val="0070C0"/>
          <w:sz w:val="24"/>
        </w:rPr>
      </w:pPr>
      <w:r w:rsidRPr="007E7D73">
        <w:rPr>
          <w:rFonts w:cs="Arial"/>
          <w:b/>
          <w:color w:val="0070C0"/>
          <w:sz w:val="24"/>
        </w:rPr>
        <w:t>Problem Gambling Mental Health Support</w:t>
      </w:r>
    </w:p>
    <w:p w14:paraId="63630331" w14:textId="77777777" w:rsidR="001D2E87" w:rsidRPr="00CE240B" w:rsidRDefault="001D2E87" w:rsidP="002867BC">
      <w:pPr>
        <w:pStyle w:val="ListParagraph"/>
        <w:numPr>
          <w:ilvl w:val="0"/>
          <w:numId w:val="45"/>
        </w:numPr>
        <w:spacing w:before="120" w:after="120"/>
        <w:ind w:right="340"/>
        <w:jc w:val="both"/>
        <w:rPr>
          <w:rFonts w:cs="Arial"/>
          <w:sz w:val="24"/>
        </w:rPr>
      </w:pPr>
      <w:r w:rsidRPr="00CE240B">
        <w:rPr>
          <w:rFonts w:cs="Arial"/>
          <w:sz w:val="24"/>
        </w:rPr>
        <w:lastRenderedPageBreak/>
        <w:t>There will be a total of 15 new clinics providing NHS specialist treatment for people with serious gambling problems. This will include piloting provision for under 18s</w:t>
      </w:r>
    </w:p>
    <w:p w14:paraId="687E60C4" w14:textId="77777777" w:rsidR="001D2E87" w:rsidRPr="007E7D73" w:rsidRDefault="001D2E87" w:rsidP="00CE240B">
      <w:pPr>
        <w:ind w:left="1080"/>
        <w:contextualSpacing/>
        <w:rPr>
          <w:rFonts w:cs="Arial"/>
          <w:b/>
          <w:color w:val="0070C0"/>
          <w:sz w:val="24"/>
        </w:rPr>
      </w:pPr>
      <w:r w:rsidRPr="007E7D73">
        <w:rPr>
          <w:rFonts w:cs="Arial"/>
          <w:b/>
          <w:color w:val="0070C0"/>
          <w:sz w:val="24"/>
        </w:rPr>
        <w:t>Provider Collaboratives (formerly ‘New Care Models’) and Secure Care</w:t>
      </w:r>
    </w:p>
    <w:p w14:paraId="5353239B" w14:textId="77777777" w:rsidR="001D2E87" w:rsidRPr="00CE240B" w:rsidRDefault="001D2E87" w:rsidP="002867BC">
      <w:pPr>
        <w:pStyle w:val="ListParagraph"/>
        <w:numPr>
          <w:ilvl w:val="0"/>
          <w:numId w:val="45"/>
        </w:numPr>
        <w:spacing w:before="120" w:after="120"/>
        <w:ind w:right="340"/>
        <w:jc w:val="both"/>
        <w:rPr>
          <w:rFonts w:cs="Arial"/>
          <w:b/>
          <w:sz w:val="24"/>
        </w:rPr>
      </w:pPr>
      <w:r w:rsidRPr="00CE240B">
        <w:rPr>
          <w:rFonts w:cs="Arial"/>
          <w:sz w:val="24"/>
        </w:rPr>
        <w:t>All appropriate specialised mental health services, and learning disability and autism services, will be managed through NHS-led provider collaboratives over the next five years</w:t>
      </w:r>
    </w:p>
    <w:p w14:paraId="3789DA6F" w14:textId="77777777" w:rsidR="001D2E87" w:rsidRPr="00CE240B" w:rsidRDefault="001D2E87" w:rsidP="002867BC">
      <w:pPr>
        <w:pStyle w:val="ListParagraph"/>
        <w:numPr>
          <w:ilvl w:val="0"/>
          <w:numId w:val="45"/>
        </w:numPr>
        <w:spacing w:before="120" w:after="120"/>
        <w:ind w:right="340"/>
        <w:jc w:val="both"/>
        <w:rPr>
          <w:rFonts w:cs="Arial"/>
          <w:b/>
          <w:sz w:val="24"/>
        </w:rPr>
      </w:pPr>
      <w:r w:rsidRPr="00CE240B">
        <w:rPr>
          <w:rFonts w:cs="Arial"/>
          <w:sz w:val="24"/>
        </w:rPr>
        <w:t>NHS-led Provider Collaboratives will become the vehicle for rolling-out specialist community forensic care</w:t>
      </w:r>
    </w:p>
    <w:p w14:paraId="24B8CEA7" w14:textId="77777777" w:rsidR="00650EED" w:rsidRDefault="00650EED" w:rsidP="00CE240B">
      <w:pPr>
        <w:contextualSpacing/>
        <w:rPr>
          <w:rFonts w:cs="Arial"/>
          <w:b/>
          <w:sz w:val="24"/>
        </w:rPr>
      </w:pPr>
    </w:p>
    <w:p w14:paraId="3E8DA818" w14:textId="1B04DDAC" w:rsidR="001D2E87" w:rsidRPr="007E7D73" w:rsidRDefault="001D2E87" w:rsidP="00CE240B">
      <w:pPr>
        <w:contextualSpacing/>
        <w:rPr>
          <w:rFonts w:cs="Arial"/>
          <w:b/>
          <w:color w:val="0070C0"/>
          <w:sz w:val="24"/>
        </w:rPr>
      </w:pPr>
      <w:r w:rsidRPr="007E7D73">
        <w:rPr>
          <w:rFonts w:cs="Arial"/>
          <w:b/>
          <w:color w:val="0070C0"/>
          <w:sz w:val="24"/>
        </w:rPr>
        <w:t>4.3.3</w:t>
      </w:r>
      <w:r w:rsidRPr="007E7D73">
        <w:rPr>
          <w:rFonts w:cs="Arial"/>
          <w:b/>
          <w:color w:val="0070C0"/>
          <w:sz w:val="24"/>
        </w:rPr>
        <w:tab/>
        <w:t>Closing the Gap: Priorities for essential change in mental health (2014)</w:t>
      </w:r>
    </w:p>
    <w:p w14:paraId="33756FC4" w14:textId="77777777" w:rsidR="001D2E87" w:rsidRPr="007E7D73" w:rsidRDefault="001D2E87" w:rsidP="00CE240B">
      <w:pPr>
        <w:contextualSpacing/>
        <w:rPr>
          <w:rFonts w:cs="Arial"/>
          <w:color w:val="0070C0"/>
          <w:sz w:val="24"/>
        </w:rPr>
      </w:pPr>
    </w:p>
    <w:p w14:paraId="6BB5CCB4" w14:textId="77777777" w:rsidR="001D2E87" w:rsidRPr="00CE240B" w:rsidRDefault="001D2E87" w:rsidP="00CE240B">
      <w:pPr>
        <w:contextualSpacing/>
        <w:rPr>
          <w:rFonts w:cs="Arial"/>
          <w:sz w:val="24"/>
        </w:rPr>
      </w:pPr>
      <w:r w:rsidRPr="00CE240B">
        <w:rPr>
          <w:rFonts w:cs="Arial"/>
          <w:sz w:val="24"/>
        </w:rPr>
        <w:t xml:space="preserve">The report highlights that people who use Mental Health Services, and those that care for them, continue to report gaps in provision and long waits for services. It also highlights that there is still insufficient support within communities and that there is </w:t>
      </w:r>
      <w:proofErr w:type="gramStart"/>
      <w:r w:rsidRPr="00CE240B">
        <w:rPr>
          <w:rFonts w:cs="Arial"/>
          <w:sz w:val="24"/>
        </w:rPr>
        <w:t>as yet</w:t>
      </w:r>
      <w:proofErr w:type="gramEnd"/>
      <w:r w:rsidRPr="00CE240B">
        <w:rPr>
          <w:rFonts w:cs="Arial"/>
          <w:sz w:val="24"/>
        </w:rPr>
        <w:t xml:space="preserve"> little impact on the enormous gap in physical health outcomes for those with mental health problems.</w:t>
      </w:r>
    </w:p>
    <w:p w14:paraId="387B11FF" w14:textId="77777777" w:rsidR="001D2E87" w:rsidRPr="00CE240B" w:rsidRDefault="001D2E87" w:rsidP="00CE240B">
      <w:pPr>
        <w:contextualSpacing/>
        <w:rPr>
          <w:rFonts w:cs="Arial"/>
          <w:sz w:val="24"/>
        </w:rPr>
      </w:pPr>
      <w:r w:rsidRPr="00CE240B">
        <w:rPr>
          <w:rFonts w:cs="Arial"/>
          <w:sz w:val="24"/>
        </w:rPr>
        <w:t>The report identifies 25 aspects of mental health care and support where government, along with health and social care leaders, academics and a range of representative organisations, expect to see tangible changes in the next few years. The impact of these changes is not fully understood, however as an organisation the Trust recognises the need for change and will react accordingly when service change is required.</w:t>
      </w:r>
    </w:p>
    <w:p w14:paraId="646E402C" w14:textId="77777777" w:rsidR="001D2E87" w:rsidRPr="007E7D73" w:rsidRDefault="001D2E87" w:rsidP="00650EED">
      <w:pPr>
        <w:pStyle w:val="BlockText"/>
        <w:spacing w:line="240" w:lineRule="auto"/>
        <w:ind w:left="0"/>
        <w:contextualSpacing/>
        <w:rPr>
          <w:rFonts w:ascii="Arial" w:hAnsi="Arial" w:cs="Arial"/>
          <w:i/>
          <w:color w:val="0070C0"/>
        </w:rPr>
      </w:pPr>
      <w:r w:rsidRPr="007E7D73">
        <w:rPr>
          <w:rFonts w:ascii="Arial" w:hAnsi="Arial" w:cs="Arial"/>
          <w:color w:val="0070C0"/>
        </w:rPr>
        <w:t>4.3.4</w:t>
      </w:r>
      <w:r w:rsidRPr="007E7D73">
        <w:rPr>
          <w:rFonts w:ascii="Arial" w:hAnsi="Arial" w:cs="Arial"/>
          <w:color w:val="0070C0"/>
        </w:rPr>
        <w:tab/>
        <w:t>Transforming Care for People with Learning Disabilities - Next Steps (2015)</w:t>
      </w:r>
    </w:p>
    <w:p w14:paraId="74A0BE55" w14:textId="77777777" w:rsidR="001D2E87" w:rsidRPr="00CE240B" w:rsidRDefault="001D2E87" w:rsidP="00CE240B">
      <w:pPr>
        <w:contextualSpacing/>
        <w:rPr>
          <w:rFonts w:cs="Arial"/>
          <w:sz w:val="24"/>
        </w:rPr>
      </w:pPr>
      <w:r w:rsidRPr="00CE240B">
        <w:rPr>
          <w:rFonts w:cs="Arial"/>
          <w:sz w:val="24"/>
        </w:rPr>
        <w:t>The Government and leading organisations across health and social care are committed to transforming care for people with learning disabilities and / or autism who have a mental illness or whose behaviour challenges services. The report produced by Sir Stephen Bubb outlines how to accelerate the transformation of these services including developing a clearer model for health and care services, describing outcomes and associated performance indicators.</w:t>
      </w:r>
    </w:p>
    <w:p w14:paraId="5236C5D4" w14:textId="77777777" w:rsidR="00255B1D" w:rsidRDefault="00255B1D" w:rsidP="00CE240B">
      <w:pPr>
        <w:contextualSpacing/>
        <w:rPr>
          <w:rFonts w:cs="Arial"/>
          <w:sz w:val="24"/>
        </w:rPr>
      </w:pPr>
    </w:p>
    <w:p w14:paraId="55B2C7BA" w14:textId="30B95D23" w:rsidR="001D2E87" w:rsidRDefault="001D2E87" w:rsidP="00CE240B">
      <w:pPr>
        <w:contextualSpacing/>
        <w:rPr>
          <w:rFonts w:cs="Arial"/>
          <w:sz w:val="24"/>
        </w:rPr>
      </w:pPr>
      <w:r w:rsidRPr="00CE240B">
        <w:rPr>
          <w:rFonts w:cs="Arial"/>
          <w:sz w:val="24"/>
        </w:rPr>
        <w:t>As the provider of a comprehensive range of services for people with learning disabilities and / or autism the Trust is working with stakeholders to review and, where appropriate, reshape services</w:t>
      </w:r>
      <w:r w:rsidR="00255B1D">
        <w:rPr>
          <w:rFonts w:cs="Arial"/>
          <w:sz w:val="24"/>
        </w:rPr>
        <w:t>.</w:t>
      </w:r>
    </w:p>
    <w:p w14:paraId="5B7BA016" w14:textId="77777777" w:rsidR="00255B1D" w:rsidRPr="00CE240B" w:rsidRDefault="00255B1D" w:rsidP="00CE240B">
      <w:pPr>
        <w:contextualSpacing/>
        <w:rPr>
          <w:rFonts w:cs="Arial"/>
          <w:sz w:val="24"/>
        </w:rPr>
      </w:pPr>
    </w:p>
    <w:p w14:paraId="46A5065B" w14:textId="7E4F4ECE" w:rsidR="001D2E87" w:rsidRPr="00CE240B" w:rsidRDefault="002D27B6" w:rsidP="00CE240B">
      <w:pPr>
        <w:contextualSpacing/>
        <w:rPr>
          <w:rFonts w:cs="Arial"/>
          <w:sz w:val="24"/>
        </w:rPr>
      </w:pPr>
      <w:r w:rsidRPr="00CE240B">
        <w:rPr>
          <w:rFonts w:cs="Arial"/>
          <w:sz w:val="24"/>
        </w:rPr>
        <w:t>Guidelines</w:t>
      </w:r>
      <w:r w:rsidR="001D2E87" w:rsidRPr="00CE240B">
        <w:rPr>
          <w:rFonts w:cs="Arial"/>
          <w:sz w:val="24"/>
        </w:rPr>
        <w:t xml:space="preserve"> reflect on the investigation into the abuse at Winterbourne View and other similar hospitals and the commitment to transform care and support for people with a learning disability and/or autism who display behaviour that challenges, including behaviour that can lead to contact with the criminal justice system. This is focused on building up community capacity and reducing inappropriate hospital admissions.</w:t>
      </w:r>
    </w:p>
    <w:p w14:paraId="43F1BE74" w14:textId="77777777" w:rsidR="001D2E87" w:rsidRPr="007E7D73" w:rsidRDefault="001D2E87" w:rsidP="00650EED">
      <w:pPr>
        <w:pStyle w:val="BlockText"/>
        <w:spacing w:line="240" w:lineRule="auto"/>
        <w:ind w:left="0"/>
        <w:contextualSpacing/>
        <w:rPr>
          <w:rFonts w:ascii="Arial" w:hAnsi="Arial" w:cs="Arial"/>
          <w:i/>
          <w:color w:val="0070C0"/>
        </w:rPr>
      </w:pPr>
      <w:r w:rsidRPr="007E7D73">
        <w:rPr>
          <w:rFonts w:ascii="Arial" w:hAnsi="Arial" w:cs="Arial"/>
          <w:color w:val="0070C0"/>
        </w:rPr>
        <w:t>4.3.5</w:t>
      </w:r>
      <w:r w:rsidRPr="007E7D73">
        <w:rPr>
          <w:rFonts w:ascii="Arial" w:hAnsi="Arial" w:cs="Arial"/>
          <w:color w:val="0070C0"/>
        </w:rPr>
        <w:tab/>
        <w:t>Learning disabilities and behaviour that challenges: service design and delivery. NICE guideline [NG93]: March 2018</w:t>
      </w:r>
    </w:p>
    <w:p w14:paraId="2C244979" w14:textId="77777777" w:rsidR="001D2E87" w:rsidRPr="00CE240B" w:rsidRDefault="001D2E87" w:rsidP="00CE240B">
      <w:pPr>
        <w:contextualSpacing/>
        <w:rPr>
          <w:rFonts w:cs="Arial"/>
          <w:sz w:val="24"/>
        </w:rPr>
      </w:pPr>
      <w:r w:rsidRPr="00CE240B">
        <w:rPr>
          <w:rFonts w:cs="Arial"/>
          <w:sz w:val="24"/>
        </w:rPr>
        <w:t>This guideline covers services for children, young people and adults with a learning disability (or autism and a learning disability) and behaviour that challenges. It aims to promote a lifelong approach to supporting people and their families and carers, focusing on prevention and early intervention and minimising inpatient admissions.</w:t>
      </w:r>
    </w:p>
    <w:p w14:paraId="07237EED" w14:textId="77777777" w:rsidR="001D2E87" w:rsidRPr="00CE240B" w:rsidRDefault="001D2E87" w:rsidP="00CE240B">
      <w:pPr>
        <w:contextualSpacing/>
        <w:rPr>
          <w:rFonts w:cs="Arial"/>
          <w:sz w:val="24"/>
        </w:rPr>
      </w:pPr>
      <w:r w:rsidRPr="00CE240B">
        <w:rPr>
          <w:rFonts w:cs="Arial"/>
          <w:sz w:val="24"/>
        </w:rPr>
        <w:t xml:space="preserve">The guidance is clear that, children, young people and adults with a learning disability and behaviour should only be admitted to inpatient units if assessment and care planning show that their needs cannot be met safely in the community, and all possibilities for doing so have been considered and exhausted. This may therefore impact on the provision of services offered by CNTW. </w:t>
      </w:r>
    </w:p>
    <w:p w14:paraId="77C90703" w14:textId="77777777" w:rsidR="001D2E87" w:rsidRPr="007E7D73" w:rsidRDefault="001D2E87" w:rsidP="00650EED">
      <w:pPr>
        <w:pStyle w:val="BlockText"/>
        <w:spacing w:line="240" w:lineRule="auto"/>
        <w:ind w:left="0"/>
        <w:contextualSpacing/>
        <w:rPr>
          <w:rFonts w:ascii="Arial" w:hAnsi="Arial" w:cs="Arial"/>
          <w:i/>
          <w:color w:val="0070C0"/>
        </w:rPr>
      </w:pPr>
      <w:r w:rsidRPr="007E7D73">
        <w:rPr>
          <w:rFonts w:ascii="Arial" w:hAnsi="Arial" w:cs="Arial"/>
          <w:color w:val="0070C0"/>
        </w:rPr>
        <w:lastRenderedPageBreak/>
        <w:t>4.3.6</w:t>
      </w:r>
      <w:r w:rsidRPr="007E7D73">
        <w:rPr>
          <w:rFonts w:ascii="Arial" w:hAnsi="Arial" w:cs="Arial"/>
          <w:color w:val="0070C0"/>
        </w:rPr>
        <w:tab/>
        <w:t>Lord Carter: Review into Unwarranted Variations in Mental Health and Community Health Services: May 2018</w:t>
      </w:r>
    </w:p>
    <w:p w14:paraId="761EF1C7" w14:textId="77777777" w:rsidR="001D2E87" w:rsidRPr="00CE240B" w:rsidRDefault="001D2E87" w:rsidP="00CE240B">
      <w:pPr>
        <w:contextualSpacing/>
        <w:rPr>
          <w:rFonts w:cs="Arial"/>
          <w:sz w:val="24"/>
        </w:rPr>
      </w:pPr>
      <w:r w:rsidRPr="00CE240B">
        <w:rPr>
          <w:rFonts w:cs="Arial"/>
          <w:sz w:val="24"/>
        </w:rPr>
        <w:t xml:space="preserve">This review followed a similar piece of work which looked at the acute care sector. The report made </w:t>
      </w:r>
      <w:proofErr w:type="gramStart"/>
      <w:r w:rsidRPr="00CE240B">
        <w:rPr>
          <w:rFonts w:cs="Arial"/>
          <w:sz w:val="24"/>
        </w:rPr>
        <w:t>a number of</w:t>
      </w:r>
      <w:proofErr w:type="gramEnd"/>
      <w:r w:rsidRPr="00CE240B">
        <w:rPr>
          <w:rFonts w:cs="Arial"/>
          <w:sz w:val="24"/>
        </w:rPr>
        <w:t xml:space="preserve"> findings relating to estates and facilities management:</w:t>
      </w:r>
    </w:p>
    <w:p w14:paraId="1C2E4A85" w14:textId="77777777" w:rsidR="001D2E87" w:rsidRPr="00CE240B" w:rsidRDefault="001D2E87" w:rsidP="002867BC">
      <w:pPr>
        <w:pStyle w:val="ListParagraph"/>
        <w:numPr>
          <w:ilvl w:val="0"/>
          <w:numId w:val="40"/>
        </w:numPr>
        <w:spacing w:before="120" w:after="120"/>
        <w:ind w:right="340"/>
        <w:jc w:val="both"/>
        <w:rPr>
          <w:rFonts w:cs="Arial"/>
          <w:sz w:val="24"/>
        </w:rPr>
      </w:pPr>
      <w:r w:rsidRPr="00CE240B">
        <w:rPr>
          <w:rFonts w:cs="Arial"/>
          <w:sz w:val="24"/>
        </w:rPr>
        <w:t xml:space="preserve">Of the £1.3 billion spend per year by mental health and community trusts there was significant variation in the running costs per square metre, from about £30 to over £230, and in the use of space. </w:t>
      </w:r>
    </w:p>
    <w:p w14:paraId="36ED8118" w14:textId="77777777" w:rsidR="001D2E87" w:rsidRPr="00CE240B" w:rsidRDefault="001D2E87" w:rsidP="002867BC">
      <w:pPr>
        <w:pStyle w:val="ListParagraph"/>
        <w:numPr>
          <w:ilvl w:val="0"/>
          <w:numId w:val="40"/>
        </w:numPr>
        <w:spacing w:before="120" w:after="120"/>
        <w:ind w:right="340"/>
        <w:jc w:val="both"/>
        <w:rPr>
          <w:rFonts w:cs="Arial"/>
          <w:sz w:val="24"/>
        </w:rPr>
      </w:pPr>
      <w:r w:rsidRPr="00CE240B">
        <w:rPr>
          <w:rFonts w:cs="Arial"/>
          <w:sz w:val="24"/>
        </w:rPr>
        <w:t xml:space="preserve">There is scope for trusts to rationalise their estate, building on good practice demonstrated by </w:t>
      </w:r>
      <w:proofErr w:type="gramStart"/>
      <w:r w:rsidRPr="00CE240B">
        <w:rPr>
          <w:rFonts w:cs="Arial"/>
          <w:sz w:val="24"/>
        </w:rPr>
        <w:t>a number of</w:t>
      </w:r>
      <w:proofErr w:type="gramEnd"/>
      <w:r w:rsidRPr="00CE240B">
        <w:rPr>
          <w:rFonts w:cs="Arial"/>
          <w:sz w:val="24"/>
        </w:rPr>
        <w:t xml:space="preserve"> trusts across the sectors, and in line with ongoing work in STPs. One trust found it could dispose of 14% of its properties.</w:t>
      </w:r>
    </w:p>
    <w:p w14:paraId="507E5913" w14:textId="77777777" w:rsidR="001D2E87" w:rsidRPr="00CE240B" w:rsidRDefault="001D2E87" w:rsidP="002867BC">
      <w:pPr>
        <w:pStyle w:val="ListParagraph"/>
        <w:numPr>
          <w:ilvl w:val="0"/>
          <w:numId w:val="40"/>
        </w:numPr>
        <w:spacing w:before="120" w:after="120"/>
        <w:ind w:right="340"/>
        <w:jc w:val="both"/>
        <w:rPr>
          <w:rFonts w:cs="Arial"/>
          <w:sz w:val="24"/>
        </w:rPr>
      </w:pPr>
      <w:r w:rsidRPr="00CE240B">
        <w:rPr>
          <w:rFonts w:cs="Arial"/>
          <w:sz w:val="24"/>
        </w:rPr>
        <w:t>The review found that on average 3.7% of space in the community and mental health sectors is left empty, with a further 2.2% underused. In terms of leasing property, the report recommends that NHS Property Services and Community Health Partnerships arrangements should be reviewed.</w:t>
      </w:r>
    </w:p>
    <w:p w14:paraId="1A2C0233" w14:textId="77777777" w:rsidR="001D2E87" w:rsidRPr="00CE240B" w:rsidRDefault="001D2E87" w:rsidP="002867BC">
      <w:pPr>
        <w:pStyle w:val="ListParagraph"/>
        <w:numPr>
          <w:ilvl w:val="0"/>
          <w:numId w:val="40"/>
        </w:numPr>
        <w:spacing w:before="120" w:after="120"/>
        <w:ind w:right="340"/>
        <w:jc w:val="both"/>
        <w:rPr>
          <w:rFonts w:cs="Arial"/>
          <w:sz w:val="24"/>
        </w:rPr>
      </w:pPr>
      <w:r w:rsidRPr="00CE240B">
        <w:rPr>
          <w:rFonts w:cs="Arial"/>
          <w:sz w:val="24"/>
        </w:rPr>
        <w:t>NHS Improvement will provide a more comprehensive set of benchmarks for the sectors, and trusts should review their estate to identify opportunities for consolidation and rationalisation.</w:t>
      </w:r>
    </w:p>
    <w:p w14:paraId="0947C4F8" w14:textId="77777777" w:rsidR="001D2E87" w:rsidRDefault="001D2E87" w:rsidP="002867BC">
      <w:pPr>
        <w:pStyle w:val="ListParagraph"/>
        <w:numPr>
          <w:ilvl w:val="0"/>
          <w:numId w:val="40"/>
        </w:numPr>
        <w:spacing w:before="120" w:after="120"/>
        <w:ind w:right="340"/>
        <w:jc w:val="both"/>
        <w:rPr>
          <w:rFonts w:cs="Arial"/>
          <w:sz w:val="24"/>
        </w:rPr>
      </w:pPr>
      <w:r w:rsidRPr="00CE240B">
        <w:rPr>
          <w:rFonts w:cs="Arial"/>
          <w:sz w:val="24"/>
        </w:rPr>
        <w:t>NHS Improvement will also review the current arrangements for estates leased from property companies.</w:t>
      </w:r>
    </w:p>
    <w:p w14:paraId="4CD7E090" w14:textId="77777777" w:rsidR="00650EED" w:rsidRDefault="00650EED" w:rsidP="00650EED">
      <w:pPr>
        <w:spacing w:before="120" w:after="120"/>
        <w:ind w:right="340"/>
        <w:jc w:val="both"/>
        <w:rPr>
          <w:rFonts w:cs="Arial"/>
          <w:sz w:val="24"/>
        </w:rPr>
      </w:pPr>
    </w:p>
    <w:p w14:paraId="00854B26" w14:textId="77777777" w:rsidR="001D2E87" w:rsidRPr="00CE240B" w:rsidRDefault="001D2E87" w:rsidP="00CE240B">
      <w:pPr>
        <w:contextualSpacing/>
        <w:rPr>
          <w:rFonts w:cs="Arial"/>
          <w:sz w:val="24"/>
        </w:rPr>
      </w:pPr>
      <w:r w:rsidRPr="00CE240B">
        <w:rPr>
          <w:rFonts w:cs="Arial"/>
          <w:sz w:val="24"/>
        </w:rPr>
        <w:t xml:space="preserve">The Estates Strategy for CNTW must therefore be mindful of the findings of the Carter review recognising the value of the Estate and the impact on positive patient outcomes along with the challenges of ensuring estate is efficiently operated and delivers value for </w:t>
      </w:r>
      <w:proofErr w:type="gramStart"/>
      <w:r w:rsidRPr="00CE240B">
        <w:rPr>
          <w:rFonts w:cs="Arial"/>
          <w:sz w:val="24"/>
        </w:rPr>
        <w:t>money..</w:t>
      </w:r>
      <w:proofErr w:type="gramEnd"/>
    </w:p>
    <w:p w14:paraId="14A0A34F" w14:textId="77777777" w:rsidR="001D2E87" w:rsidRPr="007E7D73" w:rsidRDefault="001D2E87" w:rsidP="00650EED">
      <w:pPr>
        <w:pStyle w:val="BlockText"/>
        <w:spacing w:line="240" w:lineRule="auto"/>
        <w:ind w:left="0"/>
        <w:contextualSpacing/>
        <w:rPr>
          <w:rFonts w:ascii="Arial" w:hAnsi="Arial" w:cs="Arial"/>
          <w:i/>
          <w:color w:val="0070C0"/>
        </w:rPr>
      </w:pPr>
      <w:r w:rsidRPr="007E7D73">
        <w:rPr>
          <w:rFonts w:ascii="Arial" w:hAnsi="Arial" w:cs="Arial"/>
          <w:color w:val="0070C0"/>
        </w:rPr>
        <w:t>4.3.7</w:t>
      </w:r>
      <w:r w:rsidRPr="007E7D73">
        <w:rPr>
          <w:rFonts w:ascii="Arial" w:hAnsi="Arial" w:cs="Arial"/>
          <w:color w:val="0070C0"/>
        </w:rPr>
        <w:tab/>
        <w:t>NAYLOR Report NHS Property and Estates - Why the Estate matters for Patients: 2017</w:t>
      </w:r>
    </w:p>
    <w:p w14:paraId="71A5D182" w14:textId="646EDAEE" w:rsidR="001D2E87" w:rsidRPr="00CE240B" w:rsidRDefault="001D2E87" w:rsidP="00CE240B">
      <w:pPr>
        <w:contextualSpacing/>
        <w:rPr>
          <w:rFonts w:cs="Arial"/>
          <w:sz w:val="24"/>
        </w:rPr>
      </w:pPr>
      <w:r w:rsidRPr="00CE240B">
        <w:rPr>
          <w:rFonts w:cs="Arial"/>
          <w:sz w:val="24"/>
        </w:rPr>
        <w:t xml:space="preserve">The Naylor report followed a </w:t>
      </w:r>
      <w:r w:rsidR="002D27B6" w:rsidRPr="00CE240B">
        <w:rPr>
          <w:rFonts w:cs="Arial"/>
          <w:sz w:val="24"/>
        </w:rPr>
        <w:t>high-level</w:t>
      </w:r>
      <w:r w:rsidRPr="00CE240B">
        <w:rPr>
          <w:rFonts w:cs="Arial"/>
          <w:sz w:val="24"/>
        </w:rPr>
        <w:t xml:space="preserve"> review considering the options open to the NHS to achieve best value, from NHS property, in alignment with the delivery of the vision set out in the 5YFV.</w:t>
      </w:r>
    </w:p>
    <w:p w14:paraId="01635C55" w14:textId="0CE5D91D" w:rsidR="001D2E87" w:rsidRPr="00CE240B" w:rsidRDefault="001D2E87" w:rsidP="00CE240B">
      <w:pPr>
        <w:contextualSpacing/>
        <w:rPr>
          <w:rFonts w:cs="Arial"/>
          <w:sz w:val="24"/>
        </w:rPr>
      </w:pPr>
      <w:r w:rsidRPr="00CE240B">
        <w:rPr>
          <w:rFonts w:cs="Arial"/>
          <w:sz w:val="24"/>
        </w:rPr>
        <w:t xml:space="preserve">The Naylor report was clear that the “NHS estate is one of the key enablers to change in the health system and directly contributes to the delivery of </w:t>
      </w:r>
      <w:r w:rsidR="002D27B6" w:rsidRPr="00CE240B">
        <w:rPr>
          <w:rFonts w:cs="Arial"/>
          <w:sz w:val="24"/>
        </w:rPr>
        <w:t>high-quality</w:t>
      </w:r>
      <w:r w:rsidRPr="00CE240B">
        <w:rPr>
          <w:rFonts w:cs="Arial"/>
          <w:sz w:val="24"/>
        </w:rPr>
        <w:t xml:space="preserve"> healthcare to patients”. However, it also acknowledged the </w:t>
      </w:r>
      <w:proofErr w:type="gramStart"/>
      <w:r w:rsidRPr="00CE240B">
        <w:rPr>
          <w:rFonts w:cs="Arial"/>
          <w:sz w:val="24"/>
        </w:rPr>
        <w:t>general consensus</w:t>
      </w:r>
      <w:proofErr w:type="gramEnd"/>
      <w:r w:rsidRPr="00CE240B">
        <w:rPr>
          <w:rFonts w:cs="Arial"/>
          <w:sz w:val="24"/>
        </w:rPr>
        <w:t xml:space="preserve"> that the current NHS capital investment is insufficient to fund transformation and maintain the current estate. It was estimated that in England the capital requirements might total around £10bn, with a conservative estimate of backlog maintenance at £5bn and a similar sum likely to be required to deliver the 5YFV.  The view was that this could be funded through property disposals, private capital (for primary care) and from HM Treasury. However, the NHS needs to develop a robust capital strategy to determine the final investment requirements through the STP plans. This review was predicated on widely accepted assumptions that the NHS estate is not currently configured to maximise benefits for patients or taxpayers. It considered: </w:t>
      </w:r>
    </w:p>
    <w:p w14:paraId="5BD9DA8E" w14:textId="77777777" w:rsidR="001D2E87" w:rsidRPr="00CE240B" w:rsidRDefault="001D2E87" w:rsidP="002867BC">
      <w:pPr>
        <w:pStyle w:val="ListParagraph"/>
        <w:numPr>
          <w:ilvl w:val="0"/>
          <w:numId w:val="41"/>
        </w:numPr>
        <w:spacing w:before="120" w:after="120"/>
        <w:ind w:right="340"/>
        <w:jc w:val="both"/>
        <w:rPr>
          <w:rFonts w:cs="Arial"/>
          <w:sz w:val="24"/>
        </w:rPr>
      </w:pPr>
      <w:r w:rsidRPr="00CE240B">
        <w:rPr>
          <w:rFonts w:cs="Arial"/>
          <w:sz w:val="24"/>
        </w:rPr>
        <w:t>the size of the opportunity – building on the Carter Report on efficiency</w:t>
      </w:r>
    </w:p>
    <w:p w14:paraId="4FA263D6" w14:textId="77777777" w:rsidR="001D2E87" w:rsidRPr="00CE240B" w:rsidRDefault="001D2E87" w:rsidP="002867BC">
      <w:pPr>
        <w:pStyle w:val="ListParagraph"/>
        <w:numPr>
          <w:ilvl w:val="0"/>
          <w:numId w:val="41"/>
        </w:numPr>
        <w:spacing w:before="120" w:after="120"/>
        <w:ind w:right="340"/>
        <w:jc w:val="both"/>
        <w:rPr>
          <w:rFonts w:cs="Arial"/>
          <w:sz w:val="24"/>
        </w:rPr>
      </w:pPr>
      <w:r w:rsidRPr="00CE240B">
        <w:rPr>
          <w:rFonts w:cs="Arial"/>
          <w:sz w:val="24"/>
        </w:rPr>
        <w:t>the mix of incentives and sanctions required for delivery</w:t>
      </w:r>
    </w:p>
    <w:p w14:paraId="23DCDD6A" w14:textId="77777777" w:rsidR="001D2E87" w:rsidRPr="00CE240B" w:rsidRDefault="001D2E87" w:rsidP="002867BC">
      <w:pPr>
        <w:pStyle w:val="ListParagraph"/>
        <w:numPr>
          <w:ilvl w:val="0"/>
          <w:numId w:val="41"/>
        </w:numPr>
        <w:spacing w:before="120" w:after="120"/>
        <w:ind w:right="340"/>
        <w:jc w:val="both"/>
        <w:rPr>
          <w:rFonts w:cs="Arial"/>
          <w:sz w:val="24"/>
        </w:rPr>
      </w:pPr>
      <w:r w:rsidRPr="00CE240B">
        <w:rPr>
          <w:rFonts w:cs="Arial"/>
          <w:sz w:val="24"/>
        </w:rPr>
        <w:t>how to strengthen capacity and capability across the system</w:t>
      </w:r>
    </w:p>
    <w:p w14:paraId="6B26E8B9" w14:textId="77777777" w:rsidR="001D2E87" w:rsidRPr="00CE240B" w:rsidRDefault="001D2E87" w:rsidP="00CE240B">
      <w:pPr>
        <w:contextualSpacing/>
        <w:rPr>
          <w:rFonts w:cs="Arial"/>
          <w:sz w:val="24"/>
        </w:rPr>
      </w:pPr>
      <w:r w:rsidRPr="00CE240B">
        <w:rPr>
          <w:rFonts w:cs="Arial"/>
          <w:sz w:val="24"/>
        </w:rPr>
        <w:t xml:space="preserve">The Estates Strategy for CNTW must therefore be mindful of the findings of the Naylor Report, recognising the value of the Estate and the impact on positive patient outcomes along with the challenges of funding capital investment and the need to innovatively look to extract value out of the residual estate including the sale and disposal of surplus estate. </w:t>
      </w:r>
    </w:p>
    <w:p w14:paraId="4AB98F82" w14:textId="77777777" w:rsidR="00650EED" w:rsidRDefault="00650EED" w:rsidP="00650EED">
      <w:pPr>
        <w:pStyle w:val="Heading2"/>
        <w:ind w:left="0"/>
      </w:pPr>
    </w:p>
    <w:p w14:paraId="4EBAEA68" w14:textId="129BD41E" w:rsidR="001D2E87" w:rsidRPr="002D27B6" w:rsidRDefault="001D2E87" w:rsidP="00650EED">
      <w:pPr>
        <w:pStyle w:val="Heading2"/>
        <w:ind w:left="0"/>
        <w:rPr>
          <w:color w:val="0070C0"/>
        </w:rPr>
      </w:pPr>
      <w:r w:rsidRPr="002D27B6">
        <w:rPr>
          <w:color w:val="0070C0"/>
        </w:rPr>
        <w:t>4.4</w:t>
      </w:r>
      <w:r w:rsidRPr="002D27B6">
        <w:rPr>
          <w:color w:val="0070C0"/>
        </w:rPr>
        <w:tab/>
        <w:t>Local Health Economy Drivers</w:t>
      </w:r>
    </w:p>
    <w:p w14:paraId="5D567B71" w14:textId="77777777" w:rsidR="002D27B6" w:rsidRPr="002D27B6" w:rsidRDefault="002D27B6" w:rsidP="002D27B6">
      <w:pPr>
        <w:rPr>
          <w:lang w:eastAsia="en-GB"/>
        </w:rPr>
      </w:pPr>
    </w:p>
    <w:p w14:paraId="73BF7284" w14:textId="77777777" w:rsidR="001D2E87" w:rsidRPr="00CE240B" w:rsidRDefault="001D2E87" w:rsidP="00CE240B">
      <w:pPr>
        <w:contextualSpacing/>
        <w:rPr>
          <w:rFonts w:cs="Arial"/>
          <w:sz w:val="24"/>
        </w:rPr>
      </w:pPr>
      <w:r w:rsidRPr="00CE240B">
        <w:rPr>
          <w:rFonts w:cs="Arial"/>
          <w:sz w:val="24"/>
        </w:rPr>
        <w:t xml:space="preserve">On a local basis there are </w:t>
      </w:r>
      <w:proofErr w:type="gramStart"/>
      <w:r w:rsidRPr="00CE240B">
        <w:rPr>
          <w:rFonts w:cs="Arial"/>
          <w:sz w:val="24"/>
        </w:rPr>
        <w:t>a number of</w:t>
      </w:r>
      <w:proofErr w:type="gramEnd"/>
      <w:r w:rsidRPr="00CE240B">
        <w:rPr>
          <w:rFonts w:cs="Arial"/>
          <w:sz w:val="24"/>
        </w:rPr>
        <w:t xml:space="preserve"> factors that are driving the current estates development, these include:</w:t>
      </w:r>
    </w:p>
    <w:p w14:paraId="129930E2" w14:textId="77777777" w:rsidR="001D2E87" w:rsidRPr="00CE240B" w:rsidRDefault="001D2E87" w:rsidP="002867BC">
      <w:pPr>
        <w:pStyle w:val="ListParagraph"/>
        <w:numPr>
          <w:ilvl w:val="0"/>
          <w:numId w:val="54"/>
        </w:numPr>
        <w:spacing w:before="120" w:after="120"/>
        <w:ind w:right="340"/>
        <w:jc w:val="both"/>
        <w:rPr>
          <w:rFonts w:cs="Arial"/>
          <w:sz w:val="24"/>
        </w:rPr>
      </w:pPr>
      <w:r w:rsidRPr="00CE240B">
        <w:rPr>
          <w:rFonts w:cs="Arial"/>
          <w:sz w:val="24"/>
        </w:rPr>
        <w:t>Former CCG Strategy for Newcastle &amp; Gateshead Adult Acute Mental Health Inpatient Services</w:t>
      </w:r>
    </w:p>
    <w:p w14:paraId="19F51C8E" w14:textId="77777777" w:rsidR="001D2E87" w:rsidRPr="00CE240B" w:rsidRDefault="001D2E87" w:rsidP="002867BC">
      <w:pPr>
        <w:pStyle w:val="ListParagraph"/>
        <w:numPr>
          <w:ilvl w:val="0"/>
          <w:numId w:val="54"/>
        </w:numPr>
        <w:spacing w:before="120" w:after="120"/>
        <w:ind w:right="340"/>
        <w:jc w:val="both"/>
        <w:rPr>
          <w:rFonts w:cs="Arial"/>
          <w:sz w:val="24"/>
        </w:rPr>
      </w:pPr>
      <w:r w:rsidRPr="00CE240B">
        <w:rPr>
          <w:rFonts w:cs="Arial"/>
          <w:sz w:val="24"/>
        </w:rPr>
        <w:t>Strategy for Adolescent Medium Secure Services</w:t>
      </w:r>
    </w:p>
    <w:p w14:paraId="6B552DE1" w14:textId="77777777" w:rsidR="001D2E87" w:rsidRPr="00CE240B" w:rsidRDefault="001D2E87" w:rsidP="002867BC">
      <w:pPr>
        <w:pStyle w:val="ListParagraph"/>
        <w:numPr>
          <w:ilvl w:val="0"/>
          <w:numId w:val="54"/>
        </w:numPr>
        <w:spacing w:before="120" w:after="120"/>
        <w:ind w:right="340"/>
        <w:jc w:val="both"/>
        <w:rPr>
          <w:rFonts w:cs="Arial"/>
          <w:sz w:val="24"/>
        </w:rPr>
      </w:pPr>
      <w:r w:rsidRPr="00CE240B">
        <w:rPr>
          <w:rFonts w:cs="Arial"/>
          <w:sz w:val="24"/>
        </w:rPr>
        <w:t>Strategy for Adult Medium Secure Services</w:t>
      </w:r>
    </w:p>
    <w:p w14:paraId="3DCDF6B7" w14:textId="77777777" w:rsidR="001D2E87" w:rsidRPr="00CE240B" w:rsidRDefault="001D2E87" w:rsidP="00CE240B">
      <w:pPr>
        <w:contextualSpacing/>
        <w:rPr>
          <w:rFonts w:cs="Arial"/>
          <w:sz w:val="24"/>
        </w:rPr>
      </w:pPr>
      <w:r w:rsidRPr="00CE240B">
        <w:rPr>
          <w:rFonts w:cs="Arial"/>
          <w:sz w:val="24"/>
        </w:rPr>
        <w:t xml:space="preserve">The above strategies resulted in the creation of the current CEDAR program which will deliver against each of the above. </w:t>
      </w:r>
    </w:p>
    <w:p w14:paraId="217EAC90" w14:textId="16D8B4C6" w:rsidR="001D2E87" w:rsidRDefault="001D2E87" w:rsidP="00650EED">
      <w:pPr>
        <w:pStyle w:val="Heading2"/>
        <w:ind w:left="0"/>
        <w:rPr>
          <w:color w:val="0070C0"/>
        </w:rPr>
      </w:pPr>
      <w:r w:rsidRPr="002D27B6">
        <w:rPr>
          <w:color w:val="0070C0"/>
        </w:rPr>
        <w:t>4.5</w:t>
      </w:r>
      <w:r w:rsidRPr="002D27B6">
        <w:rPr>
          <w:color w:val="0070C0"/>
        </w:rPr>
        <w:tab/>
        <w:t>Cumbria Transfer of Services</w:t>
      </w:r>
    </w:p>
    <w:p w14:paraId="46B9BF42" w14:textId="77777777" w:rsidR="002D27B6" w:rsidRPr="002D27B6" w:rsidRDefault="002D27B6" w:rsidP="002D27B6">
      <w:pPr>
        <w:rPr>
          <w:lang w:eastAsia="en-GB"/>
        </w:rPr>
      </w:pPr>
    </w:p>
    <w:p w14:paraId="13AEE13D" w14:textId="77777777" w:rsidR="001D2E87" w:rsidRPr="00CE240B" w:rsidRDefault="001D2E87" w:rsidP="00CE240B">
      <w:pPr>
        <w:contextualSpacing/>
        <w:rPr>
          <w:rFonts w:cs="Arial"/>
          <w:sz w:val="24"/>
        </w:rPr>
      </w:pPr>
      <w:r w:rsidRPr="00CE240B">
        <w:rPr>
          <w:rFonts w:cs="Arial"/>
          <w:sz w:val="24"/>
        </w:rPr>
        <w:t xml:space="preserve">The transfer of clinical services and the creation of CNTW took place in October 2019. </w:t>
      </w:r>
    </w:p>
    <w:p w14:paraId="37039B3B" w14:textId="77777777" w:rsidR="001D2E87" w:rsidRPr="00CE240B" w:rsidRDefault="001D2E87" w:rsidP="00CE240B">
      <w:pPr>
        <w:contextualSpacing/>
        <w:rPr>
          <w:rFonts w:cs="Arial"/>
          <w:sz w:val="24"/>
        </w:rPr>
      </w:pPr>
      <w:r w:rsidRPr="00CE240B">
        <w:rPr>
          <w:rFonts w:cs="Arial"/>
          <w:sz w:val="24"/>
        </w:rPr>
        <w:t>North Cumbria became another CBU within the Trust’s portfolio of services. The Locality would focus on the population base and have direct links with its local statutory and non-statutory partner organisations.</w:t>
      </w:r>
    </w:p>
    <w:p w14:paraId="2066F782" w14:textId="3A86EBB1" w:rsidR="001D2E87" w:rsidRPr="00CE240B" w:rsidRDefault="001D2E87" w:rsidP="00CE240B">
      <w:pPr>
        <w:contextualSpacing/>
        <w:rPr>
          <w:rFonts w:cs="Arial"/>
          <w:sz w:val="24"/>
        </w:rPr>
      </w:pPr>
      <w:r w:rsidRPr="00CE240B">
        <w:rPr>
          <w:rFonts w:cs="Arial"/>
          <w:sz w:val="24"/>
        </w:rPr>
        <w:t xml:space="preserve">At the time of transfer the Estate at Cumbria </w:t>
      </w:r>
      <w:proofErr w:type="gramStart"/>
      <w:r w:rsidRPr="00CE240B">
        <w:rPr>
          <w:rFonts w:cs="Arial"/>
          <w:sz w:val="24"/>
        </w:rPr>
        <w:t>was in need of</w:t>
      </w:r>
      <w:proofErr w:type="gramEnd"/>
      <w:r w:rsidRPr="00CE240B">
        <w:rPr>
          <w:rFonts w:cs="Arial"/>
          <w:sz w:val="24"/>
        </w:rPr>
        <w:t xml:space="preserve"> significant </w:t>
      </w:r>
      <w:r w:rsidR="002D27B6" w:rsidRPr="00CE240B">
        <w:rPr>
          <w:rFonts w:cs="Arial"/>
          <w:sz w:val="24"/>
        </w:rPr>
        <w:t>short- and medium-term</w:t>
      </w:r>
      <w:r w:rsidRPr="00CE240B">
        <w:rPr>
          <w:rFonts w:cs="Arial"/>
          <w:sz w:val="24"/>
        </w:rPr>
        <w:t xml:space="preserve"> investment. Following on from the merger some investment has taken place on the Carleton Clinic and Yewdale sites to improve inpatient environments. </w:t>
      </w:r>
    </w:p>
    <w:p w14:paraId="2931FE3C" w14:textId="77777777" w:rsidR="001D2E87" w:rsidRPr="00CE240B" w:rsidRDefault="001D2E87" w:rsidP="00CE240B">
      <w:pPr>
        <w:contextualSpacing/>
        <w:rPr>
          <w:rFonts w:cs="Arial"/>
          <w:sz w:val="24"/>
        </w:rPr>
      </w:pPr>
      <w:r w:rsidRPr="00CE240B">
        <w:rPr>
          <w:rFonts w:cs="Arial"/>
          <w:sz w:val="24"/>
        </w:rPr>
        <w:t>Future capital expenditure is required on the estate, these areas and associated capital expenditure (based on 2018 values) are as follows, note these are indicative dates and costs:</w:t>
      </w:r>
    </w:p>
    <w:p w14:paraId="7DF30CA0" w14:textId="77777777" w:rsidR="001D2E87" w:rsidRPr="00CE240B" w:rsidRDefault="001D2E87" w:rsidP="002867BC">
      <w:pPr>
        <w:pStyle w:val="ListParagraph"/>
        <w:numPr>
          <w:ilvl w:val="0"/>
          <w:numId w:val="46"/>
        </w:numPr>
        <w:spacing w:before="120" w:after="120"/>
        <w:ind w:right="340"/>
        <w:jc w:val="both"/>
        <w:rPr>
          <w:rFonts w:cs="Arial"/>
          <w:sz w:val="24"/>
        </w:rPr>
      </w:pPr>
      <w:r w:rsidRPr="00CE240B">
        <w:rPr>
          <w:rFonts w:cs="Arial"/>
          <w:sz w:val="24"/>
        </w:rPr>
        <w:t>Medium term - relocation of services such as Yewdale Ward to Carleton Clinic</w:t>
      </w:r>
    </w:p>
    <w:p w14:paraId="7038453E" w14:textId="77777777" w:rsidR="001D2E87" w:rsidRPr="00CE240B" w:rsidRDefault="001D2E87" w:rsidP="00CE240B">
      <w:pPr>
        <w:pStyle w:val="ListParagraph"/>
        <w:ind w:left="2160"/>
        <w:rPr>
          <w:rFonts w:cs="Arial"/>
          <w:sz w:val="24"/>
        </w:rPr>
      </w:pPr>
      <w:r w:rsidRPr="00CE240B">
        <w:rPr>
          <w:rFonts w:cs="Arial"/>
          <w:sz w:val="24"/>
        </w:rPr>
        <w:t>£4M</w:t>
      </w:r>
    </w:p>
    <w:p w14:paraId="39C543C0" w14:textId="77777777" w:rsidR="001D2E87" w:rsidRPr="00CE240B" w:rsidRDefault="001D2E87" w:rsidP="002867BC">
      <w:pPr>
        <w:pStyle w:val="ListParagraph"/>
        <w:numPr>
          <w:ilvl w:val="0"/>
          <w:numId w:val="46"/>
        </w:numPr>
        <w:spacing w:before="120" w:after="120"/>
        <w:ind w:right="340"/>
        <w:jc w:val="both"/>
        <w:rPr>
          <w:rFonts w:cs="Arial"/>
          <w:sz w:val="24"/>
        </w:rPr>
      </w:pPr>
      <w:r w:rsidRPr="00CE240B">
        <w:rPr>
          <w:rFonts w:cs="Arial"/>
          <w:sz w:val="24"/>
        </w:rPr>
        <w:t xml:space="preserve">Long term redevelopment of the estate to bring it in line with the accommodation provided by the NTW Trust - this will be dependent on a range of factors  </w:t>
      </w:r>
    </w:p>
    <w:p w14:paraId="5FC4E9B3" w14:textId="77777777" w:rsidR="001D2E87" w:rsidRPr="00CE240B" w:rsidRDefault="001D2E87" w:rsidP="00CE240B">
      <w:pPr>
        <w:pStyle w:val="ListParagraph"/>
        <w:ind w:left="2160"/>
        <w:rPr>
          <w:rFonts w:cs="Arial"/>
          <w:sz w:val="24"/>
        </w:rPr>
      </w:pPr>
      <w:r w:rsidRPr="00CE240B">
        <w:rPr>
          <w:rFonts w:cs="Arial"/>
          <w:sz w:val="24"/>
        </w:rPr>
        <w:t>£40-50M</w:t>
      </w:r>
    </w:p>
    <w:p w14:paraId="204666C6" w14:textId="77777777" w:rsidR="001D2E87" w:rsidRPr="00CE240B" w:rsidRDefault="001D2E87" w:rsidP="00CE240B">
      <w:pPr>
        <w:contextualSpacing/>
        <w:rPr>
          <w:rFonts w:cs="Arial"/>
          <w:sz w:val="24"/>
        </w:rPr>
      </w:pPr>
    </w:p>
    <w:p w14:paraId="4CEBB26D" w14:textId="25AA71B3" w:rsidR="001D2E87" w:rsidRPr="002D27B6" w:rsidRDefault="001D2E87" w:rsidP="00650EED">
      <w:pPr>
        <w:pStyle w:val="Heading2"/>
        <w:ind w:left="0"/>
        <w:rPr>
          <w:color w:val="0070C0"/>
        </w:rPr>
      </w:pPr>
      <w:r w:rsidRPr="002D27B6">
        <w:rPr>
          <w:color w:val="0070C0"/>
        </w:rPr>
        <w:t>4.6</w:t>
      </w:r>
      <w:r w:rsidRPr="002D27B6">
        <w:rPr>
          <w:color w:val="0070C0"/>
        </w:rPr>
        <w:tab/>
        <w:t>Summary</w:t>
      </w:r>
    </w:p>
    <w:p w14:paraId="7FD4E6E2" w14:textId="77777777" w:rsidR="002D27B6" w:rsidRPr="002D27B6" w:rsidRDefault="002D27B6" w:rsidP="002D27B6">
      <w:pPr>
        <w:rPr>
          <w:lang w:eastAsia="en-GB"/>
        </w:rPr>
      </w:pPr>
    </w:p>
    <w:p w14:paraId="0928D219" w14:textId="291622F1" w:rsidR="001D2E87" w:rsidRPr="00CE240B" w:rsidRDefault="001D2E87" w:rsidP="00CE240B">
      <w:pPr>
        <w:contextualSpacing/>
        <w:rPr>
          <w:rFonts w:cs="Arial"/>
          <w:sz w:val="24"/>
        </w:rPr>
      </w:pPr>
      <w:r w:rsidRPr="00CE240B">
        <w:rPr>
          <w:rFonts w:cs="Arial"/>
          <w:sz w:val="24"/>
        </w:rPr>
        <w:t xml:space="preserve">This section has looked at the influencing factors shaping healthcare provided by the Trust, both internally and externally. What is apparent, is that the Trust’s service strategy is for the delivery of </w:t>
      </w:r>
      <w:r w:rsidR="00650EED" w:rsidRPr="00CE240B">
        <w:rPr>
          <w:rFonts w:cs="Arial"/>
          <w:sz w:val="24"/>
        </w:rPr>
        <w:t>high-quality</w:t>
      </w:r>
      <w:r w:rsidRPr="00CE240B">
        <w:rPr>
          <w:rFonts w:cs="Arial"/>
          <w:sz w:val="24"/>
        </w:rPr>
        <w:t xml:space="preserve"> community and in-patient services, this requires appropriate facilities which are fit for purpose and support the clinical care model. </w:t>
      </w:r>
    </w:p>
    <w:p w14:paraId="7E10BC08" w14:textId="77777777" w:rsidR="001D2E87" w:rsidRPr="00CE240B" w:rsidRDefault="001D2E87" w:rsidP="00CE240B">
      <w:pPr>
        <w:contextualSpacing/>
        <w:rPr>
          <w:rFonts w:cs="Arial"/>
          <w:sz w:val="24"/>
        </w:rPr>
      </w:pPr>
      <w:r w:rsidRPr="00CE240B">
        <w:rPr>
          <w:rFonts w:cs="Arial"/>
          <w:sz w:val="24"/>
        </w:rPr>
        <w:t xml:space="preserve">It has been shown in section 3, through both internal and external assessment that some services are currently provided from facilities that do not meet the high standard met in other parts of the organisation and addressing these issues is considered as a priority for the Trust. </w:t>
      </w:r>
    </w:p>
    <w:p w14:paraId="630A6C86" w14:textId="77777777" w:rsidR="001D2E87" w:rsidRPr="00CE240B" w:rsidRDefault="001D2E87" w:rsidP="00CE240B">
      <w:pPr>
        <w:contextualSpacing/>
        <w:rPr>
          <w:rFonts w:cs="Arial"/>
          <w:sz w:val="24"/>
        </w:rPr>
      </w:pPr>
      <w:r w:rsidRPr="00CE240B">
        <w:rPr>
          <w:rFonts w:cs="Arial"/>
          <w:sz w:val="24"/>
        </w:rPr>
        <w:t>A summary of the key issues that need to be addressed through Estate modifications are as follows:</w:t>
      </w:r>
    </w:p>
    <w:p w14:paraId="21F246FE"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The Older Peoples Service on the CAV site needs to be considered as a top priority and funding will have to be secured to facilitate its relocation</w:t>
      </w:r>
    </w:p>
    <w:p w14:paraId="669A50D8"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 xml:space="preserve">The work associated with CEDAR needs to be completed </w:t>
      </w:r>
      <w:proofErr w:type="gramStart"/>
      <w:r w:rsidRPr="00CE240B">
        <w:rPr>
          <w:rFonts w:cs="Arial"/>
          <w:sz w:val="24"/>
        </w:rPr>
        <w:t>in order to</w:t>
      </w:r>
      <w:proofErr w:type="gramEnd"/>
      <w:r w:rsidRPr="00CE240B">
        <w:rPr>
          <w:rFonts w:cs="Arial"/>
          <w:sz w:val="24"/>
        </w:rPr>
        <w:t xml:space="preserve"> realise the benefits across </w:t>
      </w:r>
      <w:proofErr w:type="gramStart"/>
      <w:r w:rsidRPr="00CE240B">
        <w:rPr>
          <w:rFonts w:cs="Arial"/>
          <w:sz w:val="24"/>
        </w:rPr>
        <w:t>a number of</w:t>
      </w:r>
      <w:proofErr w:type="gramEnd"/>
      <w:r w:rsidRPr="00CE240B">
        <w:rPr>
          <w:rFonts w:cs="Arial"/>
          <w:sz w:val="24"/>
        </w:rPr>
        <w:t xml:space="preserve"> sites and services.</w:t>
      </w:r>
    </w:p>
    <w:p w14:paraId="491C4EC0"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lastRenderedPageBreak/>
        <w:t>The Ferndene phase 3 works, incorporated in the 2023 business case which sets out the model for future service delivery is considered a priority and funding will need to be secured to facilitate its implementation.</w:t>
      </w:r>
    </w:p>
    <w:p w14:paraId="5E06053F"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Challenges of having in-patient accommodation currently located on non CNTW Hospital sites, specifically Yewdale present an opportunity to make improvements, however funding will need to be identified to facilitate implementation.</w:t>
      </w:r>
    </w:p>
    <w:p w14:paraId="28043880"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Consideration to move Rose Lodge onto a mainstream hospital site, funding will need to be secured to facilitate its implementation.</w:t>
      </w:r>
    </w:p>
    <w:p w14:paraId="44F84E95"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The Trust’s service strategy focuses on the delivery of planned care services for patients who do not need in-patient care but need more intervention in a community setting. This will potentially involve an increase in activity undertaken in the community and the creation of more community consultation space, however this could be provided by partner organisations as part of the UEC program in 22/24.</w:t>
      </w:r>
    </w:p>
    <w:p w14:paraId="04EB79EE"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An increasing problem on some sites to meet car parking demands.</w:t>
      </w:r>
    </w:p>
    <w:p w14:paraId="58B16418"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 xml:space="preserve">Providing appropriate Doctors and administrative staff  accommodation </w:t>
      </w:r>
    </w:p>
    <w:p w14:paraId="2859D53F" w14:textId="77777777" w:rsidR="001D2E87" w:rsidRPr="00CE240B" w:rsidRDefault="001D2E87" w:rsidP="002867BC">
      <w:pPr>
        <w:pStyle w:val="ListParagraph"/>
        <w:numPr>
          <w:ilvl w:val="0"/>
          <w:numId w:val="42"/>
        </w:numPr>
        <w:spacing w:before="120" w:after="120"/>
        <w:ind w:right="340"/>
        <w:jc w:val="both"/>
        <w:rPr>
          <w:rFonts w:cs="Arial"/>
          <w:sz w:val="24"/>
        </w:rPr>
      </w:pPr>
      <w:r w:rsidRPr="00CE240B">
        <w:rPr>
          <w:rFonts w:cs="Arial"/>
          <w:sz w:val="24"/>
        </w:rPr>
        <w:t>There is a need to invest in improving the safety of patient environments</w:t>
      </w:r>
    </w:p>
    <w:p w14:paraId="19569447" w14:textId="05296893" w:rsidR="001D2E87" w:rsidRDefault="001D2E87" w:rsidP="002867BC">
      <w:pPr>
        <w:pStyle w:val="ListParagraph"/>
        <w:numPr>
          <w:ilvl w:val="0"/>
          <w:numId w:val="42"/>
        </w:numPr>
        <w:spacing w:before="120" w:after="120"/>
        <w:ind w:right="340"/>
        <w:jc w:val="both"/>
        <w:rPr>
          <w:rFonts w:cs="Arial"/>
          <w:sz w:val="24"/>
        </w:rPr>
      </w:pPr>
      <w:r w:rsidRPr="00CE240B">
        <w:rPr>
          <w:rFonts w:cs="Arial"/>
          <w:sz w:val="24"/>
        </w:rPr>
        <w:t>There is a need to invest in delivering against the Green Plan, specifically around decarbonisation, building adaptation for climate change and improving biodiversity and how we use our green spaces.</w:t>
      </w:r>
    </w:p>
    <w:p w14:paraId="75645B30" w14:textId="3699DF22" w:rsidR="001D2E87" w:rsidRPr="002D27B6" w:rsidRDefault="002D27B6" w:rsidP="002D27B6">
      <w:pPr>
        <w:pStyle w:val="Heading1"/>
        <w:rPr>
          <w:rFonts w:eastAsia="Arial"/>
        </w:rPr>
      </w:pPr>
      <w:r w:rsidRPr="002D27B6">
        <w:rPr>
          <w:rFonts w:eastAsia="Arial"/>
        </w:rPr>
        <w:t>5</w:t>
      </w:r>
      <w:r w:rsidR="001D2E87" w:rsidRPr="002D27B6">
        <w:rPr>
          <w:rFonts w:eastAsia="Arial"/>
        </w:rPr>
        <w:t xml:space="preserve">.0 </w:t>
      </w:r>
      <w:r w:rsidR="001D2E87" w:rsidRPr="002D27B6">
        <w:rPr>
          <w:rFonts w:eastAsia="Arial"/>
        </w:rPr>
        <w:tab/>
        <w:t>How Do We Get There? Estate Developments 2023-28</w:t>
      </w:r>
    </w:p>
    <w:p w14:paraId="260B30C2" w14:textId="77777777" w:rsidR="001D2E87" w:rsidRDefault="001D2E87" w:rsidP="00650EED">
      <w:pPr>
        <w:pStyle w:val="Heading2"/>
        <w:ind w:left="0"/>
        <w:rPr>
          <w:color w:val="0070C0"/>
        </w:rPr>
      </w:pPr>
      <w:r w:rsidRPr="002D27B6">
        <w:rPr>
          <w:color w:val="0070C0"/>
        </w:rPr>
        <w:t xml:space="preserve">5.1 </w:t>
      </w:r>
      <w:r w:rsidRPr="002D27B6">
        <w:rPr>
          <w:color w:val="0070C0"/>
        </w:rPr>
        <w:tab/>
        <w:t>Introduction</w:t>
      </w:r>
    </w:p>
    <w:p w14:paraId="4FA233F8" w14:textId="77777777" w:rsidR="002D27B6" w:rsidRPr="002D27B6" w:rsidRDefault="002D27B6" w:rsidP="002D27B6">
      <w:pPr>
        <w:rPr>
          <w:lang w:eastAsia="en-GB"/>
        </w:rPr>
      </w:pPr>
    </w:p>
    <w:p w14:paraId="165A40BF" w14:textId="77777777" w:rsidR="001D2E87" w:rsidRDefault="001D2E87" w:rsidP="00CE240B">
      <w:pPr>
        <w:contextualSpacing/>
        <w:rPr>
          <w:rFonts w:cs="Arial"/>
          <w:sz w:val="24"/>
        </w:rPr>
      </w:pPr>
      <w:r w:rsidRPr="00CE240B">
        <w:rPr>
          <w:rFonts w:cs="Arial"/>
          <w:sz w:val="24"/>
        </w:rPr>
        <w:t xml:space="preserve">The extensive investment in the estate over the last 17 years has resulted in significant improvements to the estate which have benefitted both patients and staff, however as buildings get older and services evolve there is an on-going need to continue with an investment plan. </w:t>
      </w:r>
    </w:p>
    <w:p w14:paraId="7042F60F" w14:textId="77777777" w:rsidR="00DA25FC" w:rsidRPr="00CE240B" w:rsidRDefault="00DA25FC" w:rsidP="00CE240B">
      <w:pPr>
        <w:contextualSpacing/>
        <w:rPr>
          <w:rFonts w:cs="Arial"/>
          <w:sz w:val="24"/>
        </w:rPr>
      </w:pPr>
    </w:p>
    <w:p w14:paraId="1F7290B1" w14:textId="6076FEEB" w:rsidR="001D2E87" w:rsidRPr="00CE240B" w:rsidRDefault="001D2E87" w:rsidP="00CE240B">
      <w:pPr>
        <w:contextualSpacing/>
        <w:rPr>
          <w:rFonts w:cs="Arial"/>
          <w:sz w:val="24"/>
        </w:rPr>
      </w:pPr>
      <w:r w:rsidRPr="00CE240B">
        <w:rPr>
          <w:rFonts w:cs="Arial"/>
          <w:noProof/>
          <w:sz w:val="24"/>
          <w:lang w:eastAsia="en-GB"/>
        </w:rPr>
        <w:drawing>
          <wp:anchor distT="0" distB="0" distL="114300" distR="114300" simplePos="0" relativeHeight="251687936" behindDoc="0" locked="0" layoutInCell="1" allowOverlap="1" wp14:anchorId="18F65BDC" wp14:editId="3E2ED78C">
            <wp:simplePos x="0" y="0"/>
            <wp:positionH relativeFrom="column">
              <wp:posOffset>165735</wp:posOffset>
            </wp:positionH>
            <wp:positionV relativeFrom="paragraph">
              <wp:posOffset>1274156</wp:posOffset>
            </wp:positionV>
            <wp:extent cx="5731510" cy="3096260"/>
            <wp:effectExtent l="0" t="0" r="3810" b="444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31510" cy="3096260"/>
                    </a:xfrm>
                    <a:prstGeom prst="rect">
                      <a:avLst/>
                    </a:prstGeom>
                  </pic:spPr>
                </pic:pic>
              </a:graphicData>
            </a:graphic>
          </wp:anchor>
        </w:drawing>
      </w:r>
      <w:r w:rsidRPr="00CE240B">
        <w:rPr>
          <w:rFonts w:cs="Arial"/>
          <w:sz w:val="24"/>
        </w:rPr>
        <w:t xml:space="preserve">Based on a review of the existing Estate (Section 3) and the internal and external strategic drivers that impact on the services provided by the Trust (Section 4) </w:t>
      </w:r>
      <w:proofErr w:type="gramStart"/>
      <w:r w:rsidRPr="00CE240B">
        <w:rPr>
          <w:rFonts w:cs="Arial"/>
          <w:sz w:val="24"/>
        </w:rPr>
        <w:t>it is clear that on-going</w:t>
      </w:r>
      <w:proofErr w:type="gramEnd"/>
      <w:r w:rsidRPr="00CE240B">
        <w:rPr>
          <w:rFonts w:cs="Arial"/>
          <w:sz w:val="24"/>
        </w:rPr>
        <w:t xml:space="preserve"> investment and development of the estate is required. These requirements fall into five common strategic themes which are illustrated </w:t>
      </w:r>
      <w:r w:rsidR="00DA25FC">
        <w:rPr>
          <w:rFonts w:cs="Arial"/>
          <w:sz w:val="24"/>
        </w:rPr>
        <w:t xml:space="preserve">in figure 16 </w:t>
      </w:r>
      <w:r w:rsidRPr="00CE240B">
        <w:rPr>
          <w:rFonts w:cs="Arial"/>
          <w:sz w:val="24"/>
        </w:rPr>
        <w:lastRenderedPageBreak/>
        <w:t>below</w:t>
      </w:r>
      <w:r w:rsidR="00DA25FC">
        <w:rPr>
          <w:rFonts w:cs="Arial"/>
          <w:sz w:val="24"/>
        </w:rPr>
        <w:t xml:space="preserve">, showing </w:t>
      </w:r>
      <w:r w:rsidRPr="00CE240B">
        <w:rPr>
          <w:rFonts w:cs="Arial"/>
          <w:sz w:val="24"/>
        </w:rPr>
        <w:t>some of the detail behind each of the themes,</w:t>
      </w:r>
      <w:r w:rsidR="00DA25FC">
        <w:rPr>
          <w:rFonts w:cs="Arial"/>
          <w:sz w:val="24"/>
        </w:rPr>
        <w:t xml:space="preserve"> and</w:t>
      </w:r>
      <w:r w:rsidRPr="00CE240B">
        <w:rPr>
          <w:rFonts w:cs="Arial"/>
          <w:sz w:val="24"/>
        </w:rPr>
        <w:t xml:space="preserve"> these will be detailed in the following sections:</w:t>
      </w:r>
    </w:p>
    <w:p w14:paraId="09259DB6" w14:textId="4FB9B2BE" w:rsidR="001D2E87" w:rsidRPr="00CE240B" w:rsidRDefault="001D2E87" w:rsidP="00CE240B">
      <w:pPr>
        <w:contextualSpacing/>
        <w:jc w:val="center"/>
        <w:rPr>
          <w:rFonts w:cs="Arial"/>
          <w:sz w:val="24"/>
        </w:rPr>
      </w:pPr>
      <w:r>
        <w:t>Figure 1</w:t>
      </w:r>
      <w:r w:rsidR="00DA25FC">
        <w:t>6</w:t>
      </w:r>
      <w:r>
        <w:t xml:space="preserve"> Estate Strategic Themes</w:t>
      </w:r>
    </w:p>
    <w:p w14:paraId="03200691" w14:textId="77777777" w:rsidR="001D2E87" w:rsidRPr="00CE240B" w:rsidRDefault="001D2E87" w:rsidP="00CE240B">
      <w:pPr>
        <w:contextualSpacing/>
        <w:jc w:val="center"/>
        <w:rPr>
          <w:rFonts w:cs="Arial"/>
          <w:sz w:val="24"/>
        </w:rPr>
      </w:pPr>
    </w:p>
    <w:p w14:paraId="7EA8AC08" w14:textId="77777777" w:rsidR="001D2E87" w:rsidRDefault="001D2E87" w:rsidP="00650EED">
      <w:pPr>
        <w:pStyle w:val="Heading2"/>
        <w:ind w:left="0"/>
        <w:rPr>
          <w:color w:val="0070C0"/>
        </w:rPr>
      </w:pPr>
      <w:r w:rsidRPr="002D27B6">
        <w:rPr>
          <w:color w:val="0070C0"/>
        </w:rPr>
        <w:t xml:space="preserve">5.2 </w:t>
      </w:r>
      <w:r w:rsidRPr="002D27B6">
        <w:rPr>
          <w:color w:val="0070C0"/>
        </w:rPr>
        <w:tab/>
        <w:t>Completion of Major Developments Currently Underway</w:t>
      </w:r>
    </w:p>
    <w:p w14:paraId="3BBAA567" w14:textId="77777777" w:rsidR="002D27B6" w:rsidRPr="002D27B6" w:rsidRDefault="002D27B6" w:rsidP="002D27B6">
      <w:pPr>
        <w:rPr>
          <w:lang w:eastAsia="en-GB"/>
        </w:rPr>
      </w:pPr>
    </w:p>
    <w:p w14:paraId="27DCBA6D" w14:textId="32DFF2D7" w:rsidR="001D2E87" w:rsidRPr="00CE240B" w:rsidRDefault="001D2E87" w:rsidP="00CE240B">
      <w:pPr>
        <w:widowControl w:val="0"/>
        <w:contextualSpacing/>
        <w:rPr>
          <w:rFonts w:eastAsia="Calibri" w:cs="Arial"/>
          <w:color w:val="595959"/>
          <w:sz w:val="24"/>
        </w:rPr>
      </w:pPr>
      <w:proofErr w:type="gramStart"/>
      <w:r w:rsidRPr="00CE240B">
        <w:rPr>
          <w:rFonts w:eastAsia="Calibri" w:cs="Arial"/>
          <w:color w:val="595959"/>
          <w:sz w:val="24"/>
        </w:rPr>
        <w:t>A number of</w:t>
      </w:r>
      <w:proofErr w:type="gramEnd"/>
      <w:r w:rsidRPr="00CE240B">
        <w:rPr>
          <w:rFonts w:eastAsia="Calibri" w:cs="Arial"/>
          <w:color w:val="595959"/>
          <w:sz w:val="24"/>
        </w:rPr>
        <w:t xml:space="preserve"> work programs and estates initiatives which form part of the key Estates changes for the next 2 years have in part been developed prior to the writing of this strategy document, </w:t>
      </w:r>
      <w:r w:rsidR="002D27B6" w:rsidRPr="00CE240B">
        <w:rPr>
          <w:rFonts w:eastAsia="Calibri" w:cs="Arial"/>
          <w:color w:val="595959"/>
          <w:sz w:val="24"/>
        </w:rPr>
        <w:t>specifically.</w:t>
      </w:r>
    </w:p>
    <w:p w14:paraId="32C14B92" w14:textId="77777777" w:rsidR="00650EED" w:rsidRDefault="00650EED" w:rsidP="00650EED">
      <w:pPr>
        <w:contextualSpacing/>
        <w:rPr>
          <w:rFonts w:cs="Arial"/>
          <w:b/>
          <w:color w:val="1F497D" w:themeColor="text2"/>
          <w:sz w:val="24"/>
        </w:rPr>
      </w:pPr>
    </w:p>
    <w:p w14:paraId="59E8BA64" w14:textId="5840386B" w:rsidR="001D2E87" w:rsidRDefault="001D2E87" w:rsidP="00650EED">
      <w:pPr>
        <w:contextualSpacing/>
        <w:rPr>
          <w:rFonts w:cs="Arial"/>
          <w:b/>
          <w:color w:val="0070C0"/>
          <w:sz w:val="24"/>
        </w:rPr>
      </w:pPr>
      <w:r w:rsidRPr="002D27B6">
        <w:rPr>
          <w:rFonts w:cs="Arial"/>
          <w:b/>
          <w:color w:val="0070C0"/>
          <w:sz w:val="24"/>
        </w:rPr>
        <w:t>Care Environment Development and Re-provision (CEDAR)</w:t>
      </w:r>
    </w:p>
    <w:p w14:paraId="721178D9" w14:textId="77777777" w:rsidR="002D27B6" w:rsidRPr="002D27B6" w:rsidRDefault="002D27B6" w:rsidP="00650EED">
      <w:pPr>
        <w:contextualSpacing/>
        <w:rPr>
          <w:rFonts w:cs="Arial"/>
          <w:b/>
          <w:color w:val="0070C0"/>
          <w:sz w:val="24"/>
        </w:rPr>
      </w:pPr>
    </w:p>
    <w:p w14:paraId="50438384" w14:textId="77777777" w:rsidR="001D2E87" w:rsidRPr="00CE240B" w:rsidRDefault="001D2E87" w:rsidP="00650EED">
      <w:pPr>
        <w:contextualSpacing/>
        <w:rPr>
          <w:rFonts w:cs="Arial"/>
          <w:sz w:val="24"/>
        </w:rPr>
      </w:pPr>
      <w:r w:rsidRPr="00CE240B">
        <w:rPr>
          <w:rFonts w:cs="Arial"/>
          <w:sz w:val="24"/>
        </w:rPr>
        <w:t xml:space="preserve">The work associated within the following areas has been brought together under one program known as CEDAR </w:t>
      </w:r>
    </w:p>
    <w:p w14:paraId="49193C17" w14:textId="77777777" w:rsidR="001D2E87" w:rsidRPr="00CE240B" w:rsidRDefault="001D2E87" w:rsidP="002867BC">
      <w:pPr>
        <w:pStyle w:val="ListParagraph"/>
        <w:numPr>
          <w:ilvl w:val="0"/>
          <w:numId w:val="57"/>
        </w:numPr>
        <w:spacing w:before="120" w:after="120"/>
        <w:ind w:right="340"/>
        <w:jc w:val="both"/>
        <w:rPr>
          <w:rFonts w:cs="Arial"/>
          <w:sz w:val="24"/>
        </w:rPr>
      </w:pPr>
      <w:r w:rsidRPr="00CE240B">
        <w:rPr>
          <w:rFonts w:cs="Arial"/>
          <w:sz w:val="24"/>
        </w:rPr>
        <w:t xml:space="preserve">New Care Models for Adult Secure Services </w:t>
      </w:r>
    </w:p>
    <w:p w14:paraId="68230FBA" w14:textId="77777777" w:rsidR="001D2E87" w:rsidRPr="00CE240B" w:rsidRDefault="001D2E87" w:rsidP="002867BC">
      <w:pPr>
        <w:pStyle w:val="ListParagraph"/>
        <w:numPr>
          <w:ilvl w:val="0"/>
          <w:numId w:val="57"/>
        </w:numPr>
        <w:spacing w:before="120" w:after="120"/>
        <w:ind w:right="340"/>
        <w:jc w:val="both"/>
        <w:rPr>
          <w:rFonts w:cs="Arial"/>
          <w:sz w:val="24"/>
        </w:rPr>
      </w:pPr>
      <w:r w:rsidRPr="00CE240B">
        <w:rPr>
          <w:rFonts w:cs="Arial"/>
          <w:sz w:val="24"/>
        </w:rPr>
        <w:t>NHS England National Adolescent MSU review</w:t>
      </w:r>
    </w:p>
    <w:p w14:paraId="241F3674" w14:textId="77777777" w:rsidR="001D2E87" w:rsidRPr="00CE240B" w:rsidRDefault="001D2E87" w:rsidP="002867BC">
      <w:pPr>
        <w:pStyle w:val="ListParagraph"/>
        <w:widowControl w:val="0"/>
        <w:numPr>
          <w:ilvl w:val="0"/>
          <w:numId w:val="57"/>
        </w:numPr>
        <w:spacing w:before="120"/>
        <w:ind w:left="1100" w:right="340"/>
        <w:jc w:val="both"/>
        <w:rPr>
          <w:rFonts w:cs="Arial"/>
          <w:sz w:val="24"/>
        </w:rPr>
      </w:pPr>
      <w:r w:rsidRPr="00CE240B">
        <w:rPr>
          <w:rFonts w:cs="Arial"/>
          <w:sz w:val="24"/>
        </w:rPr>
        <w:t xml:space="preserve">Newcastle &amp; Gateshead Delivering Together </w:t>
      </w:r>
    </w:p>
    <w:p w14:paraId="5C78B87C" w14:textId="3B11EB91" w:rsidR="001D2E87" w:rsidRPr="00650EED" w:rsidRDefault="001D2E87" w:rsidP="00650EED">
      <w:pPr>
        <w:pStyle w:val="NormalWeb1"/>
        <w:spacing w:before="120" w:beforeAutospacing="0" w:after="120" w:afterAutospacing="0" w:line="240" w:lineRule="auto"/>
        <w:ind w:left="0"/>
        <w:contextualSpacing/>
        <w:rPr>
          <w:rFonts w:ascii="Arial" w:eastAsiaTheme="minorHAnsi" w:hAnsi="Arial" w:cs="Arial"/>
          <w:color w:val="auto"/>
          <w:lang w:eastAsia="en-US"/>
        </w:rPr>
      </w:pPr>
      <w:r w:rsidRPr="00650EED">
        <w:rPr>
          <w:rFonts w:ascii="Arial" w:eastAsiaTheme="minorHAnsi" w:hAnsi="Arial" w:cs="Arial"/>
          <w:color w:val="auto"/>
          <w:lang w:eastAsia="en-US"/>
        </w:rPr>
        <w:t>This scheme will result in adult secure services located on a single site at Northgate Hospital and young people’s secure services relocated onto Ferndene. The new facility at Northgate will be occupied in the spring of 2023</w:t>
      </w:r>
      <w:r w:rsidR="00DA25FC">
        <w:rPr>
          <w:rFonts w:ascii="Arial" w:eastAsiaTheme="minorHAnsi" w:hAnsi="Arial" w:cs="Arial"/>
          <w:color w:val="auto"/>
          <w:lang w:eastAsia="en-US"/>
        </w:rPr>
        <w:t xml:space="preserve"> (see figure 17 below)</w:t>
      </w:r>
      <w:r w:rsidRPr="00650EED">
        <w:rPr>
          <w:rFonts w:ascii="Arial" w:eastAsiaTheme="minorHAnsi" w:hAnsi="Arial" w:cs="Arial"/>
          <w:color w:val="auto"/>
          <w:lang w:eastAsia="en-US"/>
        </w:rPr>
        <w:t>.  These moves will enable site rationalisation, improved service productivity, a greater critical mass of clinical expertise and expansion to enable repatriation in line with national strategy and the Mental Health 5 Year Forward View.</w:t>
      </w:r>
    </w:p>
    <w:p w14:paraId="1E4A5DAB" w14:textId="77777777" w:rsidR="001D2E87" w:rsidRPr="00CE240B" w:rsidRDefault="001D2E87" w:rsidP="00CE240B">
      <w:pPr>
        <w:ind w:left="720"/>
        <w:contextualSpacing/>
        <w:jc w:val="center"/>
        <w:rPr>
          <w:rFonts w:cs="Arial"/>
          <w:sz w:val="24"/>
        </w:rPr>
      </w:pPr>
      <w:r w:rsidRPr="00CE240B">
        <w:rPr>
          <w:rFonts w:cs="Arial"/>
          <w:noProof/>
          <w:sz w:val="24"/>
          <w:lang w:eastAsia="en-GB"/>
        </w:rPr>
        <w:drawing>
          <wp:inline distT="0" distB="0" distL="0" distR="0" wp14:anchorId="260FDA6C" wp14:editId="493B1C6D">
            <wp:extent cx="4242486" cy="2259524"/>
            <wp:effectExtent l="0" t="0" r="571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0010" cy="2263531"/>
                    </a:xfrm>
                    <a:prstGeom prst="rect">
                      <a:avLst/>
                    </a:prstGeom>
                    <a:noFill/>
                    <a:ln>
                      <a:noFill/>
                    </a:ln>
                  </pic:spPr>
                </pic:pic>
              </a:graphicData>
            </a:graphic>
          </wp:inline>
        </w:drawing>
      </w:r>
    </w:p>
    <w:p w14:paraId="25F81CD3" w14:textId="3669686C" w:rsidR="001D2E87" w:rsidRPr="00CE240B" w:rsidRDefault="001D2E87" w:rsidP="00CE240B">
      <w:pPr>
        <w:ind w:left="720"/>
        <w:contextualSpacing/>
        <w:jc w:val="center"/>
        <w:rPr>
          <w:rFonts w:cs="Arial"/>
          <w:sz w:val="24"/>
        </w:rPr>
      </w:pPr>
      <w:r>
        <w:t>Figure 1</w:t>
      </w:r>
      <w:r w:rsidR="00DA25FC">
        <w:t>7</w:t>
      </w:r>
      <w:r>
        <w:t xml:space="preserve"> Artist</w:t>
      </w:r>
      <w:r w:rsidR="00DA25FC">
        <w:t>’</w:t>
      </w:r>
      <w:r>
        <w:t>s impression of the new MSU at Northgate</w:t>
      </w:r>
    </w:p>
    <w:p w14:paraId="3A768ADE" w14:textId="77777777" w:rsidR="001D2E87" w:rsidRPr="00CE240B" w:rsidRDefault="001D2E87" w:rsidP="00CE240B">
      <w:pPr>
        <w:ind w:left="720"/>
        <w:contextualSpacing/>
        <w:rPr>
          <w:rFonts w:cs="Arial"/>
          <w:sz w:val="24"/>
        </w:rPr>
      </w:pPr>
    </w:p>
    <w:p w14:paraId="70BA33AC" w14:textId="77777777" w:rsidR="001D2E87" w:rsidRPr="00650EED" w:rsidRDefault="001D2E87" w:rsidP="00650EED">
      <w:pPr>
        <w:contextualSpacing/>
        <w:rPr>
          <w:rFonts w:cs="Arial"/>
          <w:sz w:val="24"/>
        </w:rPr>
      </w:pPr>
      <w:r w:rsidRPr="00CE240B">
        <w:rPr>
          <w:rFonts w:cs="Arial"/>
          <w:sz w:val="24"/>
        </w:rPr>
        <w:t xml:space="preserve">Following the transfer of secure beds from Bamburgh Clinic, the building will be extended and upgraded to allow for the adult acute admission facilities from the CAV site to move into the vacated space in Bamburgh Clinic. This will result in all acute adult in-patient beds being located on the one site. The </w:t>
      </w:r>
      <w:r w:rsidRPr="00650EED">
        <w:rPr>
          <w:rFonts w:cs="Arial"/>
          <w:sz w:val="24"/>
        </w:rPr>
        <w:t xml:space="preserve">expected move from the CAV site to Bamburgh Clinic is the summer of 2024. </w:t>
      </w:r>
    </w:p>
    <w:p w14:paraId="325D4333" w14:textId="77777777" w:rsidR="001D2E87" w:rsidRPr="00650EED" w:rsidRDefault="001D2E87" w:rsidP="00650EED">
      <w:pPr>
        <w:pStyle w:val="NormalWeb"/>
        <w:spacing w:line="240" w:lineRule="auto"/>
        <w:ind w:left="0"/>
        <w:contextualSpacing/>
        <w:rPr>
          <w:rFonts w:ascii="Arial" w:hAnsi="Arial" w:cs="Arial"/>
          <w:color w:val="auto"/>
        </w:rPr>
      </w:pPr>
      <w:r w:rsidRPr="00650EED">
        <w:rPr>
          <w:rFonts w:ascii="Arial" w:hAnsi="Arial" w:cs="Arial"/>
          <w:color w:val="auto"/>
        </w:rPr>
        <w:t>The development will also free up space on the St Nicholas Hospital site, specifically Alnwood and Lennox wards, which could be utilised as an option for the relocation of the Older Peoples in-patient services from the CAV site.</w:t>
      </w:r>
    </w:p>
    <w:p w14:paraId="3EE7BCCA" w14:textId="1140A182" w:rsidR="001D2E87" w:rsidRPr="00650EED" w:rsidRDefault="001D2E87" w:rsidP="00650EED">
      <w:pPr>
        <w:pStyle w:val="NormalWeb1"/>
        <w:spacing w:line="240" w:lineRule="auto"/>
        <w:ind w:left="0"/>
        <w:contextualSpacing/>
        <w:rPr>
          <w:rFonts w:ascii="Arial" w:eastAsiaTheme="minorHAnsi" w:hAnsi="Arial" w:cs="Arial"/>
          <w:color w:val="auto"/>
          <w:lang w:eastAsia="en-US"/>
        </w:rPr>
      </w:pPr>
      <w:r w:rsidRPr="00650EED">
        <w:rPr>
          <w:rFonts w:ascii="Arial" w:eastAsiaTheme="minorHAnsi" w:hAnsi="Arial" w:cs="Arial"/>
          <w:color w:val="auto"/>
          <w:lang w:eastAsia="en-US"/>
        </w:rPr>
        <w:t xml:space="preserve">The Ferndene element of the CEDAR project has been subject to a recent review (Nov 2022) and approval has been given modify the clinical service delivery as identified in the original CEDAR Business Case. The original model known as the “Integrated Model” would see the wards reduce from 4 to 2, delivering; 14 GAU beds (10 MH and 4 LD), 4 PICU beds and 6 LSU beds (3MH, 3LD). When implementing the integrated model, it quickly became apparent that there is added </w:t>
      </w:r>
      <w:r w:rsidRPr="00650EED">
        <w:rPr>
          <w:rFonts w:ascii="Arial" w:eastAsiaTheme="minorHAnsi" w:hAnsi="Arial" w:cs="Arial"/>
          <w:color w:val="auto"/>
          <w:lang w:eastAsia="en-US"/>
        </w:rPr>
        <w:lastRenderedPageBreak/>
        <w:t xml:space="preserve">clinical complexity and safeguarding challenges when managing this complex and vulnerable client group from different pathways in the same environment.  The review recommended a different approach with the preferred option to create 5 discrete clinical areas that take into account diagnostic criteria, clinical presentations, and security levels, these being: MSU </w:t>
      </w:r>
      <w:r w:rsidR="002D27B6">
        <w:rPr>
          <w:rFonts w:ascii="Arial" w:eastAsiaTheme="minorHAnsi" w:hAnsi="Arial" w:cs="Arial"/>
          <w:color w:val="auto"/>
          <w:lang w:eastAsia="en-US"/>
        </w:rPr>
        <w:t>–</w:t>
      </w:r>
      <w:r w:rsidRPr="00650EED">
        <w:rPr>
          <w:rFonts w:ascii="Arial" w:eastAsiaTheme="minorHAnsi" w:hAnsi="Arial" w:cs="Arial"/>
          <w:color w:val="auto"/>
          <w:lang w:eastAsia="en-US"/>
        </w:rPr>
        <w:t xml:space="preserve"> 7 MH beds (a reduction of 7), GAU </w:t>
      </w:r>
      <w:r w:rsidR="002D27B6">
        <w:rPr>
          <w:rFonts w:ascii="Arial" w:eastAsiaTheme="minorHAnsi" w:hAnsi="Arial" w:cs="Arial"/>
          <w:color w:val="auto"/>
          <w:lang w:eastAsia="en-US"/>
        </w:rPr>
        <w:t>–</w:t>
      </w:r>
      <w:r w:rsidRPr="00650EED">
        <w:rPr>
          <w:rFonts w:ascii="Arial" w:eastAsiaTheme="minorHAnsi" w:hAnsi="Arial" w:cs="Arial"/>
          <w:color w:val="auto"/>
          <w:lang w:eastAsia="en-US"/>
        </w:rPr>
        <w:t xml:space="preserve"> 10 MH beds, PICU </w:t>
      </w:r>
      <w:r w:rsidR="002D27B6">
        <w:rPr>
          <w:rFonts w:ascii="Arial" w:eastAsiaTheme="minorHAnsi" w:hAnsi="Arial" w:cs="Arial"/>
          <w:color w:val="auto"/>
          <w:lang w:eastAsia="en-US"/>
        </w:rPr>
        <w:t>–</w:t>
      </w:r>
      <w:r w:rsidRPr="00650EED">
        <w:rPr>
          <w:rFonts w:ascii="Arial" w:eastAsiaTheme="minorHAnsi" w:hAnsi="Arial" w:cs="Arial"/>
          <w:color w:val="auto"/>
          <w:lang w:eastAsia="en-US"/>
        </w:rPr>
        <w:t xml:space="preserve"> 4 beds, LSU – 3 MH beds and Specialist LD &amp; Autism – 7 beds. This work has been incorporated into a Phase 3 package of work which will deliver against this revised business </w:t>
      </w:r>
      <w:r w:rsidR="002D27B6" w:rsidRPr="00650EED">
        <w:rPr>
          <w:rFonts w:ascii="Arial" w:eastAsiaTheme="minorHAnsi" w:hAnsi="Arial" w:cs="Arial"/>
          <w:color w:val="auto"/>
          <w:lang w:eastAsia="en-US"/>
        </w:rPr>
        <w:t>case,</w:t>
      </w:r>
      <w:r w:rsidRPr="00650EED">
        <w:rPr>
          <w:rFonts w:ascii="Arial" w:eastAsiaTheme="minorHAnsi" w:hAnsi="Arial" w:cs="Arial"/>
          <w:color w:val="auto"/>
          <w:lang w:eastAsia="en-US"/>
        </w:rPr>
        <w:t xml:space="preserve"> and it is expected the work will be complete in the spring / summer 2024.</w:t>
      </w:r>
    </w:p>
    <w:p w14:paraId="1F91152C" w14:textId="77777777" w:rsidR="00650EED" w:rsidRDefault="00650EED" w:rsidP="00CE240B">
      <w:pPr>
        <w:pStyle w:val="NormalWeb1"/>
        <w:spacing w:before="120" w:beforeAutospacing="0" w:after="120" w:afterAutospacing="0" w:line="240" w:lineRule="auto"/>
        <w:ind w:left="720"/>
        <w:contextualSpacing/>
        <w:rPr>
          <w:rFonts w:ascii="Arial" w:eastAsiaTheme="minorHAnsi" w:hAnsi="Arial" w:cs="Arial"/>
          <w:color w:val="auto"/>
          <w:lang w:eastAsia="en-US"/>
        </w:rPr>
      </w:pPr>
    </w:p>
    <w:p w14:paraId="5B42733D" w14:textId="3C7CECB1" w:rsidR="001D2E87" w:rsidRPr="00650EED" w:rsidRDefault="001D2E87" w:rsidP="00650EED">
      <w:pPr>
        <w:pStyle w:val="NormalWeb1"/>
        <w:spacing w:before="120" w:beforeAutospacing="0" w:after="120" w:afterAutospacing="0" w:line="240" w:lineRule="auto"/>
        <w:ind w:left="0"/>
        <w:contextualSpacing/>
        <w:rPr>
          <w:rFonts w:ascii="Arial" w:eastAsiaTheme="minorHAnsi" w:hAnsi="Arial" w:cs="Arial"/>
          <w:color w:val="auto"/>
          <w:lang w:eastAsia="en-US"/>
        </w:rPr>
      </w:pPr>
      <w:r w:rsidRPr="00650EED">
        <w:rPr>
          <w:rFonts w:ascii="Arial" w:eastAsiaTheme="minorHAnsi" w:hAnsi="Arial" w:cs="Arial"/>
          <w:color w:val="auto"/>
          <w:lang w:eastAsia="en-US"/>
        </w:rPr>
        <w:t xml:space="preserve">The CEDAR development will </w:t>
      </w:r>
      <w:r w:rsidRPr="00650EED">
        <w:rPr>
          <w:rFonts w:ascii="Arial" w:eastAsiaTheme="minorHAnsi" w:hAnsi="Arial" w:cs="Arial"/>
          <w:b/>
          <w:color w:val="auto"/>
          <w:lang w:eastAsia="en-US"/>
        </w:rPr>
        <w:t>deliver</w:t>
      </w:r>
      <w:r w:rsidRPr="00650EED">
        <w:rPr>
          <w:rFonts w:ascii="Arial" w:eastAsiaTheme="minorHAnsi" w:hAnsi="Arial" w:cs="Arial"/>
          <w:color w:val="auto"/>
          <w:lang w:eastAsia="en-US"/>
        </w:rPr>
        <w:t xml:space="preserve"> against each of the </w:t>
      </w:r>
      <w:r w:rsidRPr="00650EED">
        <w:rPr>
          <w:rFonts w:ascii="Arial" w:eastAsiaTheme="minorHAnsi" w:hAnsi="Arial" w:cs="Arial"/>
          <w:b/>
          <w:color w:val="auto"/>
          <w:lang w:eastAsia="en-US"/>
        </w:rPr>
        <w:t>five strategic themes</w:t>
      </w:r>
      <w:r w:rsidRPr="00650EED">
        <w:rPr>
          <w:rFonts w:ascii="Arial" w:eastAsiaTheme="minorHAnsi" w:hAnsi="Arial" w:cs="Arial"/>
          <w:color w:val="auto"/>
          <w:lang w:eastAsia="en-US"/>
        </w:rPr>
        <w:t xml:space="preserve"> and at the Northgate site will remove a range of buildings that have high levels of backlog maintenance are of a poor quality and poor functional suitability.</w:t>
      </w:r>
    </w:p>
    <w:p w14:paraId="05439938" w14:textId="77777777" w:rsidR="00650EED" w:rsidRDefault="00650EED" w:rsidP="00650EED">
      <w:pPr>
        <w:contextualSpacing/>
        <w:rPr>
          <w:rFonts w:cs="Arial"/>
          <w:b/>
          <w:color w:val="1F497D" w:themeColor="text2"/>
          <w:sz w:val="24"/>
        </w:rPr>
      </w:pPr>
    </w:p>
    <w:p w14:paraId="1F4BCD8B" w14:textId="19B9BAE5" w:rsidR="001D2E87" w:rsidRDefault="001D2E87" w:rsidP="00650EED">
      <w:pPr>
        <w:contextualSpacing/>
        <w:rPr>
          <w:rFonts w:cs="Arial"/>
          <w:b/>
          <w:color w:val="0070C0"/>
          <w:sz w:val="24"/>
        </w:rPr>
      </w:pPr>
      <w:r w:rsidRPr="002D27B6">
        <w:rPr>
          <w:rFonts w:cs="Arial"/>
          <w:b/>
          <w:color w:val="0070C0"/>
          <w:sz w:val="24"/>
        </w:rPr>
        <w:t>Monkwearmouth Hospital and South of Tyne Developments</w:t>
      </w:r>
    </w:p>
    <w:p w14:paraId="357A5B00" w14:textId="77777777" w:rsidR="002D27B6" w:rsidRPr="00CE240B" w:rsidRDefault="002D27B6" w:rsidP="00650EED">
      <w:pPr>
        <w:contextualSpacing/>
        <w:rPr>
          <w:rFonts w:cs="Arial"/>
          <w:b/>
          <w:color w:val="1F497D" w:themeColor="text2"/>
          <w:sz w:val="24"/>
        </w:rPr>
      </w:pPr>
    </w:p>
    <w:p w14:paraId="3A1913EE" w14:textId="77777777" w:rsidR="001D2E87" w:rsidRPr="00CE240B" w:rsidRDefault="001D2E87" w:rsidP="00650EED">
      <w:pPr>
        <w:contextualSpacing/>
        <w:rPr>
          <w:rFonts w:cs="Arial"/>
          <w:sz w:val="24"/>
        </w:rPr>
      </w:pPr>
      <w:r w:rsidRPr="00CE240B">
        <w:rPr>
          <w:rFonts w:cs="Arial"/>
          <w:sz w:val="24"/>
        </w:rPr>
        <w:t xml:space="preserve">Demolition of some of the older parts of Monkwearmouth Hospital has occurred (Dec 2022) and redevelopment of the site is underway and will be complete early 2024. The development will also see the vacant site at Boldon Lane Clinic, demolished and either disposed of or rebuilt as a new base for the CYPS service which is currently utilising high cost rented accommodation at Cleadon Park.  </w:t>
      </w:r>
    </w:p>
    <w:p w14:paraId="6F1E6168" w14:textId="1D5C34AB" w:rsidR="001D2E87" w:rsidRDefault="001D2E87" w:rsidP="00650EED">
      <w:pPr>
        <w:contextualSpacing/>
        <w:rPr>
          <w:rFonts w:cs="Arial"/>
          <w:sz w:val="24"/>
        </w:rPr>
      </w:pPr>
      <w:r w:rsidRPr="00CE240B">
        <w:rPr>
          <w:rFonts w:cs="Arial"/>
          <w:sz w:val="24"/>
        </w:rPr>
        <w:t xml:space="preserve">The South Tyneside Older Peoples Service that </w:t>
      </w:r>
      <w:r w:rsidR="002D27B6" w:rsidRPr="00CE240B">
        <w:rPr>
          <w:rFonts w:cs="Arial"/>
          <w:sz w:val="24"/>
        </w:rPr>
        <w:t>was</w:t>
      </w:r>
      <w:r w:rsidRPr="00CE240B">
        <w:rPr>
          <w:rFonts w:cs="Arial"/>
          <w:sz w:val="24"/>
        </w:rPr>
        <w:t xml:space="preserve"> previously located out of area at Monkwearmouth Hospital will either return to MWH or be relocated into alternative rented accommodation or a refurbished Alexandra Lodge which is adjacent to Rose Lodge. </w:t>
      </w:r>
    </w:p>
    <w:p w14:paraId="265F1B85" w14:textId="77777777" w:rsidR="00DA25FC" w:rsidRPr="00CE240B" w:rsidRDefault="00DA25FC" w:rsidP="00650EED">
      <w:pPr>
        <w:contextualSpacing/>
        <w:rPr>
          <w:rFonts w:cs="Arial"/>
          <w:sz w:val="24"/>
        </w:rPr>
      </w:pPr>
    </w:p>
    <w:p w14:paraId="7B8BCBB6" w14:textId="6AC42965" w:rsidR="001D2E87" w:rsidRPr="00CE240B" w:rsidRDefault="001D2E87" w:rsidP="00650EED">
      <w:pPr>
        <w:contextualSpacing/>
        <w:rPr>
          <w:rFonts w:cs="Arial"/>
          <w:sz w:val="24"/>
        </w:rPr>
      </w:pPr>
      <w:r w:rsidRPr="00CE240B">
        <w:rPr>
          <w:rFonts w:cs="Arial"/>
          <w:noProof/>
          <w:sz w:val="24"/>
          <w:lang w:eastAsia="en-GB"/>
        </w:rPr>
        <w:drawing>
          <wp:anchor distT="0" distB="0" distL="114300" distR="114300" simplePos="0" relativeHeight="251686912" behindDoc="1" locked="0" layoutInCell="1" allowOverlap="0" wp14:anchorId="7BBE6E77" wp14:editId="53A0C882">
            <wp:simplePos x="0" y="0"/>
            <wp:positionH relativeFrom="column">
              <wp:posOffset>721931</wp:posOffset>
            </wp:positionH>
            <wp:positionV relativeFrom="paragraph">
              <wp:posOffset>480071</wp:posOffset>
            </wp:positionV>
            <wp:extent cx="4662170" cy="3074670"/>
            <wp:effectExtent l="0" t="0" r="508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662170" cy="3074670"/>
                    </a:xfrm>
                    <a:prstGeom prst="rect">
                      <a:avLst/>
                    </a:prstGeom>
                  </pic:spPr>
                </pic:pic>
              </a:graphicData>
            </a:graphic>
            <wp14:sizeRelH relativeFrom="margin">
              <wp14:pctWidth>0</wp14:pctWidth>
            </wp14:sizeRelH>
            <wp14:sizeRelV relativeFrom="margin">
              <wp14:pctHeight>0</wp14:pctHeight>
            </wp14:sizeRelV>
          </wp:anchor>
        </w:drawing>
      </w:r>
      <w:r w:rsidRPr="00CE240B">
        <w:rPr>
          <w:rFonts w:cs="Arial"/>
          <w:sz w:val="24"/>
        </w:rPr>
        <w:t>An artist’s impression of the redeveloped Monkwearmouth Hospital is shown</w:t>
      </w:r>
      <w:r w:rsidR="00DA25FC">
        <w:rPr>
          <w:rFonts w:cs="Arial"/>
          <w:sz w:val="24"/>
        </w:rPr>
        <w:t xml:space="preserve"> in figure 18</w:t>
      </w:r>
      <w:r w:rsidRPr="00CE240B">
        <w:rPr>
          <w:rFonts w:cs="Arial"/>
          <w:sz w:val="24"/>
        </w:rPr>
        <w:t xml:space="preserve"> below.</w:t>
      </w:r>
    </w:p>
    <w:p w14:paraId="075BB619" w14:textId="77777777" w:rsidR="00DA25FC" w:rsidRDefault="00DA25FC" w:rsidP="00CE240B">
      <w:pPr>
        <w:ind w:left="720"/>
        <w:contextualSpacing/>
        <w:jc w:val="center"/>
      </w:pPr>
    </w:p>
    <w:p w14:paraId="45456A05" w14:textId="01D38DCD" w:rsidR="00DA25FC" w:rsidRDefault="001D2E87" w:rsidP="00CE240B">
      <w:pPr>
        <w:ind w:left="720"/>
        <w:contextualSpacing/>
        <w:jc w:val="center"/>
      </w:pPr>
      <w:r>
        <w:t xml:space="preserve">Figure </w:t>
      </w:r>
      <w:r w:rsidR="00DA25FC">
        <w:t>18 Artist’s impression of the redeveloped Monkwearmouth Hospital</w:t>
      </w:r>
    </w:p>
    <w:p w14:paraId="3D130BEA" w14:textId="6F244FFB" w:rsidR="001D2E87" w:rsidRPr="00CE240B" w:rsidRDefault="001D2E87" w:rsidP="00CE240B">
      <w:pPr>
        <w:ind w:left="720"/>
        <w:contextualSpacing/>
        <w:jc w:val="center"/>
        <w:rPr>
          <w:rFonts w:cs="Arial"/>
          <w:color w:val="1F497D" w:themeColor="text2"/>
          <w:sz w:val="24"/>
        </w:rPr>
      </w:pPr>
    </w:p>
    <w:p w14:paraId="1EBCE128" w14:textId="77777777" w:rsidR="001D2E87" w:rsidRPr="00650EED" w:rsidRDefault="001D2E87" w:rsidP="00650EED">
      <w:pPr>
        <w:contextualSpacing/>
        <w:rPr>
          <w:rFonts w:cs="Arial"/>
          <w:sz w:val="24"/>
        </w:rPr>
      </w:pPr>
      <w:r w:rsidRPr="00650EED">
        <w:rPr>
          <w:rFonts w:cs="Arial"/>
          <w:sz w:val="24"/>
        </w:rPr>
        <w:t xml:space="preserve">The Monkwearmouth and South of Tyne Developments will </w:t>
      </w:r>
      <w:r w:rsidRPr="00650EED">
        <w:rPr>
          <w:rFonts w:cs="Arial"/>
          <w:b/>
          <w:sz w:val="24"/>
        </w:rPr>
        <w:t>deliver</w:t>
      </w:r>
      <w:r w:rsidRPr="00650EED">
        <w:rPr>
          <w:rFonts w:cs="Arial"/>
          <w:sz w:val="24"/>
        </w:rPr>
        <w:t xml:space="preserve"> against each of the </w:t>
      </w:r>
      <w:r w:rsidRPr="00650EED">
        <w:rPr>
          <w:rFonts w:cs="Arial"/>
          <w:b/>
          <w:sz w:val="24"/>
        </w:rPr>
        <w:t>five strategic themes</w:t>
      </w:r>
      <w:r w:rsidRPr="00650EED">
        <w:rPr>
          <w:rFonts w:cs="Arial"/>
          <w:sz w:val="24"/>
        </w:rPr>
        <w:t xml:space="preserve"> and will remove a range of buildings that have high levels of backlog maintenance are of a poor quality, poor functional suitability and had associated safety issues related to structural deficiencies and asbestos contamination.</w:t>
      </w:r>
    </w:p>
    <w:p w14:paraId="4411286B" w14:textId="77777777" w:rsidR="00650EED" w:rsidRPr="002D27B6" w:rsidRDefault="00650EED" w:rsidP="00CE240B">
      <w:pPr>
        <w:ind w:left="720"/>
        <w:contextualSpacing/>
        <w:rPr>
          <w:rFonts w:cs="Arial"/>
          <w:b/>
          <w:color w:val="0070C0"/>
          <w:sz w:val="24"/>
        </w:rPr>
      </w:pPr>
    </w:p>
    <w:p w14:paraId="4F168A81" w14:textId="0D59AB66" w:rsidR="001D2E87" w:rsidRPr="002D27B6" w:rsidRDefault="001D2E87" w:rsidP="00650EED">
      <w:pPr>
        <w:contextualSpacing/>
        <w:rPr>
          <w:rFonts w:cs="Arial"/>
          <w:b/>
          <w:color w:val="0070C0"/>
          <w:sz w:val="24"/>
        </w:rPr>
      </w:pPr>
      <w:r w:rsidRPr="002D27B6">
        <w:rPr>
          <w:rFonts w:cs="Arial"/>
          <w:b/>
          <w:color w:val="0070C0"/>
          <w:sz w:val="24"/>
        </w:rPr>
        <w:t>Benton House</w:t>
      </w:r>
    </w:p>
    <w:p w14:paraId="73124FA0" w14:textId="77777777" w:rsidR="002D27B6" w:rsidRPr="00CE240B" w:rsidRDefault="002D27B6" w:rsidP="00650EED">
      <w:pPr>
        <w:contextualSpacing/>
        <w:rPr>
          <w:rFonts w:cs="Arial"/>
          <w:b/>
          <w:color w:val="1F497D" w:themeColor="text2"/>
          <w:sz w:val="24"/>
        </w:rPr>
      </w:pPr>
    </w:p>
    <w:p w14:paraId="2ECC61F0" w14:textId="0670EC8C" w:rsidR="001D2E87" w:rsidRPr="00CE240B" w:rsidRDefault="001D2E87" w:rsidP="00650EED">
      <w:pPr>
        <w:contextualSpacing/>
        <w:rPr>
          <w:rFonts w:cs="Arial"/>
          <w:sz w:val="24"/>
        </w:rPr>
      </w:pPr>
      <w:r w:rsidRPr="00CE240B">
        <w:rPr>
          <w:rFonts w:cs="Arial"/>
          <w:sz w:val="24"/>
        </w:rPr>
        <w:t xml:space="preserve">Benton House in Newcastle is a leased community property which has been utilised by the Trust for almost 20 years. </w:t>
      </w:r>
      <w:r w:rsidR="00DF49DE">
        <w:rPr>
          <w:rFonts w:cs="Arial"/>
          <w:sz w:val="24"/>
        </w:rPr>
        <w:t xml:space="preserve"> </w:t>
      </w:r>
      <w:r w:rsidRPr="00CE240B">
        <w:rPr>
          <w:rFonts w:cs="Arial"/>
          <w:sz w:val="24"/>
        </w:rPr>
        <w:t xml:space="preserve">In 2022 the Trust agreed with the new Landlord to extend the lease and occupy the whole of the building. </w:t>
      </w:r>
      <w:r w:rsidR="00DF49DE">
        <w:rPr>
          <w:rFonts w:cs="Arial"/>
          <w:sz w:val="24"/>
        </w:rPr>
        <w:t xml:space="preserve"> </w:t>
      </w:r>
      <w:r w:rsidRPr="00CE240B">
        <w:rPr>
          <w:rFonts w:cs="Arial"/>
          <w:sz w:val="24"/>
        </w:rPr>
        <w:t xml:space="preserve">The building has been refurbished </w:t>
      </w:r>
      <w:proofErr w:type="gramStart"/>
      <w:r w:rsidRPr="00CE240B">
        <w:rPr>
          <w:rFonts w:cs="Arial"/>
          <w:sz w:val="24"/>
        </w:rPr>
        <w:t>in order to</w:t>
      </w:r>
      <w:proofErr w:type="gramEnd"/>
      <w:r w:rsidRPr="00CE240B">
        <w:rPr>
          <w:rFonts w:cs="Arial"/>
          <w:sz w:val="24"/>
        </w:rPr>
        <w:t xml:space="preserve"> accommodate other </w:t>
      </w:r>
      <w:r w:rsidR="002D27B6" w:rsidRPr="00CE240B">
        <w:rPr>
          <w:rFonts w:cs="Arial"/>
          <w:sz w:val="24"/>
        </w:rPr>
        <w:t>teams,</w:t>
      </w:r>
      <w:r w:rsidRPr="00CE240B">
        <w:rPr>
          <w:rFonts w:cs="Arial"/>
          <w:sz w:val="24"/>
        </w:rPr>
        <w:t xml:space="preserve"> and this work will be complete in early 2023</w:t>
      </w:r>
      <w:r w:rsidR="00DF49DE">
        <w:rPr>
          <w:rFonts w:cs="Arial"/>
          <w:sz w:val="24"/>
        </w:rPr>
        <w:t xml:space="preserve"> (see figure 19 below)</w:t>
      </w:r>
      <w:r w:rsidRPr="00CE240B">
        <w:rPr>
          <w:rFonts w:cs="Arial"/>
          <w:sz w:val="24"/>
        </w:rPr>
        <w:t xml:space="preserve">. </w:t>
      </w:r>
    </w:p>
    <w:p w14:paraId="71D5FD51" w14:textId="77777777" w:rsidR="001D2E87" w:rsidRPr="00CE240B" w:rsidRDefault="001D2E87" w:rsidP="00CE240B">
      <w:pPr>
        <w:pStyle w:val="BodyText"/>
        <w:spacing w:line="240" w:lineRule="auto"/>
        <w:contextualSpacing/>
        <w:rPr>
          <w:rFonts w:cs="Arial"/>
          <w:noProof/>
          <w:lang w:eastAsia="en-GB"/>
        </w:rPr>
      </w:pPr>
      <w:r w:rsidRPr="00CE240B">
        <w:rPr>
          <w:rFonts w:cs="Arial"/>
          <w:noProof/>
          <w:lang w:eastAsia="en-GB"/>
        </w:rPr>
        <w:drawing>
          <wp:inline distT="0" distB="0" distL="0" distR="0" wp14:anchorId="5A39180A" wp14:editId="5B5C184A">
            <wp:extent cx="6105525" cy="21621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05525" cy="2162175"/>
                    </a:xfrm>
                    <a:prstGeom prst="rect">
                      <a:avLst/>
                    </a:prstGeom>
                  </pic:spPr>
                </pic:pic>
              </a:graphicData>
            </a:graphic>
          </wp:inline>
        </w:drawing>
      </w:r>
    </w:p>
    <w:p w14:paraId="3963F10E" w14:textId="3AD6EF9C" w:rsidR="001D2E87" w:rsidRPr="00CE240B" w:rsidRDefault="001D2E87" w:rsidP="00CE240B">
      <w:pPr>
        <w:ind w:left="720"/>
        <w:contextualSpacing/>
        <w:jc w:val="center"/>
        <w:rPr>
          <w:rFonts w:cs="Arial"/>
          <w:sz w:val="24"/>
        </w:rPr>
      </w:pPr>
      <w:r>
        <w:t xml:space="preserve">Figure </w:t>
      </w:r>
      <w:r w:rsidR="00DF49DE">
        <w:t>19</w:t>
      </w:r>
      <w:r>
        <w:t xml:space="preserve"> Refurbished space at Benton House</w:t>
      </w:r>
    </w:p>
    <w:p w14:paraId="325DB7DA" w14:textId="77777777" w:rsidR="00650EED" w:rsidRDefault="00650EED" w:rsidP="00650EED">
      <w:pPr>
        <w:contextualSpacing/>
        <w:rPr>
          <w:rFonts w:cs="Arial"/>
          <w:sz w:val="24"/>
        </w:rPr>
      </w:pPr>
    </w:p>
    <w:p w14:paraId="4A237DD4" w14:textId="060E0BE3" w:rsidR="001D2E87" w:rsidRPr="00CE240B" w:rsidRDefault="001D2E87" w:rsidP="00650EED">
      <w:pPr>
        <w:contextualSpacing/>
        <w:rPr>
          <w:rFonts w:cs="Arial"/>
          <w:sz w:val="24"/>
        </w:rPr>
      </w:pPr>
      <w:r w:rsidRPr="00CE240B">
        <w:rPr>
          <w:rFonts w:cs="Arial"/>
          <w:sz w:val="24"/>
        </w:rPr>
        <w:t xml:space="preserve">The additional space will provide an opportunity for services to relocate to Benton House. Work is currently underway with the CBU’s to identify and finalise those teams where relocation will deliver </w:t>
      </w:r>
      <w:r w:rsidR="002D27B6" w:rsidRPr="00CE240B">
        <w:rPr>
          <w:rFonts w:cs="Arial"/>
          <w:sz w:val="24"/>
        </w:rPr>
        <w:t>benefits,</w:t>
      </w:r>
      <w:r w:rsidRPr="00CE240B">
        <w:rPr>
          <w:rFonts w:cs="Arial"/>
          <w:sz w:val="24"/>
        </w:rPr>
        <w:t xml:space="preserve"> and it is anticipated this will result in the building being fully occupied by the summer of 2023. The teams currently being considered for relocation include the community service based in the Molineux centre who are in high cost rented accommodation, the CYP CEDS North of Tyne (formerly EDICT) service who are looking to consolidate into a single location and the creation of a CYPS crisis team assessment centre which forms part of the UEC bid. </w:t>
      </w:r>
    </w:p>
    <w:p w14:paraId="4E9EFC64" w14:textId="77777777" w:rsidR="001D2E87" w:rsidRPr="00CE240B" w:rsidRDefault="001D2E87" w:rsidP="00650EED">
      <w:pPr>
        <w:contextualSpacing/>
        <w:rPr>
          <w:rFonts w:cs="Arial"/>
          <w:sz w:val="24"/>
        </w:rPr>
      </w:pPr>
      <w:r w:rsidRPr="00CE240B">
        <w:rPr>
          <w:rFonts w:cs="Arial"/>
          <w:sz w:val="24"/>
        </w:rPr>
        <w:t xml:space="preserve">The Benton House scheme will deliver against </w:t>
      </w:r>
      <w:proofErr w:type="gramStart"/>
      <w:r w:rsidRPr="00CE240B">
        <w:rPr>
          <w:rFonts w:cs="Arial"/>
          <w:sz w:val="24"/>
        </w:rPr>
        <w:t>a number of</w:t>
      </w:r>
      <w:proofErr w:type="gramEnd"/>
      <w:r w:rsidRPr="00CE240B">
        <w:rPr>
          <w:rFonts w:cs="Arial"/>
          <w:sz w:val="24"/>
        </w:rPr>
        <w:t xml:space="preserve"> the strategic themes, in particular improvements to the quality and suitability of the estate following refurbishment, the delivery of cost savings associated with relocation from the Molineux Centre and is supporting service delivery through the relocation of teams.</w:t>
      </w:r>
    </w:p>
    <w:p w14:paraId="7D703431" w14:textId="77777777" w:rsidR="00650EED" w:rsidRPr="002D27B6" w:rsidRDefault="00650EED" w:rsidP="00CE240B">
      <w:pPr>
        <w:ind w:left="720"/>
        <w:contextualSpacing/>
        <w:rPr>
          <w:rFonts w:cs="Arial"/>
          <w:b/>
          <w:color w:val="0070C0"/>
          <w:sz w:val="24"/>
        </w:rPr>
      </w:pPr>
    </w:p>
    <w:p w14:paraId="44456204" w14:textId="5062E822" w:rsidR="001D2E87" w:rsidRPr="002D27B6" w:rsidRDefault="001D2E87" w:rsidP="00650EED">
      <w:pPr>
        <w:contextualSpacing/>
        <w:rPr>
          <w:rFonts w:cs="Arial"/>
          <w:b/>
          <w:color w:val="0070C0"/>
          <w:sz w:val="24"/>
        </w:rPr>
      </w:pPr>
      <w:r w:rsidRPr="002D27B6">
        <w:rPr>
          <w:rFonts w:cs="Arial"/>
          <w:b/>
          <w:color w:val="0070C0"/>
          <w:sz w:val="24"/>
        </w:rPr>
        <w:t>Hadrian Unit – Carleton Clinic</w:t>
      </w:r>
    </w:p>
    <w:p w14:paraId="4099E0D1" w14:textId="77777777" w:rsidR="002D27B6" w:rsidRPr="00CE240B" w:rsidRDefault="002D27B6" w:rsidP="00650EED">
      <w:pPr>
        <w:contextualSpacing/>
        <w:rPr>
          <w:rFonts w:cs="Arial"/>
          <w:b/>
          <w:sz w:val="24"/>
        </w:rPr>
      </w:pPr>
    </w:p>
    <w:p w14:paraId="34CE1D8D" w14:textId="7E59AF99" w:rsidR="001D2E87" w:rsidRPr="00CE240B" w:rsidRDefault="001D2E87" w:rsidP="00650EED">
      <w:pPr>
        <w:contextualSpacing/>
        <w:rPr>
          <w:rFonts w:cs="Arial"/>
          <w:sz w:val="24"/>
        </w:rPr>
      </w:pPr>
      <w:r w:rsidRPr="00CE240B">
        <w:rPr>
          <w:rFonts w:cs="Arial"/>
          <w:sz w:val="24"/>
        </w:rPr>
        <w:t xml:space="preserve">The Hadrian Unit was a </w:t>
      </w:r>
      <w:r w:rsidR="002D27B6" w:rsidRPr="00CE240B">
        <w:rPr>
          <w:rFonts w:cs="Arial"/>
          <w:sz w:val="24"/>
        </w:rPr>
        <w:t>22-bed</w:t>
      </w:r>
      <w:r w:rsidRPr="00CE240B">
        <w:rPr>
          <w:rFonts w:cs="Arial"/>
          <w:sz w:val="24"/>
        </w:rPr>
        <w:t xml:space="preserve"> mixed sex adult acute in-patient ward. The unit had a significant number of environmental and safety </w:t>
      </w:r>
      <w:r w:rsidR="002D27B6" w:rsidRPr="00CE240B">
        <w:rPr>
          <w:rFonts w:cs="Arial"/>
          <w:sz w:val="24"/>
        </w:rPr>
        <w:t>shortfalls,</w:t>
      </w:r>
      <w:r w:rsidRPr="00CE240B">
        <w:rPr>
          <w:rFonts w:cs="Arial"/>
          <w:sz w:val="24"/>
        </w:rPr>
        <w:t xml:space="preserve"> and these are being addressed as part of a comprehensive upgrade. The original plan was to reduce the beds to 20 and provide bedrooms with en-suite facilities along with other environmental and safety improvements and return the ward back to a mixed sex unit. During the upgrade the service moved the male patients into the former PICU unit and the CBU have decided they will operate this split service moving forward. The upgrade has been modified and now </w:t>
      </w:r>
      <w:proofErr w:type="gramStart"/>
      <w:r w:rsidRPr="00CE240B">
        <w:rPr>
          <w:rFonts w:cs="Arial"/>
          <w:sz w:val="24"/>
        </w:rPr>
        <w:t>a number of</w:t>
      </w:r>
      <w:proofErr w:type="gramEnd"/>
      <w:r w:rsidRPr="00CE240B">
        <w:rPr>
          <w:rFonts w:cs="Arial"/>
          <w:sz w:val="24"/>
        </w:rPr>
        <w:t xml:space="preserve"> bedrooms will not be upgraded and </w:t>
      </w:r>
      <w:r w:rsidR="002D27B6" w:rsidRPr="00CE240B">
        <w:rPr>
          <w:rFonts w:cs="Arial"/>
          <w:sz w:val="24"/>
        </w:rPr>
        <w:t>will instead</w:t>
      </w:r>
      <w:r w:rsidRPr="00CE240B">
        <w:rPr>
          <w:rFonts w:cs="Arial"/>
          <w:sz w:val="24"/>
        </w:rPr>
        <w:t xml:space="preserve"> be mothballed. </w:t>
      </w:r>
    </w:p>
    <w:p w14:paraId="62508BDA" w14:textId="494B2206" w:rsidR="001D2E87" w:rsidRPr="00CE240B" w:rsidRDefault="001D2E87" w:rsidP="00650EED">
      <w:pPr>
        <w:contextualSpacing/>
        <w:rPr>
          <w:rFonts w:cs="Arial"/>
          <w:sz w:val="24"/>
        </w:rPr>
      </w:pPr>
      <w:r w:rsidRPr="00CE240B">
        <w:rPr>
          <w:rFonts w:cs="Arial"/>
          <w:sz w:val="24"/>
        </w:rPr>
        <w:t xml:space="preserve">There is an opportunity to look at the bed model on the Carleton Clinic site to see if it can be used as a single site for North Cumbria </w:t>
      </w:r>
      <w:r w:rsidR="002D27B6" w:rsidRPr="00CE240B">
        <w:rPr>
          <w:rFonts w:cs="Arial"/>
          <w:sz w:val="24"/>
        </w:rPr>
        <w:t>bed-based</w:t>
      </w:r>
      <w:r w:rsidRPr="00CE240B">
        <w:rPr>
          <w:rFonts w:cs="Arial"/>
          <w:sz w:val="24"/>
        </w:rPr>
        <w:t xml:space="preserve"> services and facilitate the relocation of the Yewdale beds.</w:t>
      </w:r>
    </w:p>
    <w:p w14:paraId="47121E09" w14:textId="77777777" w:rsidR="001D2E87" w:rsidRPr="00CE240B" w:rsidRDefault="001D2E87" w:rsidP="00650EED">
      <w:pPr>
        <w:contextualSpacing/>
        <w:rPr>
          <w:rFonts w:cs="Arial"/>
          <w:sz w:val="24"/>
        </w:rPr>
      </w:pPr>
      <w:r w:rsidRPr="00CE240B">
        <w:rPr>
          <w:rFonts w:cs="Arial"/>
          <w:sz w:val="24"/>
        </w:rPr>
        <w:t xml:space="preserve">The Hadrian Unit upgrade will deliver against </w:t>
      </w:r>
      <w:proofErr w:type="gramStart"/>
      <w:r w:rsidRPr="00CE240B">
        <w:rPr>
          <w:rFonts w:cs="Arial"/>
          <w:sz w:val="24"/>
        </w:rPr>
        <w:t>a number of</w:t>
      </w:r>
      <w:proofErr w:type="gramEnd"/>
      <w:r w:rsidRPr="00CE240B">
        <w:rPr>
          <w:rFonts w:cs="Arial"/>
          <w:sz w:val="24"/>
        </w:rPr>
        <w:t xml:space="preserve"> the strategic themes, in particular improvements to the safety, quality and suitability of the estate following refurbishment and supporting service delivery.</w:t>
      </w:r>
    </w:p>
    <w:p w14:paraId="1776533F" w14:textId="77777777" w:rsidR="00650EED" w:rsidRDefault="00650EED" w:rsidP="00CE240B">
      <w:pPr>
        <w:ind w:left="720"/>
        <w:contextualSpacing/>
        <w:rPr>
          <w:rFonts w:cs="Arial"/>
          <w:b/>
          <w:sz w:val="24"/>
        </w:rPr>
      </w:pPr>
    </w:p>
    <w:p w14:paraId="1D171211" w14:textId="548F45D1" w:rsidR="001D2E87" w:rsidRPr="002D27B6" w:rsidRDefault="001D2E87" w:rsidP="00650EED">
      <w:pPr>
        <w:contextualSpacing/>
        <w:rPr>
          <w:rFonts w:cs="Arial"/>
          <w:b/>
          <w:color w:val="0070C0"/>
          <w:sz w:val="24"/>
        </w:rPr>
      </w:pPr>
      <w:r w:rsidRPr="002D27B6">
        <w:rPr>
          <w:rFonts w:cs="Arial"/>
          <w:b/>
          <w:color w:val="0070C0"/>
          <w:sz w:val="24"/>
        </w:rPr>
        <w:lastRenderedPageBreak/>
        <w:t>Urgent and Emergency Care Works</w:t>
      </w:r>
    </w:p>
    <w:p w14:paraId="7DF936A7" w14:textId="77777777" w:rsidR="002D27B6" w:rsidRPr="00CE240B" w:rsidRDefault="002D27B6" w:rsidP="00650EED">
      <w:pPr>
        <w:contextualSpacing/>
        <w:rPr>
          <w:rFonts w:cs="Arial"/>
          <w:b/>
          <w:sz w:val="24"/>
        </w:rPr>
      </w:pPr>
    </w:p>
    <w:p w14:paraId="191CE501" w14:textId="77777777" w:rsidR="001D2E87" w:rsidRPr="00CE240B" w:rsidRDefault="001D2E87" w:rsidP="00650EED">
      <w:pPr>
        <w:contextualSpacing/>
        <w:rPr>
          <w:rFonts w:cs="Arial"/>
          <w:sz w:val="24"/>
        </w:rPr>
      </w:pPr>
      <w:r w:rsidRPr="00CE240B">
        <w:rPr>
          <w:rFonts w:cs="Arial"/>
          <w:sz w:val="24"/>
        </w:rPr>
        <w:t>It was identified nationally that there are MH priorities in the UEC pathway. Funding was made available for schemes that would relieve pressure on the pathway, by either:</w:t>
      </w:r>
    </w:p>
    <w:p w14:paraId="048A0E24"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Diverting people away for Emergency Departments</w:t>
      </w:r>
    </w:p>
    <w:p w14:paraId="3F4D2616"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Improving experience in Emergency Departments</w:t>
      </w:r>
    </w:p>
    <w:p w14:paraId="0DBAFDE0"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Allowing for timely transfer to an appropriate MH service</w:t>
      </w:r>
    </w:p>
    <w:p w14:paraId="59AA32B8" w14:textId="77777777" w:rsidR="001D2E87" w:rsidRPr="00CE240B" w:rsidRDefault="001D2E87" w:rsidP="00650EED">
      <w:pPr>
        <w:contextualSpacing/>
        <w:rPr>
          <w:rFonts w:cs="Arial"/>
          <w:sz w:val="24"/>
        </w:rPr>
      </w:pPr>
      <w:r w:rsidRPr="00CE240B">
        <w:rPr>
          <w:rFonts w:cs="Arial"/>
          <w:sz w:val="24"/>
        </w:rPr>
        <w:t xml:space="preserve">Examples of  </w:t>
      </w:r>
    </w:p>
    <w:p w14:paraId="7168AD75"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Safe spaces and sanctuaries (including Health Based Places of Safety)</w:t>
      </w:r>
    </w:p>
    <w:p w14:paraId="57D361EE"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Dignified spaces in or near EDs, this may include adapting existing spaces or bays</w:t>
      </w:r>
    </w:p>
    <w:p w14:paraId="6360CE30" w14:textId="5B33E888"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 xml:space="preserve">Dedicated mental health response vehicles to add capacity to ambulance services and divert people from </w:t>
      </w:r>
      <w:r w:rsidR="002D27B6" w:rsidRPr="00CE240B">
        <w:rPr>
          <w:rFonts w:cs="Arial"/>
          <w:sz w:val="24"/>
        </w:rPr>
        <w:t>ED.</w:t>
      </w:r>
      <w:r w:rsidRPr="00CE240B">
        <w:rPr>
          <w:rFonts w:cs="Arial"/>
          <w:sz w:val="24"/>
        </w:rPr>
        <w:t xml:space="preserve"> </w:t>
      </w:r>
    </w:p>
    <w:p w14:paraId="13D2E267"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Crisis beds or intermediate step up/down services to support flow</w:t>
      </w:r>
    </w:p>
    <w:p w14:paraId="1C445087" w14:textId="77777777" w:rsidR="001D2E87" w:rsidRPr="00CE240B" w:rsidRDefault="001D2E87" w:rsidP="002867BC">
      <w:pPr>
        <w:numPr>
          <w:ilvl w:val="1"/>
          <w:numId w:val="58"/>
        </w:numPr>
        <w:spacing w:before="120" w:after="120"/>
        <w:ind w:right="340"/>
        <w:contextualSpacing/>
        <w:jc w:val="both"/>
        <w:rPr>
          <w:rFonts w:cs="Arial"/>
          <w:sz w:val="24"/>
        </w:rPr>
      </w:pPr>
      <w:r w:rsidRPr="00CE240B">
        <w:rPr>
          <w:rFonts w:cs="Arial"/>
          <w:sz w:val="24"/>
        </w:rPr>
        <w:t>Specific types of MH inpatient beds to address gaps in certain areas</w:t>
      </w:r>
    </w:p>
    <w:p w14:paraId="03D20CFC" w14:textId="77777777" w:rsidR="001D2E87" w:rsidRPr="00CE240B" w:rsidRDefault="001D2E87" w:rsidP="00650EED">
      <w:pPr>
        <w:contextualSpacing/>
        <w:rPr>
          <w:rFonts w:cs="Arial"/>
          <w:sz w:val="24"/>
        </w:rPr>
      </w:pPr>
      <w:r w:rsidRPr="00CE240B">
        <w:rPr>
          <w:rFonts w:cs="Arial"/>
          <w:sz w:val="24"/>
        </w:rPr>
        <w:t xml:space="preserve">The Trust was successful in </w:t>
      </w:r>
      <w:proofErr w:type="gramStart"/>
      <w:r w:rsidRPr="00CE240B">
        <w:rPr>
          <w:rFonts w:cs="Arial"/>
          <w:sz w:val="24"/>
        </w:rPr>
        <w:t>a number of</w:t>
      </w:r>
      <w:proofErr w:type="gramEnd"/>
      <w:r w:rsidRPr="00CE240B">
        <w:rPr>
          <w:rFonts w:cs="Arial"/>
          <w:sz w:val="24"/>
        </w:rPr>
        <w:t xml:space="preserve"> bids to be delivered in 22/23 and </w:t>
      </w:r>
      <w:proofErr w:type="gramStart"/>
      <w:r w:rsidRPr="00CE240B">
        <w:rPr>
          <w:rFonts w:cs="Arial"/>
          <w:sz w:val="24"/>
        </w:rPr>
        <w:t>23/24,</w:t>
      </w:r>
      <w:proofErr w:type="gramEnd"/>
      <w:r w:rsidRPr="00CE240B">
        <w:rPr>
          <w:rFonts w:cs="Arial"/>
          <w:sz w:val="24"/>
        </w:rPr>
        <w:t xml:space="preserve"> these are summarised as follows:</w:t>
      </w:r>
    </w:p>
    <w:p w14:paraId="71470DF6" w14:textId="77777777" w:rsidR="00650EED" w:rsidRDefault="00650EED" w:rsidP="00650EED">
      <w:pPr>
        <w:contextualSpacing/>
        <w:rPr>
          <w:rFonts w:cs="Arial"/>
          <w:b/>
          <w:sz w:val="24"/>
        </w:rPr>
      </w:pPr>
    </w:p>
    <w:p w14:paraId="2C48CD08" w14:textId="31645614" w:rsidR="001D2E87" w:rsidRPr="002D27B6" w:rsidRDefault="001D2E87" w:rsidP="00650EED">
      <w:pPr>
        <w:contextualSpacing/>
        <w:rPr>
          <w:rFonts w:cs="Arial"/>
          <w:b/>
          <w:color w:val="0070C0"/>
          <w:sz w:val="24"/>
        </w:rPr>
      </w:pPr>
      <w:r w:rsidRPr="002D27B6">
        <w:rPr>
          <w:rFonts w:cs="Arial"/>
          <w:b/>
          <w:color w:val="0070C0"/>
          <w:sz w:val="24"/>
        </w:rPr>
        <w:t>Cumbria</w:t>
      </w:r>
    </w:p>
    <w:p w14:paraId="4CA82DF8" w14:textId="77777777" w:rsidR="002D27B6" w:rsidRPr="00CE240B" w:rsidRDefault="002D27B6" w:rsidP="00650EED">
      <w:pPr>
        <w:contextualSpacing/>
        <w:rPr>
          <w:rFonts w:cs="Arial"/>
          <w:b/>
          <w:sz w:val="24"/>
        </w:rPr>
      </w:pPr>
    </w:p>
    <w:p w14:paraId="7FEE6932" w14:textId="77777777" w:rsidR="001D2E87" w:rsidRPr="00CE240B" w:rsidRDefault="001D2E87" w:rsidP="00650EED">
      <w:pPr>
        <w:contextualSpacing/>
        <w:rPr>
          <w:rFonts w:cs="Arial"/>
          <w:sz w:val="24"/>
        </w:rPr>
      </w:pPr>
      <w:r w:rsidRPr="00CE240B">
        <w:rPr>
          <w:rFonts w:cs="Arial"/>
          <w:sz w:val="24"/>
        </w:rPr>
        <w:t>This scheme seeks to expand the capacity of the current S136 facility to two and improve the standard of the suite in terms of patient safety and experience.  It will reduce the frequency of the inappropriate holding of patients in police facilities and emergency departments. It will also enhance the layout and facilities within the suite to support de-escalation, improve safety for patients and staff and promote earlier recovery.</w:t>
      </w:r>
    </w:p>
    <w:p w14:paraId="78469354" w14:textId="77777777" w:rsidR="001D2E87" w:rsidRPr="00CE240B" w:rsidRDefault="001D2E87" w:rsidP="00650EED">
      <w:pPr>
        <w:contextualSpacing/>
        <w:rPr>
          <w:rFonts w:cs="Arial"/>
          <w:sz w:val="24"/>
        </w:rPr>
      </w:pPr>
      <w:r w:rsidRPr="00CE240B">
        <w:rPr>
          <w:rFonts w:cs="Arial"/>
          <w:sz w:val="24"/>
        </w:rPr>
        <w:t>The works will be carried out on the Acorn Ward and will require some enabling works to be undertaken to relocate the LD patients back into Edenwood.</w:t>
      </w:r>
    </w:p>
    <w:p w14:paraId="468EFA92" w14:textId="77777777" w:rsidR="001D2E87" w:rsidRPr="00CE240B" w:rsidRDefault="001D2E87" w:rsidP="00650EED">
      <w:pPr>
        <w:contextualSpacing/>
        <w:rPr>
          <w:rFonts w:cs="Arial"/>
          <w:sz w:val="24"/>
        </w:rPr>
      </w:pPr>
      <w:r w:rsidRPr="00CE240B">
        <w:rPr>
          <w:rFonts w:cs="Arial"/>
          <w:sz w:val="24"/>
        </w:rPr>
        <w:t>The value of the scheme is £3.1M</w:t>
      </w:r>
    </w:p>
    <w:p w14:paraId="05E365E1" w14:textId="77777777" w:rsidR="00650EED" w:rsidRPr="002D27B6" w:rsidRDefault="00650EED" w:rsidP="00CE240B">
      <w:pPr>
        <w:ind w:left="1440"/>
        <w:contextualSpacing/>
        <w:rPr>
          <w:rFonts w:cs="Arial"/>
          <w:b/>
          <w:color w:val="0070C0"/>
          <w:sz w:val="24"/>
        </w:rPr>
      </w:pPr>
    </w:p>
    <w:p w14:paraId="762F9305" w14:textId="4DEF8842" w:rsidR="001D2E87" w:rsidRPr="002D27B6" w:rsidRDefault="001D2E87" w:rsidP="00650EED">
      <w:pPr>
        <w:contextualSpacing/>
        <w:rPr>
          <w:rFonts w:cs="Arial"/>
          <w:b/>
          <w:color w:val="0070C0"/>
          <w:sz w:val="24"/>
        </w:rPr>
      </w:pPr>
      <w:r w:rsidRPr="002D27B6">
        <w:rPr>
          <w:rFonts w:cs="Arial"/>
          <w:b/>
          <w:color w:val="0070C0"/>
          <w:sz w:val="24"/>
        </w:rPr>
        <w:t>Newcastle and Gateshead</w:t>
      </w:r>
    </w:p>
    <w:p w14:paraId="53884036" w14:textId="77777777" w:rsidR="002D27B6" w:rsidRPr="00CE240B" w:rsidRDefault="002D27B6" w:rsidP="00650EED">
      <w:pPr>
        <w:contextualSpacing/>
        <w:rPr>
          <w:rFonts w:cs="Arial"/>
          <w:b/>
          <w:sz w:val="24"/>
        </w:rPr>
      </w:pPr>
    </w:p>
    <w:p w14:paraId="1A281ACF" w14:textId="77777777" w:rsidR="001D2E87" w:rsidRPr="00CE240B" w:rsidRDefault="001D2E87" w:rsidP="00650EED">
      <w:pPr>
        <w:contextualSpacing/>
        <w:rPr>
          <w:rFonts w:cs="Arial"/>
          <w:sz w:val="24"/>
        </w:rPr>
      </w:pPr>
      <w:r w:rsidRPr="00CE240B">
        <w:rPr>
          <w:rFonts w:cs="Arial"/>
          <w:sz w:val="24"/>
        </w:rPr>
        <w:t>Upgrade the 136 Suite located at St Nicholas Hospital.</w:t>
      </w:r>
    </w:p>
    <w:p w14:paraId="0F993192" w14:textId="77777777" w:rsidR="001D2E87" w:rsidRPr="00CE240B" w:rsidRDefault="001D2E87" w:rsidP="00650EED">
      <w:pPr>
        <w:contextualSpacing/>
        <w:rPr>
          <w:rFonts w:cs="Arial"/>
          <w:sz w:val="24"/>
        </w:rPr>
      </w:pPr>
      <w:r w:rsidRPr="00CE240B">
        <w:rPr>
          <w:rFonts w:cs="Arial"/>
          <w:sz w:val="24"/>
        </w:rPr>
        <w:t>The value of the scheme is £65k</w:t>
      </w:r>
    </w:p>
    <w:p w14:paraId="030F74A0" w14:textId="77777777" w:rsidR="001D2E87" w:rsidRPr="00CE240B" w:rsidRDefault="001D2E87" w:rsidP="00650EED">
      <w:pPr>
        <w:contextualSpacing/>
        <w:rPr>
          <w:rFonts w:cs="Arial"/>
          <w:sz w:val="24"/>
        </w:rPr>
      </w:pPr>
      <w:r w:rsidRPr="00CE240B">
        <w:rPr>
          <w:rFonts w:cs="Arial"/>
          <w:sz w:val="24"/>
        </w:rPr>
        <w:t>Create a CYPS Crisis Team assessments on the ground floor of Benton House with a separate entrance into the building to allow for separation of children and adults as they enter the building.</w:t>
      </w:r>
    </w:p>
    <w:p w14:paraId="02F9D5A7" w14:textId="77777777" w:rsidR="001D2E87" w:rsidRPr="00CE240B" w:rsidRDefault="001D2E87" w:rsidP="00650EED">
      <w:pPr>
        <w:contextualSpacing/>
        <w:rPr>
          <w:rFonts w:cs="Arial"/>
          <w:sz w:val="24"/>
        </w:rPr>
      </w:pPr>
      <w:r w:rsidRPr="00CE240B">
        <w:rPr>
          <w:rFonts w:cs="Arial"/>
          <w:sz w:val="24"/>
        </w:rPr>
        <w:t>The value of the scheme is £150k</w:t>
      </w:r>
    </w:p>
    <w:p w14:paraId="383A7AD2" w14:textId="77777777" w:rsidR="00650EED" w:rsidRPr="002D27B6" w:rsidRDefault="00650EED" w:rsidP="00CE240B">
      <w:pPr>
        <w:ind w:left="1440"/>
        <w:contextualSpacing/>
        <w:rPr>
          <w:rFonts w:cs="Arial"/>
          <w:b/>
          <w:color w:val="0070C0"/>
          <w:sz w:val="24"/>
        </w:rPr>
      </w:pPr>
    </w:p>
    <w:p w14:paraId="45860BA3" w14:textId="7FC80A27" w:rsidR="001D2E87" w:rsidRPr="002D27B6" w:rsidRDefault="001D2E87" w:rsidP="00650EED">
      <w:pPr>
        <w:contextualSpacing/>
        <w:rPr>
          <w:rFonts w:cs="Arial"/>
          <w:b/>
          <w:color w:val="0070C0"/>
          <w:sz w:val="24"/>
        </w:rPr>
      </w:pPr>
      <w:r w:rsidRPr="002D27B6">
        <w:rPr>
          <w:rFonts w:cs="Arial"/>
          <w:b/>
          <w:color w:val="0070C0"/>
          <w:sz w:val="24"/>
        </w:rPr>
        <w:t>Northumberland</w:t>
      </w:r>
    </w:p>
    <w:p w14:paraId="7ECAB85B" w14:textId="77777777" w:rsidR="002D27B6" w:rsidRPr="00CE240B" w:rsidRDefault="002D27B6" w:rsidP="00650EED">
      <w:pPr>
        <w:contextualSpacing/>
        <w:rPr>
          <w:rFonts w:cs="Arial"/>
          <w:b/>
          <w:sz w:val="24"/>
        </w:rPr>
      </w:pPr>
    </w:p>
    <w:p w14:paraId="42793DE2" w14:textId="77777777" w:rsidR="001D2E87" w:rsidRPr="00CE240B" w:rsidRDefault="001D2E87" w:rsidP="00650EED">
      <w:pPr>
        <w:contextualSpacing/>
        <w:rPr>
          <w:rFonts w:cs="Arial"/>
          <w:sz w:val="24"/>
        </w:rPr>
      </w:pPr>
      <w:r w:rsidRPr="00CE240B">
        <w:rPr>
          <w:rFonts w:cs="Arial"/>
          <w:sz w:val="24"/>
        </w:rPr>
        <w:t>Upgrade the 136 Suite located at St Nicholas Hospital.</w:t>
      </w:r>
    </w:p>
    <w:p w14:paraId="4047D8D9" w14:textId="77777777" w:rsidR="001D2E87" w:rsidRPr="00CE240B" w:rsidRDefault="001D2E87" w:rsidP="00650EED">
      <w:pPr>
        <w:contextualSpacing/>
        <w:rPr>
          <w:rFonts w:cs="Arial"/>
          <w:sz w:val="24"/>
        </w:rPr>
      </w:pPr>
      <w:r w:rsidRPr="00CE240B">
        <w:rPr>
          <w:rFonts w:cs="Arial"/>
          <w:sz w:val="24"/>
        </w:rPr>
        <w:t>The value of the scheme is £30k</w:t>
      </w:r>
    </w:p>
    <w:p w14:paraId="65A11FAD" w14:textId="77777777" w:rsidR="00650EED" w:rsidRPr="002D27B6" w:rsidRDefault="00650EED" w:rsidP="00CE240B">
      <w:pPr>
        <w:ind w:left="1440"/>
        <w:contextualSpacing/>
        <w:rPr>
          <w:rFonts w:cs="Arial"/>
          <w:b/>
          <w:color w:val="0070C0"/>
          <w:sz w:val="24"/>
        </w:rPr>
      </w:pPr>
    </w:p>
    <w:p w14:paraId="1F56DD31" w14:textId="36869F7C" w:rsidR="001D2E87" w:rsidRPr="002D27B6" w:rsidRDefault="001D2E87" w:rsidP="00650EED">
      <w:pPr>
        <w:contextualSpacing/>
        <w:rPr>
          <w:rFonts w:cs="Arial"/>
          <w:b/>
          <w:color w:val="0070C0"/>
          <w:sz w:val="24"/>
        </w:rPr>
      </w:pPr>
      <w:r w:rsidRPr="002D27B6">
        <w:rPr>
          <w:rFonts w:cs="Arial"/>
          <w:b/>
          <w:color w:val="0070C0"/>
          <w:sz w:val="24"/>
        </w:rPr>
        <w:t>System Wide – Non CNTW</w:t>
      </w:r>
    </w:p>
    <w:p w14:paraId="678E045C" w14:textId="77777777" w:rsidR="002D27B6" w:rsidRPr="00CE240B" w:rsidRDefault="002D27B6" w:rsidP="00650EED">
      <w:pPr>
        <w:contextualSpacing/>
        <w:rPr>
          <w:rFonts w:cs="Arial"/>
          <w:b/>
          <w:sz w:val="24"/>
        </w:rPr>
      </w:pPr>
    </w:p>
    <w:p w14:paraId="62706AE7" w14:textId="77777777" w:rsidR="001D2E87" w:rsidRPr="00CE240B" w:rsidRDefault="001D2E87" w:rsidP="00650EED">
      <w:pPr>
        <w:contextualSpacing/>
        <w:rPr>
          <w:rFonts w:cs="Arial"/>
          <w:sz w:val="24"/>
        </w:rPr>
      </w:pPr>
      <w:r w:rsidRPr="00CE240B">
        <w:rPr>
          <w:rFonts w:cs="Arial"/>
          <w:sz w:val="24"/>
        </w:rPr>
        <w:t xml:space="preserve">In addition to the bids submitted by CNTW, </w:t>
      </w:r>
      <w:proofErr w:type="gramStart"/>
      <w:r w:rsidRPr="00CE240B">
        <w:rPr>
          <w:rFonts w:cs="Arial"/>
          <w:sz w:val="24"/>
        </w:rPr>
        <w:t>a number of</w:t>
      </w:r>
      <w:proofErr w:type="gramEnd"/>
      <w:r w:rsidRPr="00CE240B">
        <w:rPr>
          <w:rFonts w:cs="Arial"/>
          <w:sz w:val="24"/>
        </w:rPr>
        <w:t xml:space="preserve"> partner organisations have submitted bids and are carrying out works to provide a range of facilities to support patients. These schemes include the provision of crisis cafes, crisis housing, safe spaces, and autism cafes.</w:t>
      </w:r>
    </w:p>
    <w:p w14:paraId="0DC21269" w14:textId="77777777" w:rsidR="001D2E87" w:rsidRPr="00CE240B" w:rsidRDefault="001D2E87" w:rsidP="00650EED">
      <w:pPr>
        <w:contextualSpacing/>
        <w:rPr>
          <w:rFonts w:cs="Arial"/>
          <w:sz w:val="24"/>
        </w:rPr>
      </w:pPr>
      <w:r w:rsidRPr="00CE240B">
        <w:rPr>
          <w:rFonts w:cs="Arial"/>
          <w:sz w:val="24"/>
        </w:rPr>
        <w:t xml:space="preserve">The UEC works will deliver against </w:t>
      </w:r>
      <w:proofErr w:type="gramStart"/>
      <w:r w:rsidRPr="00CE240B">
        <w:rPr>
          <w:rFonts w:cs="Arial"/>
          <w:sz w:val="24"/>
        </w:rPr>
        <w:t>a number of</w:t>
      </w:r>
      <w:proofErr w:type="gramEnd"/>
      <w:r w:rsidRPr="00CE240B">
        <w:rPr>
          <w:rFonts w:cs="Arial"/>
          <w:sz w:val="24"/>
        </w:rPr>
        <w:t xml:space="preserve"> the strategic themes, in particular improvements to the quality and suitability of the estate following refurbishment, and </w:t>
      </w:r>
      <w:r w:rsidRPr="00CE240B">
        <w:rPr>
          <w:rFonts w:cs="Arial"/>
          <w:sz w:val="24"/>
        </w:rPr>
        <w:lastRenderedPageBreak/>
        <w:t xml:space="preserve">in supporting service delivery and delivering value for money by ensuring patients in crisis are seen in the most appropriate setting. </w:t>
      </w:r>
    </w:p>
    <w:p w14:paraId="1DBFCBAD" w14:textId="77777777" w:rsidR="00650EED" w:rsidRDefault="00650EED" w:rsidP="00CE240B">
      <w:pPr>
        <w:ind w:left="720"/>
        <w:contextualSpacing/>
        <w:rPr>
          <w:rFonts w:cs="Arial"/>
          <w:b/>
          <w:sz w:val="24"/>
        </w:rPr>
      </w:pPr>
    </w:p>
    <w:p w14:paraId="0EC6B059" w14:textId="77777777" w:rsidR="002D27B6" w:rsidRDefault="002D27B6" w:rsidP="00CE240B">
      <w:pPr>
        <w:ind w:left="720"/>
        <w:contextualSpacing/>
        <w:rPr>
          <w:rFonts w:cs="Arial"/>
          <w:b/>
          <w:sz w:val="24"/>
        </w:rPr>
      </w:pPr>
    </w:p>
    <w:p w14:paraId="6A26B489" w14:textId="77777777" w:rsidR="002D27B6" w:rsidRDefault="002D27B6" w:rsidP="00CE240B">
      <w:pPr>
        <w:ind w:left="720"/>
        <w:contextualSpacing/>
        <w:rPr>
          <w:rFonts w:cs="Arial"/>
          <w:b/>
          <w:sz w:val="24"/>
        </w:rPr>
      </w:pPr>
    </w:p>
    <w:p w14:paraId="69490E99" w14:textId="7149228F" w:rsidR="001D2E87" w:rsidRDefault="001D2E87" w:rsidP="00650EED">
      <w:pPr>
        <w:contextualSpacing/>
        <w:rPr>
          <w:rFonts w:cs="Arial"/>
          <w:b/>
          <w:color w:val="0070C0"/>
          <w:sz w:val="24"/>
        </w:rPr>
      </w:pPr>
      <w:r w:rsidRPr="002D27B6">
        <w:rPr>
          <w:rFonts w:cs="Arial"/>
          <w:b/>
          <w:color w:val="0070C0"/>
          <w:sz w:val="24"/>
        </w:rPr>
        <w:t>5.2.2</w:t>
      </w:r>
      <w:r w:rsidRPr="002D27B6">
        <w:rPr>
          <w:rFonts w:cs="Arial"/>
          <w:b/>
          <w:color w:val="0070C0"/>
          <w:sz w:val="24"/>
        </w:rPr>
        <w:tab/>
        <w:t>Completion of Other Minor Schemes in 22/23 &amp; 23/24</w:t>
      </w:r>
    </w:p>
    <w:p w14:paraId="2305B6EE" w14:textId="77777777" w:rsidR="002D27B6" w:rsidRPr="002D27B6" w:rsidRDefault="002D27B6" w:rsidP="00650EED">
      <w:pPr>
        <w:contextualSpacing/>
        <w:rPr>
          <w:rFonts w:cs="Arial"/>
          <w:b/>
          <w:color w:val="0070C0"/>
          <w:sz w:val="24"/>
        </w:rPr>
      </w:pPr>
    </w:p>
    <w:p w14:paraId="32C1F639" w14:textId="6EA49B68" w:rsidR="001D2E87" w:rsidRDefault="001D2E87" w:rsidP="00650EED">
      <w:pPr>
        <w:contextualSpacing/>
        <w:rPr>
          <w:rFonts w:cs="Arial"/>
          <w:sz w:val="24"/>
        </w:rPr>
      </w:pPr>
      <w:r w:rsidRPr="00CE240B">
        <w:rPr>
          <w:rFonts w:cs="Arial"/>
          <w:sz w:val="24"/>
        </w:rPr>
        <w:t xml:space="preserve">At the time of writing this strategy </w:t>
      </w:r>
      <w:proofErr w:type="gramStart"/>
      <w:r w:rsidRPr="00CE240B">
        <w:rPr>
          <w:rFonts w:cs="Arial"/>
          <w:sz w:val="24"/>
        </w:rPr>
        <w:t>a number of</w:t>
      </w:r>
      <w:proofErr w:type="gramEnd"/>
      <w:r w:rsidRPr="00CE240B">
        <w:rPr>
          <w:rFonts w:cs="Arial"/>
          <w:sz w:val="24"/>
        </w:rPr>
        <w:t xml:space="preserve"> other smaller schemes are underway in both this and the next financial year, these are identified in the capital program and are shown in </w:t>
      </w:r>
      <w:r w:rsidR="00255B1D">
        <w:rPr>
          <w:rFonts w:cs="Arial"/>
          <w:sz w:val="24"/>
        </w:rPr>
        <w:t>table 21 and 22</w:t>
      </w:r>
      <w:r w:rsidRPr="00CE240B">
        <w:rPr>
          <w:rFonts w:cs="Arial"/>
          <w:sz w:val="24"/>
        </w:rPr>
        <w:t xml:space="preserve"> below. </w:t>
      </w:r>
      <w:r w:rsidR="00255B1D">
        <w:rPr>
          <w:rFonts w:cs="Arial"/>
          <w:sz w:val="24"/>
        </w:rPr>
        <w:t xml:space="preserve"> </w:t>
      </w:r>
      <w:r w:rsidRPr="00CE240B">
        <w:rPr>
          <w:rFonts w:cs="Arial"/>
          <w:sz w:val="24"/>
        </w:rPr>
        <w:t xml:space="preserve">Collectively these schemes will contribute to the five strategic themes. </w:t>
      </w:r>
    </w:p>
    <w:p w14:paraId="1F39AF1A" w14:textId="77777777" w:rsidR="00650EED" w:rsidRPr="00CE240B" w:rsidRDefault="00650EED" w:rsidP="00650EED">
      <w:pPr>
        <w:contextualSpacing/>
        <w:rPr>
          <w:rFonts w:cs="Arial"/>
          <w:sz w:val="24"/>
        </w:rPr>
      </w:pPr>
    </w:p>
    <w:tbl>
      <w:tblPr>
        <w:tblW w:w="0" w:type="auto"/>
        <w:tblInd w:w="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0"/>
        <w:gridCol w:w="1159"/>
        <w:gridCol w:w="1159"/>
      </w:tblGrid>
      <w:tr w:rsidR="001D2E87" w:rsidRPr="00CE240B" w14:paraId="2626FF02" w14:textId="77777777" w:rsidTr="00B919B0">
        <w:trPr>
          <w:trHeight w:val="305"/>
        </w:trPr>
        <w:tc>
          <w:tcPr>
            <w:tcW w:w="5350" w:type="dxa"/>
            <w:vMerge w:val="restart"/>
            <w:shd w:val="clear" w:color="auto" w:fill="D9D9D9" w:themeFill="background1" w:themeFillShade="D9"/>
            <w:vAlign w:val="center"/>
          </w:tcPr>
          <w:p w14:paraId="560FBF19"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Major Schemes</w:t>
            </w:r>
          </w:p>
        </w:tc>
        <w:tc>
          <w:tcPr>
            <w:tcW w:w="1159" w:type="dxa"/>
            <w:shd w:val="clear" w:color="auto" w:fill="D9D9D9" w:themeFill="background1" w:themeFillShade="D9"/>
            <w:vAlign w:val="center"/>
          </w:tcPr>
          <w:p w14:paraId="35230C7B"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22/23</w:t>
            </w:r>
          </w:p>
        </w:tc>
        <w:tc>
          <w:tcPr>
            <w:tcW w:w="1159" w:type="dxa"/>
            <w:shd w:val="clear" w:color="auto" w:fill="D9D9D9" w:themeFill="background1" w:themeFillShade="D9"/>
            <w:vAlign w:val="center"/>
          </w:tcPr>
          <w:p w14:paraId="1CA2A1D4"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23/24</w:t>
            </w:r>
          </w:p>
        </w:tc>
      </w:tr>
      <w:tr w:rsidR="001D2E87" w:rsidRPr="00CE240B" w14:paraId="7B73446D" w14:textId="77777777" w:rsidTr="00B919B0">
        <w:trPr>
          <w:trHeight w:val="305"/>
        </w:trPr>
        <w:tc>
          <w:tcPr>
            <w:tcW w:w="5350" w:type="dxa"/>
            <w:vMerge/>
            <w:shd w:val="clear" w:color="auto" w:fill="D9D9D9" w:themeFill="background1" w:themeFillShade="D9"/>
          </w:tcPr>
          <w:p w14:paraId="4111C405" w14:textId="77777777" w:rsidR="001D2E87" w:rsidRPr="00CE240B" w:rsidRDefault="001D2E87" w:rsidP="00CE240B">
            <w:pPr>
              <w:autoSpaceDE w:val="0"/>
              <w:autoSpaceDN w:val="0"/>
              <w:adjustRightInd w:val="0"/>
              <w:contextualSpacing/>
              <w:rPr>
                <w:rFonts w:cs="Arial"/>
                <w:b/>
                <w:sz w:val="24"/>
              </w:rPr>
            </w:pPr>
          </w:p>
        </w:tc>
        <w:tc>
          <w:tcPr>
            <w:tcW w:w="1159" w:type="dxa"/>
            <w:shd w:val="clear" w:color="auto" w:fill="D9D9D9" w:themeFill="background1" w:themeFillShade="D9"/>
            <w:vAlign w:val="center"/>
          </w:tcPr>
          <w:p w14:paraId="6199DAEA"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£000</w:t>
            </w:r>
          </w:p>
        </w:tc>
        <w:tc>
          <w:tcPr>
            <w:tcW w:w="1159" w:type="dxa"/>
            <w:shd w:val="clear" w:color="auto" w:fill="D9D9D9" w:themeFill="background1" w:themeFillShade="D9"/>
            <w:vAlign w:val="center"/>
          </w:tcPr>
          <w:p w14:paraId="667040CF"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£000</w:t>
            </w:r>
          </w:p>
        </w:tc>
      </w:tr>
      <w:tr w:rsidR="001D2E87" w:rsidRPr="00CE240B" w14:paraId="6AD7E2E1" w14:textId="77777777" w:rsidTr="00B919B0">
        <w:trPr>
          <w:trHeight w:val="290"/>
        </w:trPr>
        <w:tc>
          <w:tcPr>
            <w:tcW w:w="5350" w:type="dxa"/>
            <w:shd w:val="clear" w:color="auto" w:fill="D9D9D9" w:themeFill="background1" w:themeFillShade="D9"/>
          </w:tcPr>
          <w:p w14:paraId="1014F3C6"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CEDAR</w:t>
            </w:r>
          </w:p>
        </w:tc>
        <w:tc>
          <w:tcPr>
            <w:tcW w:w="1159" w:type="dxa"/>
            <w:vAlign w:val="center"/>
          </w:tcPr>
          <w:p w14:paraId="0ED8B53F"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24,868</w:t>
            </w:r>
          </w:p>
        </w:tc>
        <w:tc>
          <w:tcPr>
            <w:tcW w:w="1159" w:type="dxa"/>
            <w:vAlign w:val="center"/>
          </w:tcPr>
          <w:p w14:paraId="2AADDBD9"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3,255</w:t>
            </w:r>
          </w:p>
        </w:tc>
      </w:tr>
      <w:tr w:rsidR="001D2E87" w:rsidRPr="00CE240B" w14:paraId="08D41AA4" w14:textId="77777777" w:rsidTr="00B919B0">
        <w:trPr>
          <w:trHeight w:val="290"/>
        </w:trPr>
        <w:tc>
          <w:tcPr>
            <w:tcW w:w="5350" w:type="dxa"/>
            <w:shd w:val="clear" w:color="auto" w:fill="D9D9D9" w:themeFill="background1" w:themeFillShade="D9"/>
          </w:tcPr>
          <w:p w14:paraId="7727C3C7"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Additional CEDAR Schemes</w:t>
            </w:r>
          </w:p>
        </w:tc>
        <w:tc>
          <w:tcPr>
            <w:tcW w:w="1159" w:type="dxa"/>
            <w:shd w:val="clear" w:color="auto" w:fill="auto"/>
            <w:vAlign w:val="center"/>
          </w:tcPr>
          <w:p w14:paraId="4B8E94D1"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2,260</w:t>
            </w:r>
          </w:p>
        </w:tc>
        <w:tc>
          <w:tcPr>
            <w:tcW w:w="1159" w:type="dxa"/>
            <w:vAlign w:val="center"/>
          </w:tcPr>
          <w:p w14:paraId="37EFE294"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4F7ADE00" w14:textId="77777777" w:rsidTr="00B919B0">
        <w:trPr>
          <w:trHeight w:val="290"/>
        </w:trPr>
        <w:tc>
          <w:tcPr>
            <w:tcW w:w="5350" w:type="dxa"/>
            <w:shd w:val="clear" w:color="auto" w:fill="D9D9D9" w:themeFill="background1" w:themeFillShade="D9"/>
          </w:tcPr>
          <w:p w14:paraId="4C0EB502"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Approved CEDAR Increase</w:t>
            </w:r>
          </w:p>
        </w:tc>
        <w:tc>
          <w:tcPr>
            <w:tcW w:w="1159" w:type="dxa"/>
            <w:shd w:val="clear" w:color="auto" w:fill="auto"/>
            <w:vAlign w:val="center"/>
          </w:tcPr>
          <w:p w14:paraId="6B42E6BD"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2,614</w:t>
            </w:r>
          </w:p>
        </w:tc>
        <w:tc>
          <w:tcPr>
            <w:tcW w:w="1159" w:type="dxa"/>
            <w:vAlign w:val="center"/>
          </w:tcPr>
          <w:p w14:paraId="009AD8C6"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00A8545A" w14:textId="77777777" w:rsidTr="00B919B0">
        <w:trPr>
          <w:trHeight w:val="290"/>
        </w:trPr>
        <w:tc>
          <w:tcPr>
            <w:tcW w:w="5350" w:type="dxa"/>
            <w:shd w:val="clear" w:color="auto" w:fill="D9D9D9" w:themeFill="background1" w:themeFillShade="D9"/>
          </w:tcPr>
          <w:p w14:paraId="37A37713"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Hadrian Unit Carleton Clinic</w:t>
            </w:r>
          </w:p>
        </w:tc>
        <w:tc>
          <w:tcPr>
            <w:tcW w:w="1159" w:type="dxa"/>
            <w:vAlign w:val="center"/>
          </w:tcPr>
          <w:p w14:paraId="151BE760"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3,609</w:t>
            </w:r>
          </w:p>
        </w:tc>
        <w:tc>
          <w:tcPr>
            <w:tcW w:w="1159" w:type="dxa"/>
            <w:vAlign w:val="center"/>
          </w:tcPr>
          <w:p w14:paraId="6A880EB0"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7C419EE2" w14:textId="77777777" w:rsidTr="00B919B0">
        <w:trPr>
          <w:trHeight w:val="290"/>
        </w:trPr>
        <w:tc>
          <w:tcPr>
            <w:tcW w:w="5350" w:type="dxa"/>
            <w:shd w:val="clear" w:color="auto" w:fill="D9D9D9" w:themeFill="background1" w:themeFillShade="D9"/>
          </w:tcPr>
          <w:p w14:paraId="54B8AF13"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Monkwearmouth / Boldon Lane Clinic</w:t>
            </w:r>
          </w:p>
        </w:tc>
        <w:tc>
          <w:tcPr>
            <w:tcW w:w="1159" w:type="dxa"/>
            <w:vAlign w:val="center"/>
          </w:tcPr>
          <w:p w14:paraId="4C215673"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800</w:t>
            </w:r>
          </w:p>
        </w:tc>
        <w:tc>
          <w:tcPr>
            <w:tcW w:w="1159" w:type="dxa"/>
            <w:vAlign w:val="center"/>
          </w:tcPr>
          <w:p w14:paraId="35FE6A52"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2,200</w:t>
            </w:r>
          </w:p>
        </w:tc>
      </w:tr>
      <w:tr w:rsidR="001D2E87" w:rsidRPr="00CE240B" w14:paraId="43A776CD" w14:textId="77777777" w:rsidTr="00B919B0">
        <w:trPr>
          <w:trHeight w:val="290"/>
        </w:trPr>
        <w:tc>
          <w:tcPr>
            <w:tcW w:w="5350" w:type="dxa"/>
            <w:shd w:val="clear" w:color="auto" w:fill="D9D9D9" w:themeFill="background1" w:themeFillShade="D9"/>
          </w:tcPr>
          <w:p w14:paraId="7C792ECC"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Ferndene - Phase 3</w:t>
            </w:r>
          </w:p>
        </w:tc>
        <w:tc>
          <w:tcPr>
            <w:tcW w:w="1159" w:type="dxa"/>
            <w:vAlign w:val="center"/>
          </w:tcPr>
          <w:p w14:paraId="50053B20"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1,000</w:t>
            </w:r>
          </w:p>
        </w:tc>
        <w:tc>
          <w:tcPr>
            <w:tcW w:w="1159" w:type="dxa"/>
            <w:vAlign w:val="center"/>
          </w:tcPr>
          <w:p w14:paraId="73BA0D91"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3,300</w:t>
            </w:r>
          </w:p>
        </w:tc>
      </w:tr>
      <w:tr w:rsidR="001D2E87" w:rsidRPr="00CE240B" w14:paraId="4962E02F" w14:textId="77777777" w:rsidTr="00B919B0">
        <w:trPr>
          <w:trHeight w:val="290"/>
        </w:trPr>
        <w:tc>
          <w:tcPr>
            <w:tcW w:w="5350" w:type="dxa"/>
            <w:vAlign w:val="center"/>
          </w:tcPr>
          <w:p w14:paraId="0A856B85" w14:textId="77777777" w:rsidR="001D2E87" w:rsidRPr="00CE240B" w:rsidRDefault="001D2E87" w:rsidP="00CE240B">
            <w:pPr>
              <w:autoSpaceDE w:val="0"/>
              <w:autoSpaceDN w:val="0"/>
              <w:adjustRightInd w:val="0"/>
              <w:contextualSpacing/>
              <w:jc w:val="right"/>
              <w:rPr>
                <w:rFonts w:cs="Arial"/>
                <w:b/>
                <w:sz w:val="24"/>
              </w:rPr>
            </w:pPr>
            <w:r w:rsidRPr="00CE240B">
              <w:rPr>
                <w:rFonts w:cs="Arial"/>
                <w:b/>
                <w:sz w:val="24"/>
              </w:rPr>
              <w:t>Total</w:t>
            </w:r>
          </w:p>
        </w:tc>
        <w:tc>
          <w:tcPr>
            <w:tcW w:w="1159" w:type="dxa"/>
            <w:vAlign w:val="center"/>
          </w:tcPr>
          <w:p w14:paraId="3B7A8703"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£35,151</w:t>
            </w:r>
          </w:p>
        </w:tc>
        <w:tc>
          <w:tcPr>
            <w:tcW w:w="1159" w:type="dxa"/>
            <w:vAlign w:val="center"/>
          </w:tcPr>
          <w:p w14:paraId="669A52AF"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£8755</w:t>
            </w:r>
          </w:p>
        </w:tc>
      </w:tr>
    </w:tbl>
    <w:p w14:paraId="713F5864" w14:textId="10639283" w:rsidR="001D2E87" w:rsidRPr="00CE240B" w:rsidRDefault="001D2E87" w:rsidP="00CE240B">
      <w:pPr>
        <w:contextualSpacing/>
        <w:jc w:val="center"/>
        <w:rPr>
          <w:rFonts w:eastAsia="Arial" w:cs="Arial"/>
          <w:sz w:val="24"/>
        </w:rPr>
      </w:pPr>
      <w:r>
        <w:t xml:space="preserve">Table </w:t>
      </w:r>
      <w:r w:rsidR="00255B1D">
        <w:t>2</w:t>
      </w:r>
      <w:r>
        <w:t>1</w:t>
      </w:r>
    </w:p>
    <w:p w14:paraId="262EF50F" w14:textId="77777777" w:rsidR="001D2E87" w:rsidRPr="00CE240B" w:rsidRDefault="001D2E87" w:rsidP="00CE240B">
      <w:pPr>
        <w:contextualSpacing/>
        <w:rPr>
          <w:rFonts w:eastAsia="Arial" w:cs="Arial"/>
          <w:sz w:val="24"/>
        </w:rPr>
      </w:pPr>
    </w:p>
    <w:p w14:paraId="18A598A2" w14:textId="77777777" w:rsidR="001D2E87" w:rsidRPr="00CE240B" w:rsidRDefault="001D2E87" w:rsidP="00CE240B">
      <w:pPr>
        <w:contextualSpacing/>
        <w:rPr>
          <w:rFonts w:eastAsia="Arial" w:cs="Arial"/>
          <w:sz w:val="24"/>
        </w:rPr>
      </w:pPr>
    </w:p>
    <w:tbl>
      <w:tblPr>
        <w:tblW w:w="0" w:type="auto"/>
        <w:tblInd w:w="667" w:type="dxa"/>
        <w:tblLayout w:type="fixed"/>
        <w:tblLook w:val="0000" w:firstRow="0" w:lastRow="0" w:firstColumn="0" w:lastColumn="0" w:noHBand="0" w:noVBand="0"/>
      </w:tblPr>
      <w:tblGrid>
        <w:gridCol w:w="5350"/>
        <w:gridCol w:w="1159"/>
        <w:gridCol w:w="1159"/>
      </w:tblGrid>
      <w:tr w:rsidR="001D2E87" w:rsidRPr="00CE240B" w14:paraId="6CB5D0E6" w14:textId="77777777" w:rsidTr="00B919B0">
        <w:trPr>
          <w:trHeight w:val="305"/>
        </w:trPr>
        <w:tc>
          <w:tcPr>
            <w:tcW w:w="5350" w:type="dxa"/>
            <w:vMerge w:val="restart"/>
            <w:tcBorders>
              <w:top w:val="single" w:sz="6" w:space="0" w:color="auto"/>
              <w:left w:val="single" w:sz="6" w:space="0" w:color="auto"/>
              <w:right w:val="nil"/>
            </w:tcBorders>
            <w:shd w:val="clear" w:color="auto" w:fill="D9D9D9" w:themeFill="background1" w:themeFillShade="D9"/>
            <w:vAlign w:val="center"/>
          </w:tcPr>
          <w:p w14:paraId="23DD479C"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Other Developments</w:t>
            </w:r>
          </w:p>
        </w:tc>
        <w:tc>
          <w:tcPr>
            <w:tcW w:w="1159" w:type="dxa"/>
            <w:tcBorders>
              <w:top w:val="single" w:sz="6" w:space="0" w:color="auto"/>
              <w:left w:val="single" w:sz="6" w:space="0" w:color="auto"/>
              <w:bottom w:val="nil"/>
              <w:right w:val="nil"/>
            </w:tcBorders>
            <w:shd w:val="clear" w:color="auto" w:fill="D9D9D9" w:themeFill="background1" w:themeFillShade="D9"/>
            <w:vAlign w:val="center"/>
          </w:tcPr>
          <w:p w14:paraId="7B10ED75"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22/23</w:t>
            </w:r>
          </w:p>
        </w:tc>
        <w:tc>
          <w:tcPr>
            <w:tcW w:w="1159" w:type="dxa"/>
            <w:tcBorders>
              <w:top w:val="single" w:sz="6" w:space="0" w:color="auto"/>
              <w:left w:val="nil"/>
              <w:bottom w:val="nil"/>
              <w:right w:val="nil"/>
            </w:tcBorders>
            <w:shd w:val="clear" w:color="auto" w:fill="D9D9D9" w:themeFill="background1" w:themeFillShade="D9"/>
            <w:vAlign w:val="center"/>
          </w:tcPr>
          <w:p w14:paraId="53728DC6"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23/24</w:t>
            </w:r>
          </w:p>
        </w:tc>
      </w:tr>
      <w:tr w:rsidR="001D2E87" w:rsidRPr="00CE240B" w14:paraId="77A1E7D3" w14:textId="77777777" w:rsidTr="00B919B0">
        <w:trPr>
          <w:trHeight w:val="305"/>
        </w:trPr>
        <w:tc>
          <w:tcPr>
            <w:tcW w:w="5350" w:type="dxa"/>
            <w:vMerge/>
            <w:tcBorders>
              <w:left w:val="single" w:sz="6" w:space="0" w:color="auto"/>
              <w:bottom w:val="nil"/>
              <w:right w:val="nil"/>
            </w:tcBorders>
            <w:shd w:val="clear" w:color="auto" w:fill="D9D9D9" w:themeFill="background1" w:themeFillShade="D9"/>
          </w:tcPr>
          <w:p w14:paraId="161BFDF2" w14:textId="77777777" w:rsidR="001D2E87" w:rsidRPr="00CE240B" w:rsidRDefault="001D2E87" w:rsidP="00CE240B">
            <w:pPr>
              <w:autoSpaceDE w:val="0"/>
              <w:autoSpaceDN w:val="0"/>
              <w:adjustRightInd w:val="0"/>
              <w:contextualSpacing/>
              <w:rPr>
                <w:rFonts w:cs="Arial"/>
                <w:b/>
                <w:sz w:val="24"/>
              </w:rPr>
            </w:pPr>
          </w:p>
        </w:tc>
        <w:tc>
          <w:tcPr>
            <w:tcW w:w="1159" w:type="dxa"/>
            <w:tcBorders>
              <w:top w:val="single" w:sz="6" w:space="0" w:color="auto"/>
              <w:left w:val="single" w:sz="6" w:space="0" w:color="auto"/>
              <w:bottom w:val="nil"/>
              <w:right w:val="nil"/>
            </w:tcBorders>
            <w:shd w:val="clear" w:color="auto" w:fill="D9D9D9" w:themeFill="background1" w:themeFillShade="D9"/>
            <w:vAlign w:val="center"/>
          </w:tcPr>
          <w:p w14:paraId="4AE9E017"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£000</w:t>
            </w:r>
          </w:p>
        </w:tc>
        <w:tc>
          <w:tcPr>
            <w:tcW w:w="1159" w:type="dxa"/>
            <w:tcBorders>
              <w:top w:val="single" w:sz="6" w:space="0" w:color="auto"/>
              <w:left w:val="nil"/>
              <w:bottom w:val="nil"/>
              <w:right w:val="nil"/>
            </w:tcBorders>
            <w:shd w:val="clear" w:color="auto" w:fill="D9D9D9" w:themeFill="background1" w:themeFillShade="D9"/>
            <w:vAlign w:val="center"/>
          </w:tcPr>
          <w:p w14:paraId="0946AE85"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£000</w:t>
            </w:r>
          </w:p>
        </w:tc>
      </w:tr>
      <w:tr w:rsidR="001D2E87" w:rsidRPr="00CE240B" w14:paraId="5A9C3164"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19477CBF"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Eating Disorders Service, Newcastle</w:t>
            </w:r>
          </w:p>
        </w:tc>
        <w:tc>
          <w:tcPr>
            <w:tcW w:w="1159" w:type="dxa"/>
            <w:tcBorders>
              <w:top w:val="nil"/>
              <w:left w:val="single" w:sz="6" w:space="0" w:color="auto"/>
              <w:bottom w:val="nil"/>
              <w:right w:val="nil"/>
            </w:tcBorders>
            <w:vAlign w:val="center"/>
          </w:tcPr>
          <w:p w14:paraId="66895EDC" w14:textId="77777777" w:rsidR="001D2E87" w:rsidRPr="00CE240B" w:rsidRDefault="001D2E87" w:rsidP="00CE240B">
            <w:pPr>
              <w:autoSpaceDE w:val="0"/>
              <w:autoSpaceDN w:val="0"/>
              <w:adjustRightInd w:val="0"/>
              <w:contextualSpacing/>
              <w:jc w:val="center"/>
              <w:rPr>
                <w:rFonts w:cs="Arial"/>
                <w:sz w:val="24"/>
              </w:rPr>
            </w:pPr>
          </w:p>
        </w:tc>
        <w:tc>
          <w:tcPr>
            <w:tcW w:w="1159" w:type="dxa"/>
            <w:tcBorders>
              <w:top w:val="nil"/>
              <w:left w:val="nil"/>
              <w:bottom w:val="nil"/>
              <w:right w:val="nil"/>
            </w:tcBorders>
            <w:vAlign w:val="center"/>
          </w:tcPr>
          <w:p w14:paraId="3F0915F5"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250</w:t>
            </w:r>
          </w:p>
        </w:tc>
      </w:tr>
      <w:tr w:rsidR="001D2E87" w:rsidRPr="00CE240B" w14:paraId="3121DBD4"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351FBDEB"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Park Lane, Cumbria - Phase 2</w:t>
            </w:r>
          </w:p>
        </w:tc>
        <w:tc>
          <w:tcPr>
            <w:tcW w:w="1159" w:type="dxa"/>
            <w:tcBorders>
              <w:top w:val="nil"/>
              <w:left w:val="single" w:sz="6" w:space="0" w:color="auto"/>
              <w:bottom w:val="nil"/>
              <w:right w:val="nil"/>
            </w:tcBorders>
            <w:vAlign w:val="center"/>
          </w:tcPr>
          <w:p w14:paraId="1DC5AC20"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210</w:t>
            </w:r>
          </w:p>
        </w:tc>
        <w:tc>
          <w:tcPr>
            <w:tcW w:w="1159" w:type="dxa"/>
            <w:tcBorders>
              <w:top w:val="nil"/>
              <w:left w:val="nil"/>
              <w:bottom w:val="nil"/>
              <w:right w:val="nil"/>
            </w:tcBorders>
            <w:vAlign w:val="center"/>
          </w:tcPr>
          <w:p w14:paraId="4369139A"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1E41DA5B"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7AFB2888"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Tweed Courtyards</w:t>
            </w:r>
          </w:p>
        </w:tc>
        <w:tc>
          <w:tcPr>
            <w:tcW w:w="1159" w:type="dxa"/>
            <w:tcBorders>
              <w:top w:val="nil"/>
              <w:left w:val="single" w:sz="6" w:space="0" w:color="auto"/>
              <w:bottom w:val="nil"/>
              <w:right w:val="nil"/>
            </w:tcBorders>
            <w:vAlign w:val="center"/>
          </w:tcPr>
          <w:p w14:paraId="104EE56A" w14:textId="77777777" w:rsidR="001D2E87" w:rsidRPr="00CE240B" w:rsidRDefault="001D2E87" w:rsidP="00CE240B">
            <w:pPr>
              <w:autoSpaceDE w:val="0"/>
              <w:autoSpaceDN w:val="0"/>
              <w:adjustRightInd w:val="0"/>
              <w:contextualSpacing/>
              <w:jc w:val="center"/>
              <w:rPr>
                <w:rFonts w:cs="Arial"/>
                <w:sz w:val="24"/>
              </w:rPr>
            </w:pPr>
          </w:p>
        </w:tc>
        <w:tc>
          <w:tcPr>
            <w:tcW w:w="1159" w:type="dxa"/>
            <w:tcBorders>
              <w:top w:val="nil"/>
              <w:left w:val="nil"/>
              <w:bottom w:val="nil"/>
              <w:right w:val="nil"/>
            </w:tcBorders>
            <w:vAlign w:val="center"/>
          </w:tcPr>
          <w:p w14:paraId="3DC3DEA9"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222</w:t>
            </w:r>
          </w:p>
        </w:tc>
      </w:tr>
      <w:tr w:rsidR="001D2E87" w:rsidRPr="00CE240B" w14:paraId="6B3ED2BC"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5F628A2E"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Metal Detectors</w:t>
            </w:r>
          </w:p>
        </w:tc>
        <w:tc>
          <w:tcPr>
            <w:tcW w:w="1159" w:type="dxa"/>
            <w:tcBorders>
              <w:top w:val="nil"/>
              <w:left w:val="single" w:sz="6" w:space="0" w:color="auto"/>
              <w:bottom w:val="nil"/>
              <w:right w:val="nil"/>
            </w:tcBorders>
            <w:vAlign w:val="center"/>
          </w:tcPr>
          <w:p w14:paraId="625BFE98"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w:t>
            </w:r>
          </w:p>
        </w:tc>
        <w:tc>
          <w:tcPr>
            <w:tcW w:w="1159" w:type="dxa"/>
            <w:tcBorders>
              <w:top w:val="nil"/>
              <w:left w:val="nil"/>
              <w:bottom w:val="nil"/>
              <w:right w:val="nil"/>
            </w:tcBorders>
            <w:vAlign w:val="center"/>
          </w:tcPr>
          <w:p w14:paraId="7E42FF08"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32DF8E40"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642767D0"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Oxehealth Implementation</w:t>
            </w:r>
          </w:p>
        </w:tc>
        <w:tc>
          <w:tcPr>
            <w:tcW w:w="1159" w:type="dxa"/>
            <w:tcBorders>
              <w:top w:val="nil"/>
              <w:left w:val="single" w:sz="6" w:space="0" w:color="auto"/>
              <w:bottom w:val="nil"/>
              <w:right w:val="nil"/>
            </w:tcBorders>
            <w:vAlign w:val="center"/>
          </w:tcPr>
          <w:p w14:paraId="56C67798"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259</w:t>
            </w:r>
          </w:p>
        </w:tc>
        <w:tc>
          <w:tcPr>
            <w:tcW w:w="1159" w:type="dxa"/>
            <w:tcBorders>
              <w:top w:val="nil"/>
              <w:left w:val="nil"/>
              <w:bottom w:val="nil"/>
              <w:right w:val="nil"/>
            </w:tcBorders>
            <w:vAlign w:val="center"/>
          </w:tcPr>
          <w:p w14:paraId="16E6E4AD"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541</w:t>
            </w:r>
          </w:p>
        </w:tc>
      </w:tr>
      <w:tr w:rsidR="001D2E87" w:rsidRPr="00CE240B" w14:paraId="01D2C123"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4560F914"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En-suite doors Implementation</w:t>
            </w:r>
          </w:p>
        </w:tc>
        <w:tc>
          <w:tcPr>
            <w:tcW w:w="1159" w:type="dxa"/>
            <w:tcBorders>
              <w:top w:val="nil"/>
              <w:left w:val="single" w:sz="6" w:space="0" w:color="auto"/>
              <w:bottom w:val="nil"/>
              <w:right w:val="nil"/>
            </w:tcBorders>
            <w:vAlign w:val="center"/>
          </w:tcPr>
          <w:p w14:paraId="34404736"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w:t>
            </w:r>
          </w:p>
        </w:tc>
        <w:tc>
          <w:tcPr>
            <w:tcW w:w="1159" w:type="dxa"/>
            <w:tcBorders>
              <w:top w:val="nil"/>
              <w:left w:val="nil"/>
              <w:bottom w:val="nil"/>
              <w:right w:val="nil"/>
            </w:tcBorders>
            <w:vAlign w:val="center"/>
          </w:tcPr>
          <w:p w14:paraId="20F8BF61"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w:t>
            </w:r>
          </w:p>
        </w:tc>
      </w:tr>
      <w:tr w:rsidR="001D2E87" w:rsidRPr="00CE240B" w14:paraId="6594A6FE"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0D48077A"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 xml:space="preserve">Yewdale Improvements &amp; Roof Repairs </w:t>
            </w:r>
          </w:p>
        </w:tc>
        <w:tc>
          <w:tcPr>
            <w:tcW w:w="1159" w:type="dxa"/>
            <w:tcBorders>
              <w:top w:val="nil"/>
              <w:left w:val="single" w:sz="6" w:space="0" w:color="auto"/>
              <w:bottom w:val="nil"/>
              <w:right w:val="nil"/>
            </w:tcBorders>
            <w:vAlign w:val="center"/>
          </w:tcPr>
          <w:p w14:paraId="1F5389CC"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197</w:t>
            </w:r>
          </w:p>
        </w:tc>
        <w:tc>
          <w:tcPr>
            <w:tcW w:w="1159" w:type="dxa"/>
            <w:tcBorders>
              <w:top w:val="nil"/>
              <w:left w:val="nil"/>
              <w:bottom w:val="nil"/>
              <w:right w:val="nil"/>
            </w:tcBorders>
            <w:vAlign w:val="center"/>
          </w:tcPr>
          <w:p w14:paraId="62DA239A"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37CAAF48"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12D750EB"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Newton Enhanced Care Area</w:t>
            </w:r>
          </w:p>
        </w:tc>
        <w:tc>
          <w:tcPr>
            <w:tcW w:w="1159" w:type="dxa"/>
            <w:tcBorders>
              <w:top w:val="nil"/>
              <w:left w:val="single" w:sz="6" w:space="0" w:color="auto"/>
              <w:bottom w:val="nil"/>
              <w:right w:val="nil"/>
            </w:tcBorders>
            <w:vAlign w:val="center"/>
          </w:tcPr>
          <w:p w14:paraId="6947F766"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8</w:t>
            </w:r>
          </w:p>
        </w:tc>
        <w:tc>
          <w:tcPr>
            <w:tcW w:w="1159" w:type="dxa"/>
            <w:tcBorders>
              <w:top w:val="nil"/>
              <w:left w:val="nil"/>
              <w:bottom w:val="nil"/>
              <w:right w:val="nil"/>
            </w:tcBorders>
            <w:vAlign w:val="center"/>
          </w:tcPr>
          <w:p w14:paraId="08EAEE75"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10B03048"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75B34082"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Blue Bell Court Ph2, SGP</w:t>
            </w:r>
          </w:p>
        </w:tc>
        <w:tc>
          <w:tcPr>
            <w:tcW w:w="1159" w:type="dxa"/>
            <w:tcBorders>
              <w:top w:val="nil"/>
              <w:left w:val="single" w:sz="6" w:space="0" w:color="auto"/>
              <w:bottom w:val="nil"/>
              <w:right w:val="nil"/>
            </w:tcBorders>
            <w:vAlign w:val="center"/>
          </w:tcPr>
          <w:p w14:paraId="78BEB5E2"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24</w:t>
            </w:r>
          </w:p>
        </w:tc>
        <w:tc>
          <w:tcPr>
            <w:tcW w:w="1159" w:type="dxa"/>
            <w:tcBorders>
              <w:top w:val="nil"/>
              <w:left w:val="nil"/>
              <w:bottom w:val="nil"/>
              <w:right w:val="nil"/>
            </w:tcBorders>
            <w:vAlign w:val="center"/>
          </w:tcPr>
          <w:p w14:paraId="47548647"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31EA44FC"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5238EF81"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Blue Bell Court/Kinnersley, SGP CCTV</w:t>
            </w:r>
          </w:p>
        </w:tc>
        <w:tc>
          <w:tcPr>
            <w:tcW w:w="1159" w:type="dxa"/>
            <w:tcBorders>
              <w:top w:val="nil"/>
              <w:left w:val="single" w:sz="6" w:space="0" w:color="auto"/>
              <w:bottom w:val="nil"/>
              <w:right w:val="nil"/>
            </w:tcBorders>
            <w:vAlign w:val="center"/>
          </w:tcPr>
          <w:p w14:paraId="6D490E4A"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6</w:t>
            </w:r>
          </w:p>
        </w:tc>
        <w:tc>
          <w:tcPr>
            <w:tcW w:w="1159" w:type="dxa"/>
            <w:tcBorders>
              <w:top w:val="nil"/>
              <w:left w:val="nil"/>
              <w:bottom w:val="nil"/>
              <w:right w:val="nil"/>
            </w:tcBorders>
            <w:vAlign w:val="center"/>
          </w:tcPr>
          <w:p w14:paraId="26B61256"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4EBA3B83"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036545ED"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Elm House – Staff Room</w:t>
            </w:r>
          </w:p>
        </w:tc>
        <w:tc>
          <w:tcPr>
            <w:tcW w:w="1159" w:type="dxa"/>
            <w:tcBorders>
              <w:top w:val="nil"/>
              <w:left w:val="single" w:sz="6" w:space="0" w:color="auto"/>
              <w:bottom w:val="nil"/>
              <w:right w:val="nil"/>
            </w:tcBorders>
            <w:vAlign w:val="center"/>
          </w:tcPr>
          <w:p w14:paraId="5F38486C"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4</w:t>
            </w:r>
          </w:p>
        </w:tc>
        <w:tc>
          <w:tcPr>
            <w:tcW w:w="1159" w:type="dxa"/>
            <w:tcBorders>
              <w:top w:val="nil"/>
              <w:left w:val="nil"/>
              <w:bottom w:val="nil"/>
              <w:right w:val="nil"/>
            </w:tcBorders>
            <w:vAlign w:val="center"/>
          </w:tcPr>
          <w:p w14:paraId="0D3F4156"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157F0E4C"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5989DE11"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SGP – Anti-Barricade Doors</w:t>
            </w:r>
          </w:p>
        </w:tc>
        <w:tc>
          <w:tcPr>
            <w:tcW w:w="1159" w:type="dxa"/>
            <w:tcBorders>
              <w:top w:val="nil"/>
              <w:left w:val="single" w:sz="6" w:space="0" w:color="auto"/>
              <w:bottom w:val="nil"/>
              <w:right w:val="nil"/>
            </w:tcBorders>
            <w:vAlign w:val="center"/>
          </w:tcPr>
          <w:p w14:paraId="191904F9"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9</w:t>
            </w:r>
          </w:p>
        </w:tc>
        <w:tc>
          <w:tcPr>
            <w:tcW w:w="1159" w:type="dxa"/>
            <w:tcBorders>
              <w:top w:val="nil"/>
              <w:left w:val="nil"/>
              <w:bottom w:val="nil"/>
              <w:right w:val="nil"/>
            </w:tcBorders>
            <w:vAlign w:val="center"/>
          </w:tcPr>
          <w:p w14:paraId="6FE09347"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38CA3652"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465424B1"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Woodhorn, SGP – Low Stimulus Soft Room</w:t>
            </w:r>
          </w:p>
        </w:tc>
        <w:tc>
          <w:tcPr>
            <w:tcW w:w="1159" w:type="dxa"/>
            <w:tcBorders>
              <w:top w:val="nil"/>
              <w:left w:val="single" w:sz="6" w:space="0" w:color="auto"/>
              <w:bottom w:val="nil"/>
              <w:right w:val="nil"/>
            </w:tcBorders>
            <w:vAlign w:val="center"/>
          </w:tcPr>
          <w:p w14:paraId="25108527"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w:t>
            </w:r>
          </w:p>
        </w:tc>
        <w:tc>
          <w:tcPr>
            <w:tcW w:w="1159" w:type="dxa"/>
            <w:tcBorders>
              <w:top w:val="nil"/>
              <w:left w:val="nil"/>
              <w:bottom w:val="nil"/>
              <w:right w:val="nil"/>
            </w:tcBorders>
            <w:vAlign w:val="center"/>
          </w:tcPr>
          <w:p w14:paraId="05D0DD66"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52E602D2"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4092BE55"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SNH - Absence line moves</w:t>
            </w:r>
          </w:p>
        </w:tc>
        <w:tc>
          <w:tcPr>
            <w:tcW w:w="1159" w:type="dxa"/>
            <w:tcBorders>
              <w:top w:val="nil"/>
              <w:left w:val="single" w:sz="6" w:space="0" w:color="auto"/>
              <w:bottom w:val="nil"/>
              <w:right w:val="nil"/>
            </w:tcBorders>
            <w:vAlign w:val="center"/>
          </w:tcPr>
          <w:p w14:paraId="589C94D9"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80</w:t>
            </w:r>
          </w:p>
        </w:tc>
        <w:tc>
          <w:tcPr>
            <w:tcW w:w="1159" w:type="dxa"/>
            <w:tcBorders>
              <w:top w:val="nil"/>
              <w:left w:val="nil"/>
              <w:bottom w:val="nil"/>
              <w:right w:val="nil"/>
            </w:tcBorders>
            <w:vAlign w:val="center"/>
          </w:tcPr>
          <w:p w14:paraId="0A073E19"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22890613"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5D0725E7"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Hopewood Pipe Replacement</w:t>
            </w:r>
          </w:p>
        </w:tc>
        <w:tc>
          <w:tcPr>
            <w:tcW w:w="1159" w:type="dxa"/>
            <w:tcBorders>
              <w:top w:val="nil"/>
              <w:left w:val="single" w:sz="6" w:space="0" w:color="auto"/>
              <w:bottom w:val="nil"/>
              <w:right w:val="nil"/>
            </w:tcBorders>
            <w:vAlign w:val="center"/>
          </w:tcPr>
          <w:p w14:paraId="7645F32B"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150</w:t>
            </w:r>
          </w:p>
        </w:tc>
        <w:tc>
          <w:tcPr>
            <w:tcW w:w="1159" w:type="dxa"/>
            <w:tcBorders>
              <w:top w:val="nil"/>
              <w:left w:val="nil"/>
              <w:bottom w:val="nil"/>
              <w:right w:val="nil"/>
            </w:tcBorders>
            <w:vAlign w:val="center"/>
          </w:tcPr>
          <w:p w14:paraId="748EBA2B"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68BFE03B"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7DBAC384"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Storage/Food bank</w:t>
            </w:r>
          </w:p>
        </w:tc>
        <w:tc>
          <w:tcPr>
            <w:tcW w:w="1159" w:type="dxa"/>
            <w:tcBorders>
              <w:top w:val="nil"/>
              <w:left w:val="single" w:sz="6" w:space="0" w:color="auto"/>
              <w:bottom w:val="nil"/>
              <w:right w:val="nil"/>
            </w:tcBorders>
            <w:vAlign w:val="center"/>
          </w:tcPr>
          <w:p w14:paraId="00EB9D23"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150</w:t>
            </w:r>
          </w:p>
        </w:tc>
        <w:tc>
          <w:tcPr>
            <w:tcW w:w="1159" w:type="dxa"/>
            <w:tcBorders>
              <w:top w:val="nil"/>
              <w:left w:val="nil"/>
              <w:bottom w:val="nil"/>
              <w:right w:val="nil"/>
            </w:tcBorders>
            <w:vAlign w:val="center"/>
          </w:tcPr>
          <w:p w14:paraId="69F7F6B1" w14:textId="77777777" w:rsidR="001D2E87" w:rsidRPr="00CE240B" w:rsidRDefault="001D2E87" w:rsidP="00CE240B">
            <w:pPr>
              <w:autoSpaceDE w:val="0"/>
              <w:autoSpaceDN w:val="0"/>
              <w:adjustRightInd w:val="0"/>
              <w:contextualSpacing/>
              <w:jc w:val="center"/>
              <w:rPr>
                <w:rFonts w:cs="Arial"/>
                <w:sz w:val="24"/>
              </w:rPr>
            </w:pPr>
          </w:p>
        </w:tc>
      </w:tr>
      <w:tr w:rsidR="001D2E87" w:rsidRPr="00CE240B" w14:paraId="4159BE01" w14:textId="77777777" w:rsidTr="002537E4">
        <w:trPr>
          <w:trHeight w:val="290"/>
        </w:trPr>
        <w:tc>
          <w:tcPr>
            <w:tcW w:w="5350" w:type="dxa"/>
            <w:tcBorders>
              <w:top w:val="nil"/>
              <w:left w:val="single" w:sz="6" w:space="0" w:color="auto"/>
              <w:bottom w:val="nil"/>
              <w:right w:val="nil"/>
            </w:tcBorders>
            <w:shd w:val="clear" w:color="auto" w:fill="D9D9D9" w:themeFill="background1" w:themeFillShade="D9"/>
          </w:tcPr>
          <w:p w14:paraId="240A2D5F" w14:textId="77777777" w:rsidR="001D2E87" w:rsidRPr="00CE240B" w:rsidRDefault="001D2E87" w:rsidP="00CE240B">
            <w:pPr>
              <w:autoSpaceDE w:val="0"/>
              <w:autoSpaceDN w:val="0"/>
              <w:adjustRightInd w:val="0"/>
              <w:contextualSpacing/>
              <w:rPr>
                <w:rFonts w:cs="Arial"/>
                <w:b/>
                <w:sz w:val="24"/>
              </w:rPr>
            </w:pPr>
            <w:r w:rsidRPr="00CE240B">
              <w:rPr>
                <w:rFonts w:cs="Arial"/>
                <w:b/>
                <w:sz w:val="24"/>
              </w:rPr>
              <w:t>Nurse Call</w:t>
            </w:r>
          </w:p>
        </w:tc>
        <w:tc>
          <w:tcPr>
            <w:tcW w:w="1159" w:type="dxa"/>
            <w:tcBorders>
              <w:top w:val="nil"/>
              <w:left w:val="single" w:sz="6" w:space="0" w:color="auto"/>
              <w:bottom w:val="nil"/>
              <w:right w:val="nil"/>
            </w:tcBorders>
            <w:vAlign w:val="center"/>
          </w:tcPr>
          <w:p w14:paraId="357B6B9B"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w:t>
            </w:r>
          </w:p>
        </w:tc>
        <w:tc>
          <w:tcPr>
            <w:tcW w:w="1159" w:type="dxa"/>
            <w:tcBorders>
              <w:top w:val="nil"/>
              <w:left w:val="nil"/>
              <w:bottom w:val="nil"/>
              <w:right w:val="nil"/>
            </w:tcBorders>
            <w:vAlign w:val="center"/>
          </w:tcPr>
          <w:p w14:paraId="5ADBE7D5" w14:textId="77777777" w:rsidR="001D2E87" w:rsidRPr="00CE240B" w:rsidRDefault="001D2E87" w:rsidP="00CE240B">
            <w:pPr>
              <w:autoSpaceDE w:val="0"/>
              <w:autoSpaceDN w:val="0"/>
              <w:adjustRightInd w:val="0"/>
              <w:contextualSpacing/>
              <w:jc w:val="center"/>
              <w:rPr>
                <w:rFonts w:cs="Arial"/>
                <w:sz w:val="24"/>
              </w:rPr>
            </w:pPr>
            <w:r w:rsidRPr="00CE240B">
              <w:rPr>
                <w:rFonts w:cs="Arial"/>
                <w:sz w:val="24"/>
              </w:rPr>
              <w:t>100</w:t>
            </w:r>
          </w:p>
        </w:tc>
      </w:tr>
      <w:tr w:rsidR="001D2E87" w:rsidRPr="00CE240B" w14:paraId="370E8050" w14:textId="77777777" w:rsidTr="00D76C1F">
        <w:trPr>
          <w:trHeight w:val="290"/>
        </w:trPr>
        <w:tc>
          <w:tcPr>
            <w:tcW w:w="5350" w:type="dxa"/>
            <w:tcBorders>
              <w:top w:val="nil"/>
              <w:left w:val="single" w:sz="6" w:space="0" w:color="auto"/>
              <w:bottom w:val="single" w:sz="6" w:space="0" w:color="auto"/>
              <w:right w:val="nil"/>
            </w:tcBorders>
            <w:vAlign w:val="center"/>
          </w:tcPr>
          <w:p w14:paraId="2ADB0E39" w14:textId="77777777" w:rsidR="001D2E87" w:rsidRPr="00CE240B" w:rsidRDefault="001D2E87" w:rsidP="00CE240B">
            <w:pPr>
              <w:autoSpaceDE w:val="0"/>
              <w:autoSpaceDN w:val="0"/>
              <w:adjustRightInd w:val="0"/>
              <w:contextualSpacing/>
              <w:jc w:val="right"/>
              <w:rPr>
                <w:rFonts w:cs="Arial"/>
                <w:b/>
                <w:sz w:val="24"/>
              </w:rPr>
            </w:pPr>
            <w:r w:rsidRPr="00CE240B">
              <w:rPr>
                <w:rFonts w:cs="Arial"/>
                <w:b/>
                <w:sz w:val="24"/>
              </w:rPr>
              <w:t>Total</w:t>
            </w:r>
          </w:p>
        </w:tc>
        <w:tc>
          <w:tcPr>
            <w:tcW w:w="1159" w:type="dxa"/>
            <w:tcBorders>
              <w:top w:val="nil"/>
              <w:left w:val="single" w:sz="6" w:space="0" w:color="auto"/>
              <w:bottom w:val="single" w:sz="6" w:space="0" w:color="auto"/>
              <w:right w:val="nil"/>
            </w:tcBorders>
            <w:vAlign w:val="center"/>
          </w:tcPr>
          <w:p w14:paraId="30BD5CBA"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£1,407</w:t>
            </w:r>
          </w:p>
        </w:tc>
        <w:tc>
          <w:tcPr>
            <w:tcW w:w="1159" w:type="dxa"/>
            <w:tcBorders>
              <w:top w:val="nil"/>
              <w:left w:val="nil"/>
              <w:bottom w:val="single" w:sz="6" w:space="0" w:color="auto"/>
              <w:right w:val="nil"/>
            </w:tcBorders>
            <w:vAlign w:val="center"/>
          </w:tcPr>
          <w:p w14:paraId="6B9B1200" w14:textId="77777777" w:rsidR="001D2E87" w:rsidRPr="00CE240B" w:rsidRDefault="001D2E87" w:rsidP="00CE240B">
            <w:pPr>
              <w:autoSpaceDE w:val="0"/>
              <w:autoSpaceDN w:val="0"/>
              <w:adjustRightInd w:val="0"/>
              <w:contextualSpacing/>
              <w:jc w:val="center"/>
              <w:rPr>
                <w:rFonts w:cs="Arial"/>
                <w:b/>
                <w:sz w:val="24"/>
              </w:rPr>
            </w:pPr>
            <w:r w:rsidRPr="00CE240B">
              <w:rPr>
                <w:rFonts w:cs="Arial"/>
                <w:b/>
                <w:sz w:val="24"/>
              </w:rPr>
              <w:t>£1,213</w:t>
            </w:r>
          </w:p>
        </w:tc>
      </w:tr>
    </w:tbl>
    <w:p w14:paraId="425D4FB5" w14:textId="3643BD56" w:rsidR="001D2E87" w:rsidRDefault="001D2E87" w:rsidP="00CE240B">
      <w:pPr>
        <w:contextualSpacing/>
        <w:jc w:val="center"/>
      </w:pPr>
      <w:r>
        <w:t xml:space="preserve">Table </w:t>
      </w:r>
      <w:r w:rsidR="00255B1D">
        <w:t>22</w:t>
      </w:r>
    </w:p>
    <w:p w14:paraId="6563EE7B" w14:textId="77777777" w:rsidR="00255B1D" w:rsidRPr="00CE240B" w:rsidRDefault="00255B1D" w:rsidP="00CE240B">
      <w:pPr>
        <w:contextualSpacing/>
        <w:jc w:val="center"/>
        <w:rPr>
          <w:rFonts w:eastAsia="Arial" w:cs="Arial"/>
          <w:sz w:val="24"/>
        </w:rPr>
      </w:pPr>
    </w:p>
    <w:p w14:paraId="10C7BA02" w14:textId="77777777" w:rsidR="001D2E87" w:rsidRDefault="001D2E87" w:rsidP="00CE240B">
      <w:pPr>
        <w:contextualSpacing/>
        <w:rPr>
          <w:rFonts w:cs="Arial"/>
          <w:b/>
          <w:color w:val="0070C0"/>
          <w:sz w:val="24"/>
        </w:rPr>
      </w:pPr>
      <w:r w:rsidRPr="002D27B6">
        <w:rPr>
          <w:rFonts w:cs="Arial"/>
          <w:b/>
          <w:color w:val="0070C0"/>
          <w:sz w:val="24"/>
        </w:rPr>
        <w:t xml:space="preserve">5.3 </w:t>
      </w:r>
      <w:r w:rsidRPr="002D27B6">
        <w:rPr>
          <w:rFonts w:cs="Arial"/>
          <w:b/>
          <w:color w:val="0070C0"/>
          <w:sz w:val="24"/>
        </w:rPr>
        <w:tab/>
      </w:r>
      <w:r w:rsidRPr="002D27B6">
        <w:rPr>
          <w:rFonts w:cs="Arial"/>
          <w:b/>
          <w:color w:val="0070C0"/>
          <w:sz w:val="24"/>
        </w:rPr>
        <w:tab/>
        <w:t>Targeted Investment to deliver against Strategic Themes</w:t>
      </w:r>
    </w:p>
    <w:p w14:paraId="2E4D0B1D" w14:textId="77777777" w:rsidR="002D27B6" w:rsidRPr="002D27B6" w:rsidRDefault="002D27B6" w:rsidP="00CE240B">
      <w:pPr>
        <w:contextualSpacing/>
        <w:rPr>
          <w:rFonts w:cs="Arial"/>
          <w:b/>
          <w:color w:val="0070C0"/>
          <w:sz w:val="24"/>
        </w:rPr>
      </w:pPr>
    </w:p>
    <w:p w14:paraId="59379DBD" w14:textId="16678ECA" w:rsidR="001D2E87" w:rsidRDefault="001D2E87" w:rsidP="00CE240B">
      <w:pPr>
        <w:contextualSpacing/>
        <w:rPr>
          <w:rFonts w:cs="Arial"/>
          <w:sz w:val="24"/>
        </w:rPr>
      </w:pPr>
      <w:r w:rsidRPr="00CE240B">
        <w:rPr>
          <w:rFonts w:cs="Arial"/>
          <w:sz w:val="24"/>
        </w:rPr>
        <w:t xml:space="preserve">There is an allocated capital investment program for the next 5 years which delivers against the strategic themes, this is shown in </w:t>
      </w:r>
      <w:r w:rsidR="00255B1D">
        <w:rPr>
          <w:rFonts w:cs="Arial"/>
          <w:sz w:val="24"/>
        </w:rPr>
        <w:t xml:space="preserve">table 23 </w:t>
      </w:r>
      <w:r w:rsidRPr="00CE240B">
        <w:rPr>
          <w:rFonts w:cs="Arial"/>
          <w:sz w:val="24"/>
        </w:rPr>
        <w:t>below and described in the following sections.</w:t>
      </w:r>
    </w:p>
    <w:p w14:paraId="11EE924A" w14:textId="77777777" w:rsidR="00650EED" w:rsidRDefault="00650EED" w:rsidP="00CE240B">
      <w:pPr>
        <w:contextualSpacing/>
        <w:rPr>
          <w:rFonts w:cs="Arial"/>
          <w:sz w:val="24"/>
        </w:rPr>
      </w:pPr>
    </w:p>
    <w:p w14:paraId="6D5A8D71" w14:textId="77777777" w:rsidR="002D27B6" w:rsidRDefault="002D27B6" w:rsidP="00CE240B">
      <w:pPr>
        <w:contextualSpacing/>
        <w:rPr>
          <w:rFonts w:cs="Arial"/>
          <w:sz w:val="24"/>
        </w:rPr>
      </w:pPr>
    </w:p>
    <w:p w14:paraId="4EE45FE5" w14:textId="77777777" w:rsidR="002D27B6" w:rsidRPr="00CE240B" w:rsidRDefault="002D27B6" w:rsidP="00CE240B">
      <w:pPr>
        <w:contextualSpacing/>
        <w:rPr>
          <w:rFonts w:cs="Arial"/>
          <w:sz w:val="24"/>
        </w:rPr>
      </w:pPr>
    </w:p>
    <w:tbl>
      <w:tblPr>
        <w:tblW w:w="666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1231"/>
      </w:tblGrid>
      <w:tr w:rsidR="001D2E87" w:rsidRPr="00CE240B" w14:paraId="6B3FF5D7" w14:textId="77777777" w:rsidTr="00C7172D">
        <w:trPr>
          <w:trHeight w:val="300"/>
        </w:trPr>
        <w:tc>
          <w:tcPr>
            <w:tcW w:w="5529" w:type="dxa"/>
            <w:shd w:val="clear" w:color="auto" w:fill="D9D9D9" w:themeFill="background1" w:themeFillShade="D9"/>
            <w:noWrap/>
            <w:vAlign w:val="center"/>
          </w:tcPr>
          <w:p w14:paraId="45AB52A5"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Scheme</w:t>
            </w:r>
          </w:p>
        </w:tc>
        <w:tc>
          <w:tcPr>
            <w:tcW w:w="1134" w:type="dxa"/>
            <w:shd w:val="clear" w:color="auto" w:fill="D9D9D9" w:themeFill="background1" w:themeFillShade="D9"/>
            <w:noWrap/>
            <w:vAlign w:val="center"/>
          </w:tcPr>
          <w:p w14:paraId="588E6EDD"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Annual allocation £000</w:t>
            </w:r>
          </w:p>
        </w:tc>
      </w:tr>
      <w:tr w:rsidR="001D2E87" w:rsidRPr="00CE240B" w14:paraId="788D06FA" w14:textId="77777777" w:rsidTr="00C7172D">
        <w:trPr>
          <w:trHeight w:val="300"/>
        </w:trPr>
        <w:tc>
          <w:tcPr>
            <w:tcW w:w="5529" w:type="dxa"/>
            <w:shd w:val="clear" w:color="auto" w:fill="D9D9D9" w:themeFill="background1" w:themeFillShade="D9"/>
            <w:noWrap/>
            <w:vAlign w:val="center"/>
            <w:hideMark/>
          </w:tcPr>
          <w:p w14:paraId="0FC725FB"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CCTV</w:t>
            </w:r>
          </w:p>
        </w:tc>
        <w:tc>
          <w:tcPr>
            <w:tcW w:w="1134" w:type="dxa"/>
            <w:shd w:val="clear" w:color="auto" w:fill="auto"/>
            <w:noWrap/>
            <w:vAlign w:val="center"/>
            <w:hideMark/>
          </w:tcPr>
          <w:p w14:paraId="6608BECF"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300</w:t>
            </w:r>
          </w:p>
        </w:tc>
      </w:tr>
      <w:tr w:rsidR="001D2E87" w:rsidRPr="00CE240B" w14:paraId="59285085" w14:textId="77777777" w:rsidTr="00C7172D">
        <w:trPr>
          <w:trHeight w:val="300"/>
        </w:trPr>
        <w:tc>
          <w:tcPr>
            <w:tcW w:w="5529" w:type="dxa"/>
            <w:shd w:val="clear" w:color="auto" w:fill="D9D9D9" w:themeFill="background1" w:themeFillShade="D9"/>
            <w:noWrap/>
            <w:vAlign w:val="center"/>
            <w:hideMark/>
          </w:tcPr>
          <w:p w14:paraId="5551A7B8"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Equipment</w:t>
            </w:r>
          </w:p>
        </w:tc>
        <w:tc>
          <w:tcPr>
            <w:tcW w:w="1134" w:type="dxa"/>
            <w:shd w:val="clear" w:color="auto" w:fill="auto"/>
            <w:noWrap/>
            <w:vAlign w:val="center"/>
            <w:hideMark/>
          </w:tcPr>
          <w:p w14:paraId="389C2446"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100</w:t>
            </w:r>
          </w:p>
        </w:tc>
      </w:tr>
      <w:tr w:rsidR="001D2E87" w:rsidRPr="00CE240B" w14:paraId="34386390" w14:textId="77777777" w:rsidTr="00C7172D">
        <w:trPr>
          <w:trHeight w:val="300"/>
        </w:trPr>
        <w:tc>
          <w:tcPr>
            <w:tcW w:w="5529" w:type="dxa"/>
            <w:shd w:val="clear" w:color="auto" w:fill="D9D9D9" w:themeFill="background1" w:themeFillShade="D9"/>
            <w:noWrap/>
            <w:vAlign w:val="center"/>
            <w:hideMark/>
          </w:tcPr>
          <w:p w14:paraId="7AA5D5E8"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Backlog/Carbon Reduction/Sustainability</w:t>
            </w:r>
          </w:p>
        </w:tc>
        <w:tc>
          <w:tcPr>
            <w:tcW w:w="1134" w:type="dxa"/>
            <w:shd w:val="clear" w:color="auto" w:fill="auto"/>
            <w:noWrap/>
            <w:vAlign w:val="center"/>
            <w:hideMark/>
          </w:tcPr>
          <w:p w14:paraId="470C0C15"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2,000</w:t>
            </w:r>
          </w:p>
        </w:tc>
      </w:tr>
      <w:tr w:rsidR="001D2E87" w:rsidRPr="00CE240B" w14:paraId="4AD69AEB" w14:textId="77777777" w:rsidTr="00C7172D">
        <w:trPr>
          <w:trHeight w:val="300"/>
        </w:trPr>
        <w:tc>
          <w:tcPr>
            <w:tcW w:w="5529" w:type="dxa"/>
            <w:shd w:val="clear" w:color="auto" w:fill="D9D9D9" w:themeFill="background1" w:themeFillShade="D9"/>
            <w:noWrap/>
            <w:vAlign w:val="center"/>
            <w:hideMark/>
          </w:tcPr>
          <w:p w14:paraId="72504E4C" w14:textId="6405C217" w:rsidR="001D2E87" w:rsidRPr="00CE240B" w:rsidRDefault="001D2E87" w:rsidP="00CE240B">
            <w:pPr>
              <w:contextualSpacing/>
              <w:rPr>
                <w:rFonts w:cs="Arial"/>
                <w:color w:val="000000"/>
                <w:sz w:val="24"/>
                <w:lang w:eastAsia="en-GB"/>
              </w:rPr>
            </w:pPr>
            <w:r w:rsidRPr="00CE240B">
              <w:rPr>
                <w:rFonts w:cs="Arial"/>
                <w:color w:val="000000"/>
                <w:sz w:val="24"/>
                <w:lang w:eastAsia="en-GB"/>
              </w:rPr>
              <w:t xml:space="preserve">Safety/Clin </w:t>
            </w:r>
            <w:r w:rsidR="002D27B6" w:rsidRPr="00CE240B">
              <w:rPr>
                <w:rFonts w:cs="Arial"/>
                <w:color w:val="000000"/>
                <w:sz w:val="24"/>
                <w:lang w:eastAsia="en-GB"/>
              </w:rPr>
              <w:t>Environment</w:t>
            </w:r>
            <w:r w:rsidRPr="00CE240B">
              <w:rPr>
                <w:rFonts w:cs="Arial"/>
                <w:color w:val="000000"/>
                <w:sz w:val="24"/>
                <w:lang w:eastAsia="en-GB"/>
              </w:rPr>
              <w:t xml:space="preserve"> Safety</w:t>
            </w:r>
          </w:p>
        </w:tc>
        <w:tc>
          <w:tcPr>
            <w:tcW w:w="1134" w:type="dxa"/>
            <w:shd w:val="clear" w:color="auto" w:fill="auto"/>
            <w:noWrap/>
            <w:vAlign w:val="center"/>
            <w:hideMark/>
          </w:tcPr>
          <w:p w14:paraId="0DD8A24A"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500</w:t>
            </w:r>
          </w:p>
        </w:tc>
      </w:tr>
      <w:tr w:rsidR="001D2E87" w:rsidRPr="00CE240B" w14:paraId="250AD7DA" w14:textId="77777777" w:rsidTr="00C7172D">
        <w:trPr>
          <w:trHeight w:val="300"/>
        </w:trPr>
        <w:tc>
          <w:tcPr>
            <w:tcW w:w="5529" w:type="dxa"/>
            <w:shd w:val="clear" w:color="auto" w:fill="D9D9D9" w:themeFill="background1" w:themeFillShade="D9"/>
            <w:noWrap/>
            <w:vAlign w:val="center"/>
            <w:hideMark/>
          </w:tcPr>
          <w:p w14:paraId="2601FF64"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Minor under £25k schemes</w:t>
            </w:r>
          </w:p>
        </w:tc>
        <w:tc>
          <w:tcPr>
            <w:tcW w:w="1134" w:type="dxa"/>
            <w:shd w:val="clear" w:color="auto" w:fill="auto"/>
            <w:noWrap/>
            <w:vAlign w:val="center"/>
            <w:hideMark/>
          </w:tcPr>
          <w:p w14:paraId="35AF66E3"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200</w:t>
            </w:r>
          </w:p>
        </w:tc>
      </w:tr>
      <w:tr w:rsidR="001D2E87" w:rsidRPr="00CE240B" w14:paraId="7FE941C4" w14:textId="77777777" w:rsidTr="00C7172D">
        <w:trPr>
          <w:trHeight w:val="300"/>
        </w:trPr>
        <w:tc>
          <w:tcPr>
            <w:tcW w:w="5529" w:type="dxa"/>
            <w:shd w:val="clear" w:color="auto" w:fill="D9D9D9" w:themeFill="background1" w:themeFillShade="D9"/>
            <w:noWrap/>
            <w:vAlign w:val="center"/>
            <w:hideMark/>
          </w:tcPr>
          <w:p w14:paraId="2C078151"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Refurbishment patient areas</w:t>
            </w:r>
          </w:p>
        </w:tc>
        <w:tc>
          <w:tcPr>
            <w:tcW w:w="1134" w:type="dxa"/>
            <w:shd w:val="clear" w:color="auto" w:fill="auto"/>
            <w:noWrap/>
            <w:vAlign w:val="center"/>
            <w:hideMark/>
          </w:tcPr>
          <w:p w14:paraId="36F8BFF7"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500</w:t>
            </w:r>
          </w:p>
        </w:tc>
      </w:tr>
      <w:tr w:rsidR="001D2E87" w:rsidRPr="00CE240B" w14:paraId="554E5170" w14:textId="77777777" w:rsidTr="00C7172D">
        <w:trPr>
          <w:trHeight w:val="300"/>
        </w:trPr>
        <w:tc>
          <w:tcPr>
            <w:tcW w:w="5529" w:type="dxa"/>
            <w:shd w:val="clear" w:color="auto" w:fill="D9D9D9" w:themeFill="background1" w:themeFillShade="D9"/>
            <w:noWrap/>
            <w:vAlign w:val="center"/>
            <w:hideMark/>
          </w:tcPr>
          <w:p w14:paraId="328CF0A5" w14:textId="6BF96DCA" w:rsidR="001D2E87" w:rsidRPr="00CE240B" w:rsidRDefault="001D2E87" w:rsidP="00CE240B">
            <w:pPr>
              <w:contextualSpacing/>
              <w:rPr>
                <w:rFonts w:cs="Arial"/>
                <w:color w:val="000000"/>
                <w:sz w:val="24"/>
                <w:lang w:eastAsia="en-GB"/>
              </w:rPr>
            </w:pPr>
            <w:r w:rsidRPr="00CE240B">
              <w:rPr>
                <w:rFonts w:cs="Arial"/>
                <w:color w:val="000000"/>
                <w:sz w:val="24"/>
                <w:lang w:eastAsia="en-GB"/>
              </w:rPr>
              <w:t xml:space="preserve">Refurbishment </w:t>
            </w:r>
            <w:r w:rsidR="002D27B6" w:rsidRPr="00CE240B">
              <w:rPr>
                <w:rFonts w:cs="Arial"/>
                <w:color w:val="000000"/>
                <w:sz w:val="24"/>
                <w:lang w:eastAsia="en-GB"/>
              </w:rPr>
              <w:t>Non-Inpatient</w:t>
            </w:r>
            <w:r w:rsidRPr="00CE240B">
              <w:rPr>
                <w:rFonts w:cs="Arial"/>
                <w:color w:val="000000"/>
                <w:sz w:val="24"/>
                <w:lang w:eastAsia="en-GB"/>
              </w:rPr>
              <w:t xml:space="preserve"> Areas</w:t>
            </w:r>
          </w:p>
        </w:tc>
        <w:tc>
          <w:tcPr>
            <w:tcW w:w="1134" w:type="dxa"/>
            <w:shd w:val="clear" w:color="auto" w:fill="auto"/>
            <w:noWrap/>
            <w:vAlign w:val="center"/>
            <w:hideMark/>
          </w:tcPr>
          <w:p w14:paraId="63F8A7E8"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500</w:t>
            </w:r>
          </w:p>
        </w:tc>
      </w:tr>
      <w:tr w:rsidR="001D2E87" w:rsidRPr="00CE240B" w14:paraId="5078A7B6" w14:textId="77777777" w:rsidTr="00C7172D">
        <w:trPr>
          <w:trHeight w:val="300"/>
        </w:trPr>
        <w:tc>
          <w:tcPr>
            <w:tcW w:w="5529" w:type="dxa"/>
            <w:shd w:val="clear" w:color="auto" w:fill="D9D9D9" w:themeFill="background1" w:themeFillShade="D9"/>
            <w:noWrap/>
            <w:vAlign w:val="center"/>
            <w:hideMark/>
          </w:tcPr>
          <w:p w14:paraId="38970D94" w14:textId="77777777" w:rsidR="001D2E87" w:rsidRPr="00CE240B" w:rsidRDefault="001D2E87" w:rsidP="00CE240B">
            <w:pPr>
              <w:contextualSpacing/>
              <w:rPr>
                <w:rFonts w:cs="Arial"/>
                <w:color w:val="000000"/>
                <w:sz w:val="24"/>
                <w:lang w:eastAsia="en-GB"/>
              </w:rPr>
            </w:pPr>
            <w:r w:rsidRPr="00CE240B">
              <w:rPr>
                <w:rFonts w:cs="Arial"/>
                <w:color w:val="000000"/>
                <w:sz w:val="24"/>
                <w:lang w:eastAsia="en-GB"/>
              </w:rPr>
              <w:t>Internal Fees</w:t>
            </w:r>
          </w:p>
        </w:tc>
        <w:tc>
          <w:tcPr>
            <w:tcW w:w="1134" w:type="dxa"/>
            <w:shd w:val="clear" w:color="auto" w:fill="auto"/>
            <w:noWrap/>
            <w:vAlign w:val="center"/>
            <w:hideMark/>
          </w:tcPr>
          <w:p w14:paraId="15F0C315" w14:textId="77777777" w:rsidR="001D2E87" w:rsidRPr="00CE240B" w:rsidRDefault="001D2E87" w:rsidP="00CE240B">
            <w:pPr>
              <w:contextualSpacing/>
              <w:jc w:val="center"/>
              <w:rPr>
                <w:rFonts w:cs="Arial"/>
                <w:color w:val="000000"/>
                <w:sz w:val="24"/>
                <w:lang w:eastAsia="en-GB"/>
              </w:rPr>
            </w:pPr>
            <w:r w:rsidRPr="00CE240B">
              <w:rPr>
                <w:rFonts w:cs="Arial"/>
                <w:color w:val="000000"/>
                <w:sz w:val="24"/>
                <w:lang w:eastAsia="en-GB"/>
              </w:rPr>
              <w:t>400</w:t>
            </w:r>
          </w:p>
        </w:tc>
      </w:tr>
      <w:tr w:rsidR="001D2E87" w:rsidRPr="00CE240B" w14:paraId="2AFBAD6B" w14:textId="77777777" w:rsidTr="00C7172D">
        <w:trPr>
          <w:trHeight w:val="315"/>
        </w:trPr>
        <w:tc>
          <w:tcPr>
            <w:tcW w:w="5529" w:type="dxa"/>
            <w:shd w:val="clear" w:color="auto" w:fill="D9D9D9" w:themeFill="background1" w:themeFillShade="D9"/>
            <w:noWrap/>
            <w:vAlign w:val="center"/>
            <w:hideMark/>
          </w:tcPr>
          <w:p w14:paraId="3FC6DBF7" w14:textId="77777777" w:rsidR="001D2E87" w:rsidRPr="00CE240B" w:rsidRDefault="001D2E87" w:rsidP="00CE240B">
            <w:pPr>
              <w:contextualSpacing/>
              <w:jc w:val="right"/>
              <w:rPr>
                <w:rFonts w:cs="Arial"/>
                <w:b/>
                <w:color w:val="000000"/>
                <w:sz w:val="24"/>
                <w:lang w:eastAsia="en-GB"/>
              </w:rPr>
            </w:pPr>
            <w:r w:rsidRPr="00CE240B">
              <w:rPr>
                <w:rFonts w:cs="Arial"/>
                <w:b/>
                <w:color w:val="000000"/>
                <w:sz w:val="24"/>
                <w:lang w:eastAsia="en-GB"/>
              </w:rPr>
              <w:t>Total</w:t>
            </w:r>
          </w:p>
        </w:tc>
        <w:tc>
          <w:tcPr>
            <w:tcW w:w="1134" w:type="dxa"/>
            <w:shd w:val="clear" w:color="auto" w:fill="auto"/>
            <w:noWrap/>
            <w:vAlign w:val="center"/>
            <w:hideMark/>
          </w:tcPr>
          <w:p w14:paraId="4AF16D52" w14:textId="77777777" w:rsidR="001D2E87" w:rsidRPr="00CE240B" w:rsidRDefault="001D2E87" w:rsidP="00CE240B">
            <w:pPr>
              <w:contextualSpacing/>
              <w:jc w:val="center"/>
              <w:rPr>
                <w:rFonts w:cs="Arial"/>
                <w:b/>
                <w:color w:val="000000"/>
                <w:sz w:val="24"/>
                <w:lang w:eastAsia="en-GB"/>
              </w:rPr>
            </w:pPr>
            <w:r w:rsidRPr="00CE240B">
              <w:rPr>
                <w:rFonts w:cs="Arial"/>
                <w:b/>
                <w:color w:val="000000"/>
                <w:sz w:val="24"/>
                <w:lang w:eastAsia="en-GB"/>
              </w:rPr>
              <w:t>4,100</w:t>
            </w:r>
          </w:p>
        </w:tc>
      </w:tr>
    </w:tbl>
    <w:p w14:paraId="1438B86B" w14:textId="27225417" w:rsidR="001D2E87" w:rsidRPr="00CE240B" w:rsidRDefault="001D2E87" w:rsidP="00CE240B">
      <w:pPr>
        <w:contextualSpacing/>
        <w:jc w:val="center"/>
        <w:rPr>
          <w:rFonts w:cs="Arial"/>
          <w:b/>
          <w:sz w:val="24"/>
        </w:rPr>
      </w:pPr>
      <w:r>
        <w:t xml:space="preserve">Table </w:t>
      </w:r>
      <w:r w:rsidR="00255B1D">
        <w:t>23</w:t>
      </w:r>
      <w:r>
        <w:t xml:space="preserve"> Annual Capital Allocation- 5 Year Forward plan</w:t>
      </w:r>
    </w:p>
    <w:p w14:paraId="200C2822" w14:textId="77777777" w:rsidR="00650EED" w:rsidRDefault="00650EED" w:rsidP="00CE240B">
      <w:pPr>
        <w:contextualSpacing/>
        <w:rPr>
          <w:rFonts w:cs="Arial"/>
          <w:b/>
          <w:sz w:val="24"/>
        </w:rPr>
      </w:pPr>
    </w:p>
    <w:p w14:paraId="5F078C7A" w14:textId="086EDC75" w:rsidR="001D2E87" w:rsidRDefault="001D2E87" w:rsidP="00CE240B">
      <w:pPr>
        <w:contextualSpacing/>
        <w:rPr>
          <w:rFonts w:cs="Arial"/>
          <w:b/>
          <w:color w:val="0070C0"/>
          <w:sz w:val="24"/>
        </w:rPr>
      </w:pPr>
      <w:r w:rsidRPr="002D27B6">
        <w:rPr>
          <w:rFonts w:cs="Arial"/>
          <w:b/>
          <w:color w:val="0070C0"/>
          <w:sz w:val="24"/>
        </w:rPr>
        <w:t>5.3.1</w:t>
      </w:r>
      <w:r w:rsidRPr="002D27B6">
        <w:rPr>
          <w:rFonts w:cs="Arial"/>
          <w:b/>
          <w:color w:val="0070C0"/>
          <w:sz w:val="24"/>
        </w:rPr>
        <w:tab/>
        <w:t>Investment in Delivering the Green Plan</w:t>
      </w:r>
    </w:p>
    <w:p w14:paraId="69828960" w14:textId="77777777" w:rsidR="002D27B6" w:rsidRPr="002D27B6" w:rsidRDefault="002D27B6" w:rsidP="00CE240B">
      <w:pPr>
        <w:contextualSpacing/>
        <w:rPr>
          <w:rFonts w:cs="Arial"/>
          <w:b/>
          <w:color w:val="0070C0"/>
          <w:sz w:val="24"/>
        </w:rPr>
      </w:pPr>
    </w:p>
    <w:p w14:paraId="554E7A31" w14:textId="77777777" w:rsidR="00161F96" w:rsidRDefault="001D2E87" w:rsidP="00CE240B">
      <w:pPr>
        <w:contextualSpacing/>
        <w:rPr>
          <w:rFonts w:cs="Arial"/>
          <w:sz w:val="24"/>
        </w:rPr>
      </w:pPr>
      <w:r w:rsidRPr="00CE240B">
        <w:rPr>
          <w:rFonts w:cs="Arial"/>
          <w:sz w:val="24"/>
        </w:rPr>
        <w:t xml:space="preserve">In Section 4 of this strategy, reference is made to the Trusts Green Plan which was developed following the Trusts declaration of a Climate Emergency. The Green Plan sets out </w:t>
      </w:r>
      <w:proofErr w:type="gramStart"/>
      <w:r w:rsidRPr="00CE240B">
        <w:rPr>
          <w:rFonts w:cs="Arial"/>
          <w:sz w:val="24"/>
        </w:rPr>
        <w:t>a number of</w:t>
      </w:r>
      <w:proofErr w:type="gramEnd"/>
      <w:r w:rsidRPr="00CE240B">
        <w:rPr>
          <w:rFonts w:cs="Arial"/>
          <w:sz w:val="24"/>
        </w:rPr>
        <w:t xml:space="preserve"> Estates related actions that CNTW will need to achieve, which includes decarbonisation, improving biodiversity and ensuring we make adaptations to buildings to allow for climate change.</w:t>
      </w:r>
    </w:p>
    <w:p w14:paraId="64791955" w14:textId="77777777" w:rsidR="00161F96" w:rsidRDefault="00161F96" w:rsidP="00CE240B">
      <w:pPr>
        <w:contextualSpacing/>
        <w:rPr>
          <w:rFonts w:cs="Arial"/>
          <w:sz w:val="24"/>
        </w:rPr>
      </w:pPr>
    </w:p>
    <w:p w14:paraId="3BD34D3C" w14:textId="20E5663B" w:rsidR="001D2E87" w:rsidRPr="00CE240B" w:rsidRDefault="001D2E87" w:rsidP="00CE240B">
      <w:pPr>
        <w:contextualSpacing/>
        <w:rPr>
          <w:rFonts w:cs="Arial"/>
          <w:sz w:val="24"/>
        </w:rPr>
      </w:pPr>
      <w:r w:rsidRPr="00CE240B">
        <w:rPr>
          <w:rFonts w:cs="Arial"/>
          <w:sz w:val="24"/>
        </w:rPr>
        <w:t xml:space="preserve">A </w:t>
      </w:r>
      <w:r w:rsidR="002D27B6" w:rsidRPr="00CE240B">
        <w:rPr>
          <w:rFonts w:cs="Arial"/>
          <w:sz w:val="24"/>
        </w:rPr>
        <w:t>high-level</w:t>
      </w:r>
      <w:r w:rsidRPr="00CE240B">
        <w:rPr>
          <w:rFonts w:cs="Arial"/>
          <w:sz w:val="24"/>
        </w:rPr>
        <w:t xml:space="preserve"> decarbonisation assessment of the Trust estate was carried out by an external consultancy in 2022, the data from this study coupled with other site intelligence identifies that the costs of decarbonising the estate will be up to £30M.</w:t>
      </w:r>
    </w:p>
    <w:p w14:paraId="3446C40D" w14:textId="77777777" w:rsidR="001D2E87" w:rsidRPr="00CE240B" w:rsidRDefault="001D2E87" w:rsidP="00CE240B">
      <w:pPr>
        <w:contextualSpacing/>
        <w:rPr>
          <w:rFonts w:cs="Arial"/>
          <w:sz w:val="24"/>
        </w:rPr>
      </w:pPr>
      <w:r w:rsidRPr="00CE240B">
        <w:rPr>
          <w:rFonts w:cs="Arial"/>
          <w:sz w:val="24"/>
        </w:rPr>
        <w:t xml:space="preserve">Full decarbonisation is unlikely to be achievable with current technologies, therefore the strategy should be to invest in schemes which reduce both energy consumption and carbon emissions </w:t>
      </w:r>
      <w:proofErr w:type="gramStart"/>
      <w:r w:rsidRPr="00CE240B">
        <w:rPr>
          <w:rFonts w:cs="Arial"/>
          <w:sz w:val="24"/>
        </w:rPr>
        <w:t>and also</w:t>
      </w:r>
      <w:proofErr w:type="gramEnd"/>
      <w:r w:rsidRPr="00CE240B">
        <w:rPr>
          <w:rFonts w:cs="Arial"/>
          <w:sz w:val="24"/>
        </w:rPr>
        <w:t xml:space="preserve"> to increase the proportion of energy consumption generated from renewables. </w:t>
      </w:r>
    </w:p>
    <w:p w14:paraId="19DBE49E" w14:textId="70F23CE8" w:rsidR="001D2E87" w:rsidRPr="00CE240B" w:rsidRDefault="001D2E87" w:rsidP="00CE240B">
      <w:pPr>
        <w:contextualSpacing/>
        <w:rPr>
          <w:rFonts w:cs="Arial"/>
          <w:sz w:val="24"/>
        </w:rPr>
      </w:pPr>
      <w:r w:rsidRPr="00CE240B">
        <w:rPr>
          <w:rFonts w:cs="Arial"/>
          <w:sz w:val="24"/>
        </w:rPr>
        <w:t xml:space="preserve">Investment is not limited to decarbonisation but also in improving the </w:t>
      </w:r>
      <w:r w:rsidR="002D27B6" w:rsidRPr="00CE240B">
        <w:rPr>
          <w:rFonts w:cs="Arial"/>
          <w:sz w:val="24"/>
        </w:rPr>
        <w:t>biodiversity</w:t>
      </w:r>
      <w:r w:rsidRPr="00CE240B">
        <w:rPr>
          <w:rFonts w:cs="Arial"/>
          <w:sz w:val="24"/>
        </w:rPr>
        <w:t xml:space="preserve"> of our sites and adapting buildings and sites to cope with climate change. </w:t>
      </w:r>
    </w:p>
    <w:p w14:paraId="10B613BC" w14:textId="77777777" w:rsidR="00650EED" w:rsidRDefault="00650EED" w:rsidP="00650EED">
      <w:pPr>
        <w:contextualSpacing/>
        <w:rPr>
          <w:rFonts w:cs="Arial"/>
          <w:b/>
          <w:sz w:val="24"/>
        </w:rPr>
      </w:pPr>
    </w:p>
    <w:p w14:paraId="23DE363A" w14:textId="0D6C599A" w:rsidR="001D2E87" w:rsidRPr="002D27B6" w:rsidRDefault="001D2E87" w:rsidP="00650EED">
      <w:pPr>
        <w:contextualSpacing/>
        <w:rPr>
          <w:rFonts w:cs="Arial"/>
          <w:b/>
          <w:color w:val="0070C0"/>
          <w:sz w:val="24"/>
        </w:rPr>
      </w:pPr>
      <w:r w:rsidRPr="002D27B6">
        <w:rPr>
          <w:rFonts w:cs="Arial"/>
          <w:b/>
          <w:color w:val="0070C0"/>
          <w:sz w:val="24"/>
        </w:rPr>
        <w:t>What needs to be done and when?</w:t>
      </w:r>
    </w:p>
    <w:p w14:paraId="1ED304B9" w14:textId="5870F500"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A detailed decarbonisation plan needs to be developed on a </w:t>
      </w:r>
      <w:r w:rsidR="002D27B6" w:rsidRPr="00CE240B">
        <w:rPr>
          <w:rFonts w:cs="Arial"/>
          <w:sz w:val="24"/>
        </w:rPr>
        <w:t>site-by-site</w:t>
      </w:r>
      <w:r w:rsidRPr="00CE240B">
        <w:rPr>
          <w:rFonts w:cs="Arial"/>
          <w:sz w:val="24"/>
        </w:rPr>
        <w:t xml:space="preserve"> basis to determine what is feasible in respect of reducing carbon emissions. Plans should </w:t>
      </w:r>
      <w:proofErr w:type="gramStart"/>
      <w:r w:rsidRPr="00CE240B">
        <w:rPr>
          <w:rFonts w:cs="Arial"/>
          <w:sz w:val="24"/>
        </w:rPr>
        <w:t>take into account</w:t>
      </w:r>
      <w:proofErr w:type="gramEnd"/>
      <w:r w:rsidRPr="00CE240B">
        <w:rPr>
          <w:rFonts w:cs="Arial"/>
          <w:sz w:val="24"/>
        </w:rPr>
        <w:t xml:space="preserve"> the construction elements of the buildings, configuration of engineering services, building use and if there are any opportunities to partner with other organisations who we can partner with on area wide initiatives. This should be completed by the end of 2023 and will need to be reviewed on an on-going basis.</w:t>
      </w:r>
    </w:p>
    <w:p w14:paraId="2068E2C8" w14:textId="3267C35D"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Invest in the </w:t>
      </w:r>
      <w:r w:rsidR="002D27B6" w:rsidRPr="00CE240B">
        <w:rPr>
          <w:rFonts w:cs="Arial"/>
          <w:sz w:val="24"/>
        </w:rPr>
        <w:t>short-, medium- and long-term</w:t>
      </w:r>
      <w:r w:rsidRPr="00CE240B">
        <w:rPr>
          <w:rFonts w:cs="Arial"/>
          <w:sz w:val="24"/>
        </w:rPr>
        <w:t xml:space="preserve"> decarbonisation schemes addressing those areas where elements of the Green Plan can be delivered, </w:t>
      </w:r>
      <w:proofErr w:type="gramStart"/>
      <w:r w:rsidRPr="00CE240B">
        <w:rPr>
          <w:rFonts w:cs="Arial"/>
          <w:sz w:val="24"/>
        </w:rPr>
        <w:t>in particular reducing</w:t>
      </w:r>
      <w:proofErr w:type="gramEnd"/>
      <w:r w:rsidRPr="00CE240B">
        <w:rPr>
          <w:rFonts w:cs="Arial"/>
          <w:sz w:val="24"/>
        </w:rPr>
        <w:t xml:space="preserve"> our own carbon emissions towards net zero by 2040. Focus will be given to:</w:t>
      </w:r>
    </w:p>
    <w:p w14:paraId="72D0E79F"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A move away from steam heating systems on the St Nicholas Hospital site</w:t>
      </w:r>
    </w:p>
    <w:p w14:paraId="5352BE37"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Maximise potential for solar PV generation</w:t>
      </w:r>
    </w:p>
    <w:p w14:paraId="28581CC6"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Improvements to building and engineering services insulation levels</w:t>
      </w:r>
    </w:p>
    <w:p w14:paraId="575494C5"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Optimising control of energy using equipment including heating systems</w:t>
      </w:r>
    </w:p>
    <w:p w14:paraId="62DC3649"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lastRenderedPageBreak/>
        <w:t>Full implementation of LED lighting with associated smart controls</w:t>
      </w:r>
    </w:p>
    <w:p w14:paraId="351B7DDD"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Ongoing awareness campaigns for staff in energy efficiency</w:t>
      </w:r>
    </w:p>
    <w:p w14:paraId="7AB85DF9"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Maximise suitable use of renewable heating technology such as air source heat pumps.</w:t>
      </w:r>
    </w:p>
    <w:p w14:paraId="0DFA1FBB"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Enhance the Electric Vehicle charging infrastructure to facilitate staff changing to EV’s and their adoption for Trust vehicles.</w:t>
      </w:r>
    </w:p>
    <w:p w14:paraId="4FA00F97" w14:textId="18953244"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Making the most of our green spaces for service users, carers, staff and local communities to enjoy, encouraging biodiversity and connection with nature. This will require a detailed biodiversity plan to be developed on a </w:t>
      </w:r>
      <w:r w:rsidR="002D27B6" w:rsidRPr="00CE240B">
        <w:rPr>
          <w:rFonts w:cs="Arial"/>
          <w:sz w:val="24"/>
        </w:rPr>
        <w:t>site-by-site</w:t>
      </w:r>
      <w:r w:rsidRPr="00CE240B">
        <w:rPr>
          <w:rFonts w:cs="Arial"/>
          <w:sz w:val="24"/>
        </w:rPr>
        <w:t xml:space="preserve"> basis. This should be completed by the end of 2023 and will need to be reviewed on an on-going basis. </w:t>
      </w:r>
    </w:p>
    <w:p w14:paraId="4A82F8B5" w14:textId="282BC0E0" w:rsidR="001D2E87" w:rsidRPr="00CE240B" w:rsidRDefault="001D2E87" w:rsidP="002867BC">
      <w:pPr>
        <w:pStyle w:val="ListParagraph"/>
        <w:numPr>
          <w:ilvl w:val="0"/>
          <w:numId w:val="59"/>
        </w:numPr>
        <w:spacing w:before="120" w:after="120"/>
        <w:ind w:right="340"/>
        <w:jc w:val="both"/>
        <w:rPr>
          <w:rFonts w:cs="Arial"/>
          <w:sz w:val="24"/>
        </w:rPr>
      </w:pPr>
      <w:r w:rsidRPr="00CE240B">
        <w:rPr>
          <w:rFonts w:cs="Arial"/>
          <w:sz w:val="24"/>
        </w:rPr>
        <w:t xml:space="preserve">Invest in the </w:t>
      </w:r>
      <w:r w:rsidR="002D27B6" w:rsidRPr="00CE240B">
        <w:rPr>
          <w:rFonts w:cs="Arial"/>
          <w:sz w:val="24"/>
        </w:rPr>
        <w:t>short-, medium- and long-term</w:t>
      </w:r>
      <w:r w:rsidRPr="00CE240B">
        <w:rPr>
          <w:rFonts w:cs="Arial"/>
          <w:sz w:val="24"/>
        </w:rPr>
        <w:t xml:space="preserve"> biodiversity schemes addressing those areas where elements of the Green Plan can be delivered where biodiversity can be implemented. Focus will be given to:</w:t>
      </w:r>
    </w:p>
    <w:p w14:paraId="245A6590" w14:textId="77777777" w:rsidR="001D2E87" w:rsidRPr="00CE240B" w:rsidRDefault="001D2E87" w:rsidP="002867BC">
      <w:pPr>
        <w:pStyle w:val="ListParagraph"/>
        <w:numPr>
          <w:ilvl w:val="1"/>
          <w:numId w:val="59"/>
        </w:numPr>
        <w:spacing w:before="120" w:after="120"/>
        <w:ind w:right="340"/>
        <w:jc w:val="both"/>
        <w:rPr>
          <w:rFonts w:cs="Arial"/>
          <w:sz w:val="24"/>
        </w:rPr>
      </w:pPr>
      <w:r w:rsidRPr="00CE240B">
        <w:rPr>
          <w:rFonts w:cs="Arial"/>
          <w:sz w:val="24"/>
        </w:rPr>
        <w:t xml:space="preserve">Transforming areas of outdoor space into across the main sites into wildflower meadows. </w:t>
      </w:r>
    </w:p>
    <w:p w14:paraId="3AF6FDE2" w14:textId="77777777" w:rsidR="001D2E87" w:rsidRPr="00CE240B" w:rsidRDefault="001D2E87" w:rsidP="002867BC">
      <w:pPr>
        <w:pStyle w:val="ListParagraph"/>
        <w:numPr>
          <w:ilvl w:val="1"/>
          <w:numId w:val="59"/>
        </w:numPr>
        <w:spacing w:before="120" w:after="120"/>
        <w:ind w:right="340"/>
        <w:jc w:val="both"/>
        <w:rPr>
          <w:rFonts w:cs="Arial"/>
          <w:sz w:val="24"/>
        </w:rPr>
      </w:pPr>
      <w:r w:rsidRPr="00CE240B">
        <w:rPr>
          <w:rFonts w:cs="Arial"/>
          <w:sz w:val="24"/>
        </w:rPr>
        <w:t xml:space="preserve">Develop wellbeing gardens across </w:t>
      </w:r>
    </w:p>
    <w:p w14:paraId="3076A643" w14:textId="77777777" w:rsidR="001D2E87" w:rsidRPr="00CE240B" w:rsidRDefault="001D2E87" w:rsidP="002867BC">
      <w:pPr>
        <w:pStyle w:val="ListParagraph"/>
        <w:numPr>
          <w:ilvl w:val="1"/>
          <w:numId w:val="59"/>
        </w:numPr>
        <w:spacing w:before="120" w:after="120"/>
        <w:ind w:right="340"/>
        <w:jc w:val="both"/>
        <w:rPr>
          <w:rFonts w:cs="Arial"/>
          <w:sz w:val="24"/>
        </w:rPr>
      </w:pPr>
      <w:r w:rsidRPr="00CE240B">
        <w:rPr>
          <w:rFonts w:cs="Arial"/>
          <w:sz w:val="24"/>
        </w:rPr>
        <w:t>Create outdoor walking routes across the main sites</w:t>
      </w:r>
    </w:p>
    <w:p w14:paraId="52D5260A" w14:textId="77777777" w:rsidR="001D2E87" w:rsidRPr="00CE240B" w:rsidRDefault="001D2E87" w:rsidP="002867BC">
      <w:pPr>
        <w:pStyle w:val="ListParagraph"/>
        <w:numPr>
          <w:ilvl w:val="1"/>
          <w:numId w:val="59"/>
        </w:numPr>
        <w:spacing w:before="120" w:after="120"/>
        <w:ind w:right="340"/>
        <w:jc w:val="both"/>
        <w:rPr>
          <w:rFonts w:cs="Arial"/>
          <w:sz w:val="24"/>
        </w:rPr>
      </w:pPr>
      <w:r w:rsidRPr="00CE240B">
        <w:rPr>
          <w:rFonts w:cs="Arial"/>
          <w:sz w:val="24"/>
        </w:rPr>
        <w:t>Explore opportunities to utilise the large field at SNH in a way that promotes biodiversity</w:t>
      </w:r>
    </w:p>
    <w:p w14:paraId="56213555" w14:textId="77777777" w:rsidR="001D2E87" w:rsidRPr="00CE240B" w:rsidRDefault="001D2E87" w:rsidP="00CE240B">
      <w:pPr>
        <w:pStyle w:val="ListParagraph"/>
        <w:ind w:left="2160"/>
        <w:rPr>
          <w:rFonts w:cs="Arial"/>
          <w:sz w:val="24"/>
        </w:rPr>
      </w:pPr>
    </w:p>
    <w:p w14:paraId="5307E6B4" w14:textId="6B56FFDD"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Climate change is posing a risk from weather changes that may impact on the Trusts ability to deliver services, in particular risks from flooding and extreme weather. A detailed site and building adaptation plan </w:t>
      </w:r>
      <w:r w:rsidR="00084AD8" w:rsidRPr="00CE240B">
        <w:rPr>
          <w:rFonts w:cs="Arial"/>
          <w:sz w:val="24"/>
        </w:rPr>
        <w:t>need</w:t>
      </w:r>
      <w:r w:rsidRPr="00CE240B">
        <w:rPr>
          <w:rFonts w:cs="Arial"/>
          <w:sz w:val="24"/>
        </w:rPr>
        <w:t xml:space="preserve"> to be developed to determine what is required to ensure our estate is suitable for use in future years </w:t>
      </w:r>
      <w:proofErr w:type="gramStart"/>
      <w:r w:rsidRPr="00CE240B">
        <w:rPr>
          <w:rFonts w:cs="Arial"/>
          <w:sz w:val="24"/>
        </w:rPr>
        <w:t>as a result of</w:t>
      </w:r>
      <w:proofErr w:type="gramEnd"/>
      <w:r w:rsidRPr="00CE240B">
        <w:rPr>
          <w:rFonts w:cs="Arial"/>
          <w:sz w:val="24"/>
        </w:rPr>
        <w:t xml:space="preserve"> climate change. This should be completed by the end of 2023 and will need to be reviewed on an on-going basis. </w:t>
      </w:r>
    </w:p>
    <w:p w14:paraId="712A65A6" w14:textId="59E4620C" w:rsidR="001D2E87" w:rsidRPr="00CE240B" w:rsidRDefault="001D2E87" w:rsidP="002867BC">
      <w:pPr>
        <w:pStyle w:val="ListParagraph"/>
        <w:numPr>
          <w:ilvl w:val="0"/>
          <w:numId w:val="59"/>
        </w:numPr>
        <w:spacing w:before="120" w:after="120"/>
        <w:ind w:right="340"/>
        <w:jc w:val="both"/>
        <w:rPr>
          <w:rFonts w:cs="Arial"/>
          <w:sz w:val="24"/>
        </w:rPr>
      </w:pPr>
      <w:r w:rsidRPr="00CE240B">
        <w:rPr>
          <w:rFonts w:cs="Arial"/>
          <w:sz w:val="24"/>
        </w:rPr>
        <w:t xml:space="preserve">Invest in the </w:t>
      </w:r>
      <w:r w:rsidR="00084AD8" w:rsidRPr="00CE240B">
        <w:rPr>
          <w:rFonts w:cs="Arial"/>
          <w:sz w:val="24"/>
        </w:rPr>
        <w:t>short-, medium- and long-term</w:t>
      </w:r>
      <w:r w:rsidRPr="00CE240B">
        <w:rPr>
          <w:rFonts w:cs="Arial"/>
          <w:sz w:val="24"/>
        </w:rPr>
        <w:t xml:space="preserve"> adaptation schemes addressing those areas where the risk and need is greatest. Focus will be given to:</w:t>
      </w:r>
    </w:p>
    <w:p w14:paraId="028A7E7B"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Reducing flood risk</w:t>
      </w:r>
    </w:p>
    <w:p w14:paraId="1622DAD3"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 xml:space="preserve">Mitigating against high temperatures in clinical areas without resorting to installing cooling, unless </w:t>
      </w:r>
      <w:proofErr w:type="gramStart"/>
      <w:r w:rsidRPr="00CE240B">
        <w:rPr>
          <w:rFonts w:cs="Arial"/>
          <w:sz w:val="24"/>
        </w:rPr>
        <w:t>absolutely necessary</w:t>
      </w:r>
      <w:proofErr w:type="gramEnd"/>
      <w:r w:rsidRPr="00CE240B">
        <w:rPr>
          <w:rFonts w:cs="Arial"/>
          <w:sz w:val="24"/>
        </w:rPr>
        <w:t xml:space="preserve">. </w:t>
      </w:r>
    </w:p>
    <w:p w14:paraId="40789E5B" w14:textId="77777777" w:rsidR="00650EED" w:rsidRDefault="00650EED" w:rsidP="00CE240B">
      <w:pPr>
        <w:contextualSpacing/>
        <w:rPr>
          <w:rFonts w:cs="Arial"/>
          <w:sz w:val="24"/>
        </w:rPr>
      </w:pPr>
    </w:p>
    <w:p w14:paraId="52319597" w14:textId="341FBBE9" w:rsidR="001D2E87" w:rsidRPr="00CE240B" w:rsidRDefault="001D2E87" w:rsidP="00CE240B">
      <w:pPr>
        <w:contextualSpacing/>
        <w:rPr>
          <w:rFonts w:cs="Arial"/>
          <w:sz w:val="24"/>
        </w:rPr>
      </w:pPr>
      <w:r w:rsidRPr="00CE240B">
        <w:rPr>
          <w:rFonts w:cs="Arial"/>
          <w:sz w:val="24"/>
        </w:rPr>
        <w:t xml:space="preserve">The above </w:t>
      </w:r>
      <w:proofErr w:type="gramStart"/>
      <w:r w:rsidRPr="00CE240B">
        <w:rPr>
          <w:rFonts w:cs="Arial"/>
          <w:sz w:val="24"/>
        </w:rPr>
        <w:t>areas</w:t>
      </w:r>
      <w:proofErr w:type="gramEnd"/>
      <w:r w:rsidRPr="00CE240B">
        <w:rPr>
          <w:rFonts w:cs="Arial"/>
          <w:sz w:val="24"/>
        </w:rPr>
        <w:t xml:space="preserve"> for action is not an exhaustive list and it is acknowledged that there is a lot of work to do in terms of developing a detailed decarbonisation plan. </w:t>
      </w:r>
    </w:p>
    <w:p w14:paraId="53449088" w14:textId="77777777" w:rsidR="001D2E87" w:rsidRPr="00CE240B" w:rsidRDefault="001D2E87" w:rsidP="00CE240B">
      <w:pPr>
        <w:contextualSpacing/>
        <w:rPr>
          <w:rFonts w:cs="Arial"/>
          <w:sz w:val="24"/>
        </w:rPr>
      </w:pPr>
      <w:r w:rsidRPr="00CE240B">
        <w:rPr>
          <w:rFonts w:cs="Arial"/>
          <w:noProof/>
          <w:sz w:val="24"/>
          <w:lang w:eastAsia="en-GB"/>
        </w:rPr>
        <w:drawing>
          <wp:anchor distT="0" distB="0" distL="114300" distR="114300" simplePos="0" relativeHeight="251688960" behindDoc="0" locked="0" layoutInCell="1" allowOverlap="1" wp14:anchorId="771CB4DB" wp14:editId="23533DEE">
            <wp:simplePos x="0" y="0"/>
            <wp:positionH relativeFrom="column">
              <wp:posOffset>1821180</wp:posOffset>
            </wp:positionH>
            <wp:positionV relativeFrom="paragraph">
              <wp:posOffset>101600</wp:posOffset>
            </wp:positionV>
            <wp:extent cx="3615690" cy="2174240"/>
            <wp:effectExtent l="0" t="0" r="381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615690" cy="2174240"/>
                    </a:xfrm>
                    <a:prstGeom prst="rect">
                      <a:avLst/>
                    </a:prstGeom>
                  </pic:spPr>
                </pic:pic>
              </a:graphicData>
            </a:graphic>
            <wp14:sizeRelH relativeFrom="page">
              <wp14:pctWidth>0</wp14:pctWidth>
            </wp14:sizeRelH>
            <wp14:sizeRelV relativeFrom="page">
              <wp14:pctHeight>0</wp14:pctHeight>
            </wp14:sizeRelV>
          </wp:anchor>
        </w:drawing>
      </w:r>
      <w:r w:rsidRPr="00CE240B">
        <w:rPr>
          <w:rFonts w:cs="Arial"/>
          <w:sz w:val="24"/>
        </w:rPr>
        <w:t xml:space="preserve">A capital allocation of </w:t>
      </w:r>
      <w:r w:rsidRPr="00CE240B">
        <w:rPr>
          <w:rFonts w:cs="Arial"/>
          <w:b/>
          <w:sz w:val="24"/>
        </w:rPr>
        <w:t>£1500k per annum</w:t>
      </w:r>
      <w:r w:rsidRPr="00CE240B">
        <w:rPr>
          <w:rFonts w:cs="Arial"/>
          <w:sz w:val="24"/>
        </w:rPr>
        <w:t xml:space="preserve"> from 23/24 onwards has been identified in the capital program. The management of this budget and the prioritisation of schemes will be done via the sustainability, waste and transport committee (SWAT) with oversight on expenditure managed through the Capital Group meeting.</w:t>
      </w:r>
      <w:r w:rsidRPr="00CE240B">
        <w:rPr>
          <w:rFonts w:cs="Arial"/>
          <w:spacing w:val="49"/>
          <w:sz w:val="24"/>
        </w:rPr>
        <w:t xml:space="preserve"> Progress </w:t>
      </w:r>
      <w:r w:rsidRPr="00CE240B">
        <w:rPr>
          <w:rFonts w:cs="Arial"/>
          <w:sz w:val="24"/>
        </w:rPr>
        <w:t xml:space="preserve">on carbon reduction and general </w:t>
      </w:r>
      <w:r w:rsidRPr="00CE240B">
        <w:rPr>
          <w:rFonts w:cs="Arial"/>
          <w:sz w:val="24"/>
        </w:rPr>
        <w:lastRenderedPageBreak/>
        <w:t xml:space="preserve">delivery against the Green Plan will be monitored via Trust Leadership Team </w:t>
      </w:r>
      <w:proofErr w:type="gramStart"/>
      <w:r w:rsidRPr="00CE240B">
        <w:rPr>
          <w:rFonts w:cs="Arial"/>
          <w:sz w:val="24"/>
        </w:rPr>
        <w:t>and also</w:t>
      </w:r>
      <w:proofErr w:type="gramEnd"/>
      <w:r w:rsidRPr="00CE240B">
        <w:rPr>
          <w:rFonts w:cs="Arial"/>
          <w:sz w:val="24"/>
        </w:rPr>
        <w:t xml:space="preserve"> reported to RBAC.</w:t>
      </w:r>
    </w:p>
    <w:p w14:paraId="0869809C" w14:textId="77777777" w:rsidR="001D2E87" w:rsidRPr="00CE240B" w:rsidRDefault="001D2E87" w:rsidP="00CE240B">
      <w:pPr>
        <w:widowControl w:val="0"/>
        <w:ind w:left="720"/>
        <w:contextualSpacing/>
        <w:rPr>
          <w:rFonts w:eastAsia="Calibri" w:cs="Arial"/>
          <w:color w:val="595959"/>
          <w:sz w:val="24"/>
        </w:rPr>
      </w:pPr>
    </w:p>
    <w:p w14:paraId="527793EC" w14:textId="77777777" w:rsidR="001D2E87" w:rsidRPr="00CE240B" w:rsidRDefault="001D2E87" w:rsidP="00CE240B">
      <w:pPr>
        <w:widowControl w:val="0"/>
        <w:ind w:left="720"/>
        <w:contextualSpacing/>
        <w:rPr>
          <w:rFonts w:eastAsia="Calibri" w:cs="Arial"/>
          <w:color w:val="595959"/>
          <w:sz w:val="24"/>
        </w:rPr>
      </w:pPr>
    </w:p>
    <w:p w14:paraId="5072A7DD" w14:textId="77777777" w:rsidR="001D2E87" w:rsidRDefault="001D2E87" w:rsidP="00CE240B">
      <w:pPr>
        <w:contextualSpacing/>
        <w:rPr>
          <w:rFonts w:cs="Arial"/>
          <w:b/>
          <w:color w:val="0070C0"/>
          <w:sz w:val="24"/>
        </w:rPr>
      </w:pPr>
      <w:r w:rsidRPr="002D27B6">
        <w:rPr>
          <w:rFonts w:cs="Arial"/>
          <w:b/>
          <w:color w:val="0070C0"/>
          <w:sz w:val="24"/>
        </w:rPr>
        <w:t>5.3.2</w:t>
      </w:r>
      <w:r w:rsidRPr="002D27B6">
        <w:rPr>
          <w:rFonts w:cs="Arial"/>
          <w:b/>
          <w:color w:val="0070C0"/>
          <w:sz w:val="24"/>
        </w:rPr>
        <w:tab/>
        <w:t>Investment in Condition and Quality and Management of Backlog</w:t>
      </w:r>
    </w:p>
    <w:p w14:paraId="709F8CB9" w14:textId="77777777" w:rsidR="002D27B6" w:rsidRPr="002D27B6" w:rsidRDefault="002D27B6" w:rsidP="00CE240B">
      <w:pPr>
        <w:contextualSpacing/>
        <w:rPr>
          <w:rFonts w:cs="Arial"/>
          <w:b/>
          <w:color w:val="0070C0"/>
          <w:sz w:val="24"/>
        </w:rPr>
      </w:pPr>
    </w:p>
    <w:p w14:paraId="599EAF09" w14:textId="621A84A9" w:rsidR="001D2E87" w:rsidRPr="00CE240B" w:rsidRDefault="001D2E87" w:rsidP="00CE240B">
      <w:pPr>
        <w:contextualSpacing/>
        <w:rPr>
          <w:rFonts w:cs="Arial"/>
          <w:sz w:val="24"/>
        </w:rPr>
      </w:pPr>
      <w:r w:rsidRPr="00CE240B">
        <w:rPr>
          <w:rFonts w:cs="Arial"/>
          <w:sz w:val="24"/>
        </w:rPr>
        <w:t xml:space="preserve">In Section 4 of this strategy, reference is made to the Trusts Strategy and other drivers that emphasise the need to ensure the condition and quality of the Estate is maintained at acceptable levels. This is reinforced by the CQC Fundamental Standards which state that “the places where you receive care and </w:t>
      </w:r>
      <w:r w:rsidR="00084AD8" w:rsidRPr="00CE240B">
        <w:rPr>
          <w:rFonts w:cs="Arial"/>
          <w:sz w:val="24"/>
        </w:rPr>
        <w:t>treatment,</w:t>
      </w:r>
      <w:r w:rsidRPr="00CE240B">
        <w:rPr>
          <w:rFonts w:cs="Arial"/>
          <w:sz w:val="24"/>
        </w:rPr>
        <w:t xml:space="preserve"> and the equipment used in it must be clean, suitable and looked after properly”. </w:t>
      </w:r>
    </w:p>
    <w:p w14:paraId="6D0F6010" w14:textId="77777777" w:rsidR="00650EED" w:rsidRDefault="00650EED" w:rsidP="00CE240B">
      <w:pPr>
        <w:contextualSpacing/>
        <w:rPr>
          <w:rFonts w:cs="Arial"/>
          <w:sz w:val="24"/>
        </w:rPr>
      </w:pPr>
    </w:p>
    <w:p w14:paraId="37ADDFBC" w14:textId="3E2BEFD1" w:rsidR="001D2E87" w:rsidRPr="00CE240B" w:rsidRDefault="001D2E87" w:rsidP="00CE240B">
      <w:pPr>
        <w:contextualSpacing/>
        <w:rPr>
          <w:rFonts w:cs="Arial"/>
          <w:sz w:val="24"/>
        </w:rPr>
      </w:pPr>
      <w:r w:rsidRPr="00CE240B">
        <w:rPr>
          <w:rFonts w:cs="Arial"/>
          <w:sz w:val="24"/>
        </w:rPr>
        <w:t xml:space="preserve">Over the last 17 years the Trust has invested substantially in improving the estate and eradicating areas of poor condition and quality, however as the Estate ages it is necessary to maintain investment to ensure standards are maintained. Section 3 of this strategy identifies through elements of the </w:t>
      </w:r>
      <w:r w:rsidR="00084AD8" w:rsidRPr="00CE240B">
        <w:rPr>
          <w:rFonts w:cs="Arial"/>
          <w:sz w:val="24"/>
        </w:rPr>
        <w:t>six-facet</w:t>
      </w:r>
      <w:r w:rsidRPr="00CE240B">
        <w:rPr>
          <w:rFonts w:cs="Arial"/>
          <w:sz w:val="24"/>
        </w:rPr>
        <w:t xml:space="preserve"> survey and the PLACE inspections that there are pockets of estate where standards could be improved.</w:t>
      </w:r>
    </w:p>
    <w:p w14:paraId="536B5CD2" w14:textId="77777777" w:rsidR="00650EED" w:rsidRDefault="00650EED" w:rsidP="00CE240B">
      <w:pPr>
        <w:contextualSpacing/>
        <w:rPr>
          <w:rFonts w:cs="Arial"/>
          <w:sz w:val="24"/>
        </w:rPr>
      </w:pPr>
    </w:p>
    <w:p w14:paraId="246D059E" w14:textId="01E543EC" w:rsidR="001D2E87" w:rsidRPr="00CE240B" w:rsidRDefault="001D2E87" w:rsidP="00CE240B">
      <w:pPr>
        <w:contextualSpacing/>
        <w:rPr>
          <w:rFonts w:cs="Arial"/>
          <w:sz w:val="24"/>
        </w:rPr>
      </w:pPr>
      <w:r w:rsidRPr="00CE240B">
        <w:rPr>
          <w:rFonts w:cs="Arial"/>
          <w:sz w:val="24"/>
        </w:rPr>
        <w:t xml:space="preserve">The backlog maintenance position is intrinsically linked to poor quality estate. The Trust has managed its backlog position over the last 17 years primarily through asset replacement supported by a targeted investment program. This Strategy has been usefully employed by the Trust for </w:t>
      </w:r>
      <w:proofErr w:type="gramStart"/>
      <w:r w:rsidRPr="00CE240B">
        <w:rPr>
          <w:rFonts w:cs="Arial"/>
          <w:sz w:val="24"/>
        </w:rPr>
        <w:t>a number of</w:t>
      </w:r>
      <w:proofErr w:type="gramEnd"/>
      <w:r w:rsidRPr="00CE240B">
        <w:rPr>
          <w:rFonts w:cs="Arial"/>
          <w:sz w:val="24"/>
        </w:rPr>
        <w:t xml:space="preserve"> years for example the replacement of St Georges, Hunters Moor, Prudhoe and Cherry Knowle Hospitals and more recently with the development at Northgate Hospital.</w:t>
      </w:r>
    </w:p>
    <w:p w14:paraId="759474E4" w14:textId="77777777" w:rsidR="00650EED" w:rsidRDefault="00650EED" w:rsidP="00CE240B">
      <w:pPr>
        <w:contextualSpacing/>
        <w:rPr>
          <w:rFonts w:cs="Arial"/>
          <w:sz w:val="24"/>
        </w:rPr>
      </w:pPr>
    </w:p>
    <w:p w14:paraId="057D3B78" w14:textId="36586624" w:rsidR="001D2E87" w:rsidRPr="00CE240B" w:rsidRDefault="001D2E87" w:rsidP="00CE240B">
      <w:pPr>
        <w:contextualSpacing/>
        <w:rPr>
          <w:rFonts w:cs="Arial"/>
          <w:sz w:val="24"/>
        </w:rPr>
      </w:pPr>
      <w:r w:rsidRPr="00CE240B">
        <w:rPr>
          <w:rFonts w:cs="Arial"/>
          <w:sz w:val="24"/>
        </w:rPr>
        <w:t xml:space="preserve">Currently the main pockets of backlog maintenance have been at Northgate and Monkwearmouth </w:t>
      </w:r>
      <w:r w:rsidR="00084AD8" w:rsidRPr="00CE240B">
        <w:rPr>
          <w:rFonts w:cs="Arial"/>
          <w:sz w:val="24"/>
        </w:rPr>
        <w:t>Hospitals,</w:t>
      </w:r>
      <w:r w:rsidRPr="00CE240B">
        <w:rPr>
          <w:rFonts w:cs="Arial"/>
          <w:sz w:val="24"/>
        </w:rPr>
        <w:t xml:space="preserve"> and this </w:t>
      </w:r>
      <w:r w:rsidR="00084AD8" w:rsidRPr="00CE240B">
        <w:rPr>
          <w:rFonts w:cs="Arial"/>
          <w:sz w:val="24"/>
        </w:rPr>
        <w:t>has been</w:t>
      </w:r>
      <w:r w:rsidRPr="00CE240B">
        <w:rPr>
          <w:rFonts w:cs="Arial"/>
          <w:sz w:val="24"/>
        </w:rPr>
        <w:t xml:space="preserve"> addressed through the current investment program. There are a small number of assets that account for </w:t>
      </w:r>
      <w:proofErr w:type="gramStart"/>
      <w:r w:rsidRPr="00CE240B">
        <w:rPr>
          <w:rFonts w:cs="Arial"/>
          <w:sz w:val="24"/>
        </w:rPr>
        <w:t>the majority of</w:t>
      </w:r>
      <w:proofErr w:type="gramEnd"/>
      <w:r w:rsidRPr="00CE240B">
        <w:rPr>
          <w:rFonts w:cs="Arial"/>
          <w:sz w:val="24"/>
        </w:rPr>
        <w:t xml:space="preserve"> the backlog </w:t>
      </w:r>
      <w:r w:rsidR="00084AD8" w:rsidRPr="00CE240B">
        <w:rPr>
          <w:rFonts w:cs="Arial"/>
          <w:sz w:val="24"/>
        </w:rPr>
        <w:t>position,</w:t>
      </w:r>
      <w:r w:rsidRPr="00CE240B">
        <w:rPr>
          <w:rFonts w:cs="Arial"/>
          <w:sz w:val="24"/>
        </w:rPr>
        <w:t xml:space="preserve"> and these </w:t>
      </w:r>
      <w:r w:rsidR="00084AD8" w:rsidRPr="00CE240B">
        <w:rPr>
          <w:rFonts w:cs="Arial"/>
          <w:sz w:val="24"/>
        </w:rPr>
        <w:t>include</w:t>
      </w:r>
      <w:r w:rsidRPr="00CE240B">
        <w:rPr>
          <w:rFonts w:cs="Arial"/>
          <w:sz w:val="24"/>
        </w:rPr>
        <w:t xml:space="preserve"> site steam infrastructure at SNH, Collingwood Court at SNH, Meadow View and Wellfield Clinic at Hopewood Park, Carleton Clinic and Portland Square in Carlisle.</w:t>
      </w:r>
    </w:p>
    <w:p w14:paraId="72A33934" w14:textId="77777777" w:rsidR="00650EED" w:rsidRDefault="00650EED" w:rsidP="00CE240B">
      <w:pPr>
        <w:contextualSpacing/>
        <w:rPr>
          <w:rFonts w:cs="Arial"/>
          <w:sz w:val="24"/>
        </w:rPr>
      </w:pPr>
    </w:p>
    <w:p w14:paraId="305F1F7F" w14:textId="5B554E21" w:rsidR="001D2E87" w:rsidRPr="00CE240B" w:rsidRDefault="001D2E87" w:rsidP="00CE240B">
      <w:pPr>
        <w:contextualSpacing/>
        <w:rPr>
          <w:rFonts w:cs="Arial"/>
          <w:sz w:val="24"/>
        </w:rPr>
      </w:pPr>
      <w:r w:rsidRPr="00CE240B">
        <w:rPr>
          <w:rFonts w:cs="Arial"/>
          <w:sz w:val="24"/>
        </w:rPr>
        <w:t xml:space="preserve">Without investment the backlog maintenance position will continue to grow year on year, increasing operational risks and leading to a decrease in the quality of the estate. </w:t>
      </w:r>
      <w:proofErr w:type="gramStart"/>
      <w:r w:rsidRPr="00CE240B">
        <w:rPr>
          <w:rFonts w:cs="Arial"/>
          <w:sz w:val="24"/>
        </w:rPr>
        <w:t>In order to</w:t>
      </w:r>
      <w:proofErr w:type="gramEnd"/>
      <w:r w:rsidRPr="00CE240B">
        <w:rPr>
          <w:rFonts w:cs="Arial"/>
          <w:sz w:val="24"/>
        </w:rPr>
        <w:t xml:space="preserve"> address the backlog maintenance position a targeted approach of investment is required over the next 5 years and an allowance of </w:t>
      </w:r>
      <w:r w:rsidRPr="00CE240B">
        <w:rPr>
          <w:rFonts w:cs="Arial"/>
          <w:b/>
          <w:sz w:val="24"/>
        </w:rPr>
        <w:t>£0.5m/annum</w:t>
      </w:r>
      <w:r w:rsidRPr="00CE240B">
        <w:rPr>
          <w:rFonts w:cs="Arial"/>
          <w:sz w:val="24"/>
        </w:rPr>
        <w:t xml:space="preserve"> has been made in the capital program. In future years, as assets begin to age, the requirement to invest in asset replacement will grow and appropriate capital allocation will be required to prevent the backlog position growing.</w:t>
      </w:r>
    </w:p>
    <w:p w14:paraId="0EE0AE5E" w14:textId="77777777" w:rsidR="00650EED" w:rsidRDefault="00650EED" w:rsidP="00CE240B">
      <w:pPr>
        <w:contextualSpacing/>
        <w:rPr>
          <w:rFonts w:cs="Arial"/>
          <w:sz w:val="24"/>
        </w:rPr>
      </w:pPr>
    </w:p>
    <w:p w14:paraId="4C4807C1" w14:textId="7AD66B56" w:rsidR="001D2E87" w:rsidRPr="00CE240B" w:rsidRDefault="001D2E87" w:rsidP="00CE240B">
      <w:pPr>
        <w:contextualSpacing/>
        <w:rPr>
          <w:rFonts w:cs="Arial"/>
          <w:b/>
          <w:sz w:val="24"/>
        </w:rPr>
      </w:pPr>
      <w:proofErr w:type="gramStart"/>
      <w:r w:rsidRPr="00CE240B">
        <w:rPr>
          <w:rFonts w:cs="Arial"/>
          <w:sz w:val="24"/>
        </w:rPr>
        <w:t>In order to</w:t>
      </w:r>
      <w:proofErr w:type="gramEnd"/>
      <w:r w:rsidRPr="00CE240B">
        <w:rPr>
          <w:rFonts w:cs="Arial"/>
          <w:sz w:val="24"/>
        </w:rPr>
        <w:t xml:space="preserve"> maximise value from the capital available, the Estates Department will submit annual plans for approval by the Trust for specific investment in backlog maintenance schemes.  </w:t>
      </w:r>
    </w:p>
    <w:p w14:paraId="4F35678E" w14:textId="77777777" w:rsidR="00650EED" w:rsidRPr="002D27B6" w:rsidRDefault="00650EED" w:rsidP="00650EED">
      <w:pPr>
        <w:contextualSpacing/>
        <w:rPr>
          <w:rFonts w:cs="Arial"/>
          <w:b/>
          <w:color w:val="0070C0"/>
          <w:sz w:val="24"/>
        </w:rPr>
      </w:pPr>
    </w:p>
    <w:p w14:paraId="025E4EEF" w14:textId="5C8E03D2" w:rsidR="001D2E87" w:rsidRPr="002D27B6" w:rsidRDefault="001D2E87" w:rsidP="00650EED">
      <w:pPr>
        <w:contextualSpacing/>
        <w:rPr>
          <w:rFonts w:cs="Arial"/>
          <w:b/>
          <w:color w:val="0070C0"/>
          <w:sz w:val="24"/>
        </w:rPr>
      </w:pPr>
      <w:r w:rsidRPr="002D27B6">
        <w:rPr>
          <w:rFonts w:cs="Arial"/>
          <w:b/>
          <w:color w:val="0070C0"/>
          <w:sz w:val="24"/>
        </w:rPr>
        <w:t>What needs to be done and when?</w:t>
      </w:r>
    </w:p>
    <w:p w14:paraId="7706D5CD" w14:textId="77777777"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Continued investment across the whole Estate to ensure those areas that are currently rated in condition C/D are managed to ensure their condition is maintained to those standards and does not deteriorate – this is a continuous process</w:t>
      </w:r>
    </w:p>
    <w:p w14:paraId="5C451568" w14:textId="4F0BC9F1"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Invest in the </w:t>
      </w:r>
      <w:r w:rsidR="00084AD8" w:rsidRPr="00CE240B">
        <w:rPr>
          <w:rFonts w:cs="Arial"/>
          <w:sz w:val="24"/>
        </w:rPr>
        <w:t>short-, medium- and long-term</w:t>
      </w:r>
      <w:r w:rsidRPr="00CE240B">
        <w:rPr>
          <w:rFonts w:cs="Arial"/>
          <w:sz w:val="24"/>
        </w:rPr>
        <w:t xml:space="preserve"> schemes addressing those areas where improvements can be made within the capital allocation.</w:t>
      </w:r>
    </w:p>
    <w:p w14:paraId="615311F8" w14:textId="77777777"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Target investment in backlog maintenance reduction </w:t>
      </w:r>
    </w:p>
    <w:p w14:paraId="7E39C514" w14:textId="77777777" w:rsidR="00650EED" w:rsidRDefault="00650EED" w:rsidP="00CE240B">
      <w:pPr>
        <w:contextualSpacing/>
        <w:rPr>
          <w:rFonts w:cs="Arial"/>
          <w:sz w:val="24"/>
        </w:rPr>
      </w:pPr>
    </w:p>
    <w:p w14:paraId="4AE5331B" w14:textId="63627E95" w:rsidR="001D2E87" w:rsidRDefault="001D2E87" w:rsidP="00CE240B">
      <w:pPr>
        <w:contextualSpacing/>
        <w:rPr>
          <w:rFonts w:cs="Arial"/>
          <w:sz w:val="24"/>
        </w:rPr>
      </w:pPr>
      <w:r w:rsidRPr="00CE240B">
        <w:rPr>
          <w:rFonts w:cs="Arial"/>
          <w:sz w:val="24"/>
        </w:rPr>
        <w:lastRenderedPageBreak/>
        <w:t xml:space="preserve">A capital allocation of </w:t>
      </w:r>
      <w:r w:rsidRPr="00CE240B">
        <w:rPr>
          <w:rFonts w:cs="Arial"/>
          <w:b/>
          <w:sz w:val="24"/>
        </w:rPr>
        <w:t>£1.2M per annum</w:t>
      </w:r>
      <w:r w:rsidRPr="00CE240B">
        <w:rPr>
          <w:rFonts w:cs="Arial"/>
          <w:sz w:val="24"/>
        </w:rPr>
        <w:t xml:space="preserve"> from 23/24 onwards has been identified in the capital program for minor schemes under £25k, refurbishment of patient and non-inpatient areas. The management of this budget will be via the Capital Management Group. A further </w:t>
      </w:r>
      <w:r w:rsidRPr="00CE240B">
        <w:rPr>
          <w:rFonts w:cs="Arial"/>
          <w:b/>
          <w:sz w:val="24"/>
        </w:rPr>
        <w:t>£0.5M per annum</w:t>
      </w:r>
      <w:r w:rsidRPr="00CE240B">
        <w:rPr>
          <w:rFonts w:cs="Arial"/>
          <w:sz w:val="24"/>
        </w:rPr>
        <w:t xml:space="preserve"> from 23/24 onwards has been identified in the capital program for backlog maintenance. The management of this budget will be via NTWS and reported into the Capital Management Group. </w:t>
      </w:r>
    </w:p>
    <w:p w14:paraId="549F032D" w14:textId="77777777" w:rsidR="002867BC" w:rsidRDefault="002867BC" w:rsidP="00CE240B">
      <w:pPr>
        <w:contextualSpacing/>
        <w:rPr>
          <w:rFonts w:cs="Arial"/>
          <w:sz w:val="24"/>
        </w:rPr>
      </w:pPr>
    </w:p>
    <w:p w14:paraId="55E66EBF" w14:textId="77777777" w:rsidR="001D2E87" w:rsidRPr="002D27B6" w:rsidRDefault="001D2E87" w:rsidP="002867BC">
      <w:pPr>
        <w:pStyle w:val="ListParagraph"/>
        <w:numPr>
          <w:ilvl w:val="2"/>
          <w:numId w:val="60"/>
        </w:numPr>
        <w:spacing w:before="120" w:after="120"/>
        <w:ind w:left="0" w:right="340" w:firstLine="0"/>
        <w:jc w:val="both"/>
        <w:rPr>
          <w:rFonts w:cs="Arial"/>
          <w:b/>
          <w:color w:val="0070C0"/>
          <w:sz w:val="24"/>
        </w:rPr>
      </w:pPr>
      <w:r w:rsidRPr="002D27B6">
        <w:rPr>
          <w:rFonts w:cs="Arial"/>
          <w:b/>
          <w:color w:val="0070C0"/>
          <w:sz w:val="24"/>
        </w:rPr>
        <w:t>Investment in Patient Safety</w:t>
      </w:r>
    </w:p>
    <w:p w14:paraId="04336A5C" w14:textId="23C990BD" w:rsidR="001D2E87" w:rsidRPr="00CE240B" w:rsidRDefault="001D2E87" w:rsidP="00CE240B">
      <w:pPr>
        <w:widowControl w:val="0"/>
        <w:contextualSpacing/>
        <w:rPr>
          <w:rFonts w:cs="Arial"/>
          <w:sz w:val="24"/>
        </w:rPr>
      </w:pPr>
      <w:r w:rsidRPr="00CE240B">
        <w:rPr>
          <w:rFonts w:cs="Arial"/>
          <w:sz w:val="24"/>
        </w:rPr>
        <w:t xml:space="preserve">In section 4 of this strategy document the case for prioritising patient safety is made clear. The Trust needs to provide facilities that are safe and minimise the opportunity for harm to be caused and Facilities need to comply with legislation and CQC requirements. There are currently </w:t>
      </w:r>
      <w:proofErr w:type="gramStart"/>
      <w:r w:rsidRPr="00CE240B">
        <w:rPr>
          <w:rFonts w:cs="Arial"/>
          <w:sz w:val="24"/>
        </w:rPr>
        <w:t>a number of</w:t>
      </w:r>
      <w:proofErr w:type="gramEnd"/>
      <w:r w:rsidRPr="00CE240B">
        <w:rPr>
          <w:rFonts w:cs="Arial"/>
          <w:sz w:val="24"/>
        </w:rPr>
        <w:t xml:space="preserve"> schemes that are in </w:t>
      </w:r>
      <w:r w:rsidR="00084AD8" w:rsidRPr="00CE240B">
        <w:rPr>
          <w:rFonts w:cs="Arial"/>
          <w:sz w:val="24"/>
        </w:rPr>
        <w:t>progress</w:t>
      </w:r>
      <w:r w:rsidR="000B3950">
        <w:rPr>
          <w:rFonts w:cs="Arial"/>
          <w:sz w:val="24"/>
        </w:rPr>
        <w:t xml:space="preserve"> listed </w:t>
      </w:r>
      <w:r w:rsidRPr="00CE240B">
        <w:rPr>
          <w:rFonts w:cs="Arial"/>
          <w:sz w:val="24"/>
        </w:rPr>
        <w:t>in the section below.</w:t>
      </w:r>
    </w:p>
    <w:p w14:paraId="59C7EA68" w14:textId="77777777" w:rsidR="002867BC" w:rsidRDefault="002867BC" w:rsidP="00CE240B">
      <w:pPr>
        <w:widowControl w:val="0"/>
        <w:ind w:left="720"/>
        <w:contextualSpacing/>
        <w:rPr>
          <w:rFonts w:cs="Arial"/>
          <w:b/>
          <w:sz w:val="24"/>
        </w:rPr>
      </w:pPr>
    </w:p>
    <w:p w14:paraId="4383FE26" w14:textId="5A646D74" w:rsidR="001D2E87" w:rsidRPr="002D27B6" w:rsidRDefault="001D2E87" w:rsidP="002867BC">
      <w:pPr>
        <w:widowControl w:val="0"/>
        <w:contextualSpacing/>
        <w:rPr>
          <w:rFonts w:cs="Arial"/>
          <w:b/>
          <w:color w:val="0070C0"/>
          <w:sz w:val="24"/>
        </w:rPr>
      </w:pPr>
      <w:r w:rsidRPr="002D27B6">
        <w:rPr>
          <w:rFonts w:cs="Arial"/>
          <w:b/>
          <w:color w:val="0070C0"/>
          <w:sz w:val="24"/>
        </w:rPr>
        <w:t>What needs to be done and when?</w:t>
      </w:r>
    </w:p>
    <w:p w14:paraId="39B9D085" w14:textId="77777777"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Continued investment across the whole Estate to ensure those areas that are currently rated as safe are maintained to those standards, this is a continuous process</w:t>
      </w:r>
    </w:p>
    <w:p w14:paraId="28815A8E" w14:textId="397FD984" w:rsidR="001D2E87" w:rsidRPr="00CE240B" w:rsidRDefault="001D2E87" w:rsidP="002867BC">
      <w:pPr>
        <w:pStyle w:val="ListParagraph"/>
        <w:widowControl w:val="0"/>
        <w:numPr>
          <w:ilvl w:val="0"/>
          <w:numId w:val="59"/>
        </w:numPr>
        <w:spacing w:before="120"/>
        <w:ind w:right="340"/>
        <w:jc w:val="both"/>
        <w:rPr>
          <w:rFonts w:cs="Arial"/>
          <w:sz w:val="24"/>
        </w:rPr>
      </w:pPr>
      <w:r w:rsidRPr="00CE240B">
        <w:rPr>
          <w:rFonts w:cs="Arial"/>
          <w:sz w:val="24"/>
        </w:rPr>
        <w:t xml:space="preserve">Invest in the </w:t>
      </w:r>
      <w:r w:rsidR="00084AD8" w:rsidRPr="00CE240B">
        <w:rPr>
          <w:rFonts w:cs="Arial"/>
          <w:sz w:val="24"/>
        </w:rPr>
        <w:t>short-, medium- and long-term</w:t>
      </w:r>
      <w:r w:rsidRPr="00CE240B">
        <w:rPr>
          <w:rFonts w:cs="Arial"/>
          <w:sz w:val="24"/>
        </w:rPr>
        <w:t xml:space="preserve"> schemes, addressing those areas where safety can be enhanced, </w:t>
      </w:r>
      <w:proofErr w:type="gramStart"/>
      <w:r w:rsidRPr="00CE240B">
        <w:rPr>
          <w:rFonts w:cs="Arial"/>
          <w:sz w:val="24"/>
        </w:rPr>
        <w:t>a number of</w:t>
      </w:r>
      <w:proofErr w:type="gramEnd"/>
      <w:r w:rsidRPr="00CE240B">
        <w:rPr>
          <w:rFonts w:cs="Arial"/>
          <w:sz w:val="24"/>
        </w:rPr>
        <w:t xml:space="preserve"> schemes are underway and other safety improvements have been </w:t>
      </w:r>
      <w:proofErr w:type="gramStart"/>
      <w:r w:rsidRPr="00CE240B">
        <w:rPr>
          <w:rFonts w:cs="Arial"/>
          <w:sz w:val="24"/>
        </w:rPr>
        <w:t>identified, in particular</w:t>
      </w:r>
      <w:proofErr w:type="gramEnd"/>
      <w:r w:rsidRPr="00CE240B">
        <w:rPr>
          <w:rFonts w:cs="Arial"/>
          <w:sz w:val="24"/>
        </w:rPr>
        <w:t>:</w:t>
      </w:r>
    </w:p>
    <w:p w14:paraId="057BC412"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 xml:space="preserve">Replace en-suite doors within inpatient wards that are deemed to present a ligature risk to that patient group. This will require circa 500 en-suite doors to be replaced. This work is included in the current capital program and will be completed in the 23/24 FY. </w:t>
      </w:r>
    </w:p>
    <w:p w14:paraId="781D88C7"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 xml:space="preserve">Extend the roll out of nurse call systems to those wards where it is deemed necessary affecting around 500 beds. This work is in part included in the current capital program. </w:t>
      </w:r>
    </w:p>
    <w:p w14:paraId="20153ADF" w14:textId="77777777" w:rsidR="001D2E87" w:rsidRPr="00CE240B" w:rsidRDefault="001D2E87" w:rsidP="002867BC">
      <w:pPr>
        <w:pStyle w:val="ListParagraph"/>
        <w:widowControl w:val="0"/>
        <w:numPr>
          <w:ilvl w:val="1"/>
          <w:numId w:val="59"/>
        </w:numPr>
        <w:spacing w:before="120"/>
        <w:ind w:right="340"/>
        <w:jc w:val="both"/>
        <w:rPr>
          <w:rFonts w:cs="Arial"/>
          <w:sz w:val="24"/>
        </w:rPr>
      </w:pPr>
      <w:r w:rsidRPr="00CE240B">
        <w:rPr>
          <w:rFonts w:cs="Arial"/>
          <w:sz w:val="24"/>
        </w:rPr>
        <w:t>Extend the roll out of CCTV on wards and grounds. This will cost circa £1.6M plus an on-going revenue. There is an on-going capital allocation to address CCTV needs.</w:t>
      </w:r>
    </w:p>
    <w:p w14:paraId="69804B29"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Standardise the seclusion rooms to increase the robustness of the building fabric.  This will affect 37 seclusion rooms at a cost of circa £1.8M</w:t>
      </w:r>
    </w:p>
    <w:p w14:paraId="79D04F0A" w14:textId="663D2D56"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Roll out Ox</w:t>
      </w:r>
      <w:r w:rsidR="002D27B6">
        <w:rPr>
          <w:rFonts w:cs="Arial"/>
          <w:sz w:val="24"/>
        </w:rPr>
        <w:t>e</w:t>
      </w:r>
      <w:r w:rsidRPr="00CE240B">
        <w:rPr>
          <w:rFonts w:cs="Arial"/>
          <w:sz w:val="24"/>
        </w:rPr>
        <w:t>health. For 600 bedrooms this will cost circa £850k plus an on-going revenue. This work is included in the current capital program and will be completed in the 23/24 FY.</w:t>
      </w:r>
    </w:p>
    <w:p w14:paraId="47752918"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Metal detection to all wards and S136 Suites. This will cost circa £700k. This work is included in the current capital program and will be completed in the 23/24 FY.</w:t>
      </w:r>
    </w:p>
    <w:p w14:paraId="74B65E4C"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 xml:space="preserve">Standardise wash hand basins in en-suite areas to remove a potential ligature issue associated with the drain size – cost circa £500k </w:t>
      </w:r>
    </w:p>
    <w:p w14:paraId="134C8EFC"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Safe window design – to install circa 300 windows to create a safer solution – cost circa £1M</w:t>
      </w:r>
    </w:p>
    <w:p w14:paraId="7B16194F"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 xml:space="preserve">Standardise staff attack systems to one system </w:t>
      </w:r>
      <w:proofErr w:type="gramStart"/>
      <w:r w:rsidRPr="00CE240B">
        <w:rPr>
          <w:rFonts w:cs="Arial"/>
          <w:sz w:val="24"/>
        </w:rPr>
        <w:t>in order to</w:t>
      </w:r>
      <w:proofErr w:type="gramEnd"/>
      <w:r w:rsidRPr="00CE240B">
        <w:rPr>
          <w:rFonts w:cs="Arial"/>
          <w:sz w:val="24"/>
        </w:rPr>
        <w:t xml:space="preserve"> improve operational reliability and safety, cost circa £300k</w:t>
      </w:r>
    </w:p>
    <w:p w14:paraId="19D5DBA5" w14:textId="77777777" w:rsidR="001D2E87" w:rsidRPr="00CE240B" w:rsidRDefault="001D2E87" w:rsidP="002867BC">
      <w:pPr>
        <w:pStyle w:val="ListParagraph"/>
        <w:widowControl w:val="0"/>
        <w:numPr>
          <w:ilvl w:val="1"/>
          <w:numId w:val="59"/>
        </w:numPr>
        <w:spacing w:before="120"/>
        <w:ind w:right="340"/>
        <w:jc w:val="both"/>
        <w:rPr>
          <w:rFonts w:cs="Arial"/>
          <w:b/>
          <w:sz w:val="24"/>
        </w:rPr>
      </w:pPr>
      <w:r w:rsidRPr="00CE240B">
        <w:rPr>
          <w:rFonts w:cs="Arial"/>
          <w:sz w:val="24"/>
        </w:rPr>
        <w:t xml:space="preserve">Review access control systems with the aim of improving operational reliability, increasing access and reducing impact of lost keys,  </w:t>
      </w:r>
    </w:p>
    <w:p w14:paraId="5CE761AD" w14:textId="77777777" w:rsidR="002867BC" w:rsidRDefault="002867BC" w:rsidP="00CE240B">
      <w:pPr>
        <w:contextualSpacing/>
        <w:rPr>
          <w:rFonts w:cs="Arial"/>
          <w:sz w:val="24"/>
        </w:rPr>
      </w:pPr>
    </w:p>
    <w:p w14:paraId="3C580ACE" w14:textId="65788DDE" w:rsidR="001D2E87" w:rsidRPr="00CE240B" w:rsidRDefault="001D2E87" w:rsidP="00CE240B">
      <w:pPr>
        <w:contextualSpacing/>
        <w:rPr>
          <w:rFonts w:cs="Arial"/>
          <w:sz w:val="24"/>
        </w:rPr>
      </w:pPr>
      <w:r w:rsidRPr="00CE240B">
        <w:rPr>
          <w:rFonts w:cs="Arial"/>
          <w:sz w:val="24"/>
        </w:rPr>
        <w:lastRenderedPageBreak/>
        <w:t xml:space="preserve">The above list is not exhaustive, it is also the case that safety improvements can be identified following inspections, learning from incidents and the availability of new technology. </w:t>
      </w:r>
    </w:p>
    <w:p w14:paraId="5FBAC826" w14:textId="77777777" w:rsidR="002867BC" w:rsidRDefault="002867BC" w:rsidP="00CE240B">
      <w:pPr>
        <w:contextualSpacing/>
        <w:rPr>
          <w:rFonts w:cs="Arial"/>
          <w:sz w:val="24"/>
        </w:rPr>
      </w:pPr>
    </w:p>
    <w:p w14:paraId="18A34DB7" w14:textId="339B167F" w:rsidR="001D2E87" w:rsidRPr="00CE240B" w:rsidRDefault="001D2E87" w:rsidP="00CE240B">
      <w:pPr>
        <w:contextualSpacing/>
        <w:rPr>
          <w:rFonts w:cs="Arial"/>
          <w:sz w:val="24"/>
        </w:rPr>
      </w:pPr>
      <w:r w:rsidRPr="00CE240B">
        <w:rPr>
          <w:rFonts w:cs="Arial"/>
          <w:sz w:val="24"/>
        </w:rPr>
        <w:t xml:space="preserve">A capital allocation of </w:t>
      </w:r>
      <w:r w:rsidRPr="00CE240B">
        <w:rPr>
          <w:rFonts w:cs="Arial"/>
          <w:b/>
          <w:sz w:val="24"/>
        </w:rPr>
        <w:t>£800k</w:t>
      </w:r>
      <w:r w:rsidRPr="00CE240B">
        <w:rPr>
          <w:rFonts w:cs="Arial"/>
          <w:sz w:val="24"/>
        </w:rPr>
        <w:t xml:space="preserve"> per annum from 23/24 onwards has been identified in the capital program. The management of this budget and the prioritisation of schemes will be done via the Clinical Environmental Safety Group with the work undertaken by NTWS.</w:t>
      </w:r>
    </w:p>
    <w:p w14:paraId="78F870EE" w14:textId="77777777" w:rsidR="002867BC" w:rsidRDefault="002867BC" w:rsidP="00CE240B">
      <w:pPr>
        <w:contextualSpacing/>
        <w:rPr>
          <w:rFonts w:cs="Arial"/>
          <w:b/>
          <w:sz w:val="24"/>
        </w:rPr>
      </w:pPr>
    </w:p>
    <w:p w14:paraId="4BE926E4" w14:textId="1B9D349F" w:rsidR="001D2E87" w:rsidRDefault="001D2E87" w:rsidP="00CE240B">
      <w:pPr>
        <w:contextualSpacing/>
        <w:rPr>
          <w:rFonts w:cs="Arial"/>
          <w:b/>
          <w:color w:val="0070C0"/>
          <w:sz w:val="24"/>
        </w:rPr>
      </w:pPr>
      <w:r w:rsidRPr="002D27B6">
        <w:rPr>
          <w:rFonts w:cs="Arial"/>
          <w:b/>
          <w:color w:val="0070C0"/>
          <w:sz w:val="24"/>
        </w:rPr>
        <w:t>5.3.4</w:t>
      </w:r>
      <w:r w:rsidRPr="002D27B6">
        <w:rPr>
          <w:rFonts w:cs="Arial"/>
          <w:b/>
          <w:color w:val="0070C0"/>
          <w:sz w:val="24"/>
        </w:rPr>
        <w:tab/>
        <w:t>Supporting Service Delivery (Funded and Unfunded Schemes)</w:t>
      </w:r>
    </w:p>
    <w:p w14:paraId="47C05BEE" w14:textId="77777777" w:rsidR="002D27B6" w:rsidRPr="002D27B6" w:rsidRDefault="002D27B6" w:rsidP="00CE240B">
      <w:pPr>
        <w:contextualSpacing/>
        <w:rPr>
          <w:rFonts w:cs="Arial"/>
          <w:b/>
          <w:color w:val="0070C0"/>
          <w:sz w:val="24"/>
        </w:rPr>
      </w:pPr>
    </w:p>
    <w:p w14:paraId="4A85E89F" w14:textId="44F29EC8" w:rsidR="001D2E87" w:rsidRDefault="001D2E87" w:rsidP="00CE240B">
      <w:pPr>
        <w:widowControl w:val="0"/>
        <w:contextualSpacing/>
        <w:rPr>
          <w:rFonts w:cs="Arial"/>
          <w:sz w:val="24"/>
        </w:rPr>
      </w:pPr>
      <w:r w:rsidRPr="00CE240B">
        <w:rPr>
          <w:rFonts w:cs="Arial"/>
          <w:sz w:val="24"/>
        </w:rPr>
        <w:t xml:space="preserve">In section 4 of this strategy the case for supporting service delivery is clear. The Trust needs to provide facilities that functionally suitable and in the right location </w:t>
      </w:r>
      <w:proofErr w:type="gramStart"/>
      <w:r w:rsidRPr="00CE240B">
        <w:rPr>
          <w:rFonts w:cs="Arial"/>
          <w:sz w:val="24"/>
        </w:rPr>
        <w:t>in order to</w:t>
      </w:r>
      <w:proofErr w:type="gramEnd"/>
      <w:r w:rsidRPr="00CE240B">
        <w:rPr>
          <w:rFonts w:cs="Arial"/>
          <w:sz w:val="24"/>
        </w:rPr>
        <w:t xml:space="preserve"> provide an efficient and </w:t>
      </w:r>
      <w:r w:rsidR="002D27B6" w:rsidRPr="00CE240B">
        <w:rPr>
          <w:rFonts w:cs="Arial"/>
          <w:sz w:val="24"/>
        </w:rPr>
        <w:t>high-quality</w:t>
      </w:r>
      <w:r w:rsidRPr="00CE240B">
        <w:rPr>
          <w:rFonts w:cs="Arial"/>
          <w:sz w:val="24"/>
        </w:rPr>
        <w:t xml:space="preserve"> service. There are currently </w:t>
      </w:r>
      <w:proofErr w:type="gramStart"/>
      <w:r w:rsidRPr="00CE240B">
        <w:rPr>
          <w:rFonts w:cs="Arial"/>
          <w:sz w:val="24"/>
        </w:rPr>
        <w:t>a number of</w:t>
      </w:r>
      <w:proofErr w:type="gramEnd"/>
      <w:r w:rsidRPr="00CE240B">
        <w:rPr>
          <w:rFonts w:cs="Arial"/>
          <w:sz w:val="24"/>
        </w:rPr>
        <w:t xml:space="preserve"> schemes that are in progress which will improve service </w:t>
      </w:r>
      <w:r w:rsidR="002D27B6" w:rsidRPr="00CE240B">
        <w:rPr>
          <w:rFonts w:cs="Arial"/>
          <w:sz w:val="24"/>
        </w:rPr>
        <w:t>delivery</w:t>
      </w:r>
      <w:r w:rsidR="000B3950">
        <w:rPr>
          <w:rFonts w:cs="Arial"/>
          <w:sz w:val="24"/>
        </w:rPr>
        <w:t>.</w:t>
      </w:r>
    </w:p>
    <w:p w14:paraId="7AA49349" w14:textId="77777777" w:rsidR="000B3950" w:rsidRPr="00CE240B" w:rsidRDefault="000B3950" w:rsidP="00CE240B">
      <w:pPr>
        <w:widowControl w:val="0"/>
        <w:contextualSpacing/>
        <w:rPr>
          <w:rFonts w:cs="Arial"/>
          <w:sz w:val="24"/>
        </w:rPr>
      </w:pPr>
    </w:p>
    <w:p w14:paraId="0E39F5E7" w14:textId="57BEA192" w:rsidR="001D2E87" w:rsidRPr="00CE240B" w:rsidRDefault="001D2E87" w:rsidP="00CE240B">
      <w:pPr>
        <w:widowControl w:val="0"/>
        <w:contextualSpacing/>
        <w:rPr>
          <w:rFonts w:cs="Arial"/>
          <w:sz w:val="24"/>
        </w:rPr>
      </w:pPr>
      <w:r w:rsidRPr="00CE240B">
        <w:rPr>
          <w:rFonts w:cs="Arial"/>
          <w:sz w:val="24"/>
        </w:rPr>
        <w:t xml:space="preserve">There are also </w:t>
      </w:r>
      <w:proofErr w:type="gramStart"/>
      <w:r w:rsidRPr="00CE240B">
        <w:rPr>
          <w:rFonts w:cs="Arial"/>
          <w:sz w:val="24"/>
        </w:rPr>
        <w:t>a number of</w:t>
      </w:r>
      <w:proofErr w:type="gramEnd"/>
      <w:r w:rsidRPr="00CE240B">
        <w:rPr>
          <w:rFonts w:cs="Arial"/>
          <w:sz w:val="24"/>
        </w:rPr>
        <w:t xml:space="preserve"> schemes which have been identified by the Trust as being a priority, but where </w:t>
      </w:r>
      <w:r w:rsidRPr="00CE240B">
        <w:rPr>
          <w:rFonts w:cs="Arial"/>
          <w:b/>
          <w:sz w:val="24"/>
        </w:rPr>
        <w:t>no funding</w:t>
      </w:r>
      <w:r w:rsidRPr="00CE240B">
        <w:rPr>
          <w:rFonts w:cs="Arial"/>
          <w:sz w:val="24"/>
        </w:rPr>
        <w:t xml:space="preserve"> is in place. These schemes include the relocation of the OPS service from the CAV site and the relocation of Rose Lodge onto a main hospital site, the options for both these schemes </w:t>
      </w:r>
      <w:r w:rsidR="002D27B6" w:rsidRPr="00CE240B">
        <w:rPr>
          <w:rFonts w:cs="Arial"/>
          <w:sz w:val="24"/>
        </w:rPr>
        <w:t>are</w:t>
      </w:r>
      <w:r w:rsidRPr="00CE240B">
        <w:rPr>
          <w:rFonts w:cs="Arial"/>
          <w:sz w:val="24"/>
        </w:rPr>
        <w:t xml:space="preserve"> detailed as follows:</w:t>
      </w:r>
    </w:p>
    <w:p w14:paraId="2877389C" w14:textId="77777777" w:rsidR="002867BC" w:rsidRDefault="002867BC" w:rsidP="002867BC">
      <w:pPr>
        <w:widowControl w:val="0"/>
        <w:contextualSpacing/>
        <w:rPr>
          <w:rFonts w:cs="Arial"/>
          <w:b/>
          <w:sz w:val="24"/>
        </w:rPr>
      </w:pPr>
    </w:p>
    <w:p w14:paraId="609B6619" w14:textId="6E114B00" w:rsidR="001D2E87" w:rsidRDefault="001D2E87" w:rsidP="002867BC">
      <w:pPr>
        <w:widowControl w:val="0"/>
        <w:contextualSpacing/>
        <w:rPr>
          <w:rFonts w:cs="Arial"/>
          <w:b/>
          <w:color w:val="0070C0"/>
          <w:sz w:val="24"/>
        </w:rPr>
      </w:pPr>
      <w:r w:rsidRPr="002D27B6">
        <w:rPr>
          <w:rFonts w:cs="Arial"/>
          <w:b/>
          <w:color w:val="0070C0"/>
          <w:sz w:val="24"/>
        </w:rPr>
        <w:t>Older Peoples Service (Unfunded)</w:t>
      </w:r>
    </w:p>
    <w:p w14:paraId="3DEA31A1" w14:textId="77777777" w:rsidR="002D27B6" w:rsidRPr="002D27B6" w:rsidRDefault="002D27B6" w:rsidP="002867BC">
      <w:pPr>
        <w:widowControl w:val="0"/>
        <w:contextualSpacing/>
        <w:rPr>
          <w:rFonts w:cs="Arial"/>
          <w:b/>
          <w:color w:val="0070C0"/>
          <w:sz w:val="24"/>
        </w:rPr>
      </w:pPr>
    </w:p>
    <w:p w14:paraId="44A8BC5A" w14:textId="77777777" w:rsidR="001D2E87" w:rsidRPr="00CE240B" w:rsidRDefault="001D2E87" w:rsidP="002867BC">
      <w:pPr>
        <w:widowControl w:val="0"/>
        <w:contextualSpacing/>
        <w:rPr>
          <w:rFonts w:cs="Arial"/>
          <w:sz w:val="24"/>
        </w:rPr>
      </w:pPr>
      <w:r w:rsidRPr="00CE240B">
        <w:rPr>
          <w:rFonts w:cs="Arial"/>
          <w:sz w:val="24"/>
        </w:rPr>
        <w:t xml:space="preserve">The CNTW Older Adult In-Patient, Community &amp; Day Services in Newcastle, are currently located at the Centre of Aging Vitality (CAV) which is owned by Newcastle University and leased to CNTW. </w:t>
      </w:r>
    </w:p>
    <w:p w14:paraId="184E986C" w14:textId="25A4313C" w:rsidR="001D2E87" w:rsidRPr="00CE240B" w:rsidRDefault="001D2E87" w:rsidP="002867BC">
      <w:pPr>
        <w:widowControl w:val="0"/>
        <w:contextualSpacing/>
        <w:rPr>
          <w:rFonts w:cs="Arial"/>
          <w:sz w:val="24"/>
        </w:rPr>
      </w:pPr>
      <w:r w:rsidRPr="00CE240B">
        <w:rPr>
          <w:rFonts w:cs="Arial"/>
          <w:sz w:val="24"/>
        </w:rPr>
        <w:t xml:space="preserve">The current lease expires at the end of March </w:t>
      </w:r>
      <w:r w:rsidR="002D27B6" w:rsidRPr="00CE240B">
        <w:rPr>
          <w:rFonts w:cs="Arial"/>
          <w:sz w:val="24"/>
        </w:rPr>
        <w:t>2023;</w:t>
      </w:r>
      <w:r w:rsidRPr="00CE240B">
        <w:rPr>
          <w:rFonts w:cs="Arial"/>
          <w:sz w:val="24"/>
        </w:rPr>
        <w:t xml:space="preserve"> </w:t>
      </w:r>
      <w:r w:rsidR="00084AD8" w:rsidRPr="00CE240B">
        <w:rPr>
          <w:rFonts w:cs="Arial"/>
          <w:sz w:val="24"/>
        </w:rPr>
        <w:t>however,</w:t>
      </w:r>
      <w:r w:rsidRPr="00CE240B">
        <w:rPr>
          <w:rFonts w:cs="Arial"/>
          <w:sz w:val="24"/>
        </w:rPr>
        <w:t xml:space="preserve"> assurances have been sought from the University that </w:t>
      </w:r>
      <w:proofErr w:type="gramStart"/>
      <w:r w:rsidRPr="00CE240B">
        <w:rPr>
          <w:rFonts w:cs="Arial"/>
          <w:sz w:val="24"/>
        </w:rPr>
        <w:t>these service</w:t>
      </w:r>
      <w:proofErr w:type="gramEnd"/>
      <w:r w:rsidRPr="00CE240B">
        <w:rPr>
          <w:rFonts w:cs="Arial"/>
          <w:sz w:val="24"/>
        </w:rPr>
        <w:t xml:space="preserve"> can remain on site until Autumn 2024.</w:t>
      </w:r>
    </w:p>
    <w:p w14:paraId="1A3A24E7" w14:textId="77777777" w:rsidR="001D2E87" w:rsidRDefault="001D2E87" w:rsidP="002867BC">
      <w:pPr>
        <w:widowControl w:val="0"/>
        <w:contextualSpacing/>
        <w:rPr>
          <w:rFonts w:cs="Arial"/>
          <w:sz w:val="24"/>
        </w:rPr>
      </w:pPr>
      <w:r w:rsidRPr="00CE240B">
        <w:rPr>
          <w:rFonts w:cs="Arial"/>
          <w:sz w:val="24"/>
        </w:rPr>
        <w:t>There have been on-going discussions across the Newcastle system, around the long-term vision for the Older Adult services in Newcastle. One option being the development of an Integrated Well-being Hub on the CAV site, which would include services from CNTW, Newcastle Hospitals, Local Authority and independent Sector. The vision of what this Integrated Hub would look like and how it would function has evolved over time and somewhat digressed from the initial scope and plans. Rising capital requirements and access to capital funding for the overall Integrated Hub project has proved challenging, this and other factors have resulted in a delay on the project, and it is now unlikely that the original planned timescales of this project, will be delivered by 2026.</w:t>
      </w:r>
    </w:p>
    <w:p w14:paraId="5A1A18B7" w14:textId="77777777" w:rsidR="00DF49DE" w:rsidRPr="00CE240B" w:rsidRDefault="00DF49DE" w:rsidP="002867BC">
      <w:pPr>
        <w:widowControl w:val="0"/>
        <w:contextualSpacing/>
        <w:rPr>
          <w:rFonts w:cs="Arial"/>
          <w:sz w:val="24"/>
        </w:rPr>
      </w:pPr>
    </w:p>
    <w:p w14:paraId="43A67833" w14:textId="25997C40" w:rsidR="001D2E87" w:rsidRPr="00CE240B" w:rsidRDefault="001D2E87" w:rsidP="002867BC">
      <w:pPr>
        <w:widowControl w:val="0"/>
        <w:contextualSpacing/>
        <w:rPr>
          <w:rFonts w:cs="Arial"/>
          <w:sz w:val="24"/>
        </w:rPr>
      </w:pPr>
      <w:r w:rsidRPr="00CE240B">
        <w:rPr>
          <w:rFonts w:cs="Arial"/>
          <w:sz w:val="24"/>
        </w:rPr>
        <w:t xml:space="preserve">CNTW have therefore scoped out alternative options to bring the Older Adult Services onto the St Nicholas Hospital </w:t>
      </w:r>
      <w:r w:rsidR="002D27B6" w:rsidRPr="00CE240B">
        <w:rPr>
          <w:rFonts w:cs="Arial"/>
          <w:sz w:val="24"/>
        </w:rPr>
        <w:t>site and</w:t>
      </w:r>
      <w:r w:rsidRPr="00CE240B">
        <w:rPr>
          <w:rFonts w:cs="Arial"/>
          <w:sz w:val="24"/>
        </w:rPr>
        <w:t xml:space="preserve"> ensure in-patient and community services remain co-located. This supports a 1 site model for Central Locality in-patient services, </w:t>
      </w:r>
      <w:proofErr w:type="gramStart"/>
      <w:r w:rsidRPr="00CE240B">
        <w:rPr>
          <w:rFonts w:cs="Arial"/>
          <w:sz w:val="24"/>
        </w:rPr>
        <w:t>similar to</w:t>
      </w:r>
      <w:proofErr w:type="gramEnd"/>
      <w:r w:rsidRPr="00CE240B">
        <w:rPr>
          <w:rFonts w:cs="Arial"/>
          <w:sz w:val="24"/>
        </w:rPr>
        <w:t xml:space="preserve"> that in other localities. There are two options in the draft business case:</w:t>
      </w:r>
    </w:p>
    <w:p w14:paraId="645E24E7" w14:textId="77777777" w:rsidR="001D2E87" w:rsidRPr="00CE240B" w:rsidRDefault="001D2E87" w:rsidP="00CE240B">
      <w:pPr>
        <w:pStyle w:val="ListParagraph"/>
        <w:rPr>
          <w:rFonts w:cs="Arial"/>
          <w:b/>
          <w:sz w:val="24"/>
        </w:rPr>
      </w:pPr>
    </w:p>
    <w:p w14:paraId="0ABA8CBC" w14:textId="77777777" w:rsidR="001D2E87" w:rsidRPr="00CE240B" w:rsidRDefault="001D2E87" w:rsidP="002867BC">
      <w:pPr>
        <w:pStyle w:val="ListParagraph"/>
        <w:numPr>
          <w:ilvl w:val="0"/>
          <w:numId w:val="61"/>
        </w:numPr>
        <w:spacing w:before="120" w:after="120"/>
        <w:ind w:right="340"/>
        <w:jc w:val="both"/>
        <w:rPr>
          <w:rFonts w:cs="Arial"/>
          <w:sz w:val="24"/>
        </w:rPr>
      </w:pPr>
      <w:r w:rsidRPr="00CE240B">
        <w:rPr>
          <w:rFonts w:cs="Arial"/>
          <w:sz w:val="24"/>
        </w:rPr>
        <w:t xml:space="preserve">The </w:t>
      </w:r>
      <w:r w:rsidRPr="00CE240B">
        <w:rPr>
          <w:rFonts w:cs="Arial"/>
          <w:b/>
          <w:sz w:val="24"/>
        </w:rPr>
        <w:t>short to medium term</w:t>
      </w:r>
      <w:r w:rsidRPr="00CE240B">
        <w:rPr>
          <w:rFonts w:cs="Arial"/>
          <w:sz w:val="24"/>
        </w:rPr>
        <w:t xml:space="preserve"> proposal is to The Ashby, Lennox and Wilton wards are currently occupied by Children’s Services, and these services are due to relocate to Ferndene in May 2024. Work would commence immediately upon vacation, and it is envisaged that this work would take 12 months to complete, which would be complete by May 2025.</w:t>
      </w:r>
    </w:p>
    <w:p w14:paraId="24CBE2C6" w14:textId="77777777" w:rsidR="001D2E87" w:rsidRPr="00CE240B" w:rsidRDefault="001D2E87" w:rsidP="002867BC">
      <w:pPr>
        <w:pStyle w:val="ListParagraph"/>
        <w:numPr>
          <w:ilvl w:val="0"/>
          <w:numId w:val="61"/>
        </w:numPr>
        <w:spacing w:before="120" w:after="120"/>
        <w:ind w:right="340"/>
        <w:jc w:val="both"/>
        <w:rPr>
          <w:rFonts w:cs="Arial"/>
          <w:sz w:val="24"/>
        </w:rPr>
      </w:pPr>
      <w:r w:rsidRPr="00CE240B">
        <w:rPr>
          <w:rFonts w:cs="Arial"/>
          <w:sz w:val="24"/>
        </w:rPr>
        <w:t xml:space="preserve">This option would result in the in-patient services remaining on the CAV site for potentially a further 8 months, after the lease extension </w:t>
      </w:r>
      <w:r w:rsidRPr="00CE240B">
        <w:rPr>
          <w:rFonts w:cs="Arial"/>
          <w:sz w:val="24"/>
        </w:rPr>
        <w:lastRenderedPageBreak/>
        <w:t>expires in Autumn 2024. This would therefore need to be renegotiated with the University.</w:t>
      </w:r>
    </w:p>
    <w:p w14:paraId="3CC79907" w14:textId="77777777" w:rsidR="001D2E87" w:rsidRPr="00CE240B" w:rsidRDefault="001D2E87" w:rsidP="002867BC">
      <w:pPr>
        <w:pStyle w:val="ListParagraph"/>
        <w:numPr>
          <w:ilvl w:val="0"/>
          <w:numId w:val="61"/>
        </w:numPr>
        <w:spacing w:before="120" w:after="120"/>
        <w:ind w:right="340"/>
        <w:jc w:val="both"/>
        <w:rPr>
          <w:rFonts w:cs="Arial"/>
          <w:sz w:val="24"/>
        </w:rPr>
      </w:pPr>
      <w:r w:rsidRPr="00CE240B">
        <w:rPr>
          <w:rFonts w:cs="Arial"/>
          <w:sz w:val="24"/>
        </w:rPr>
        <w:t xml:space="preserve">The capital cost of this option is </w:t>
      </w:r>
      <w:r w:rsidRPr="00CE240B">
        <w:rPr>
          <w:rFonts w:cs="Arial"/>
          <w:b/>
          <w:sz w:val="24"/>
        </w:rPr>
        <w:t>circa £5.5M</w:t>
      </w:r>
    </w:p>
    <w:p w14:paraId="37BF3564" w14:textId="51F8F7C5" w:rsidR="001D2E87" w:rsidRPr="00CE240B" w:rsidRDefault="001D2E87" w:rsidP="002867BC">
      <w:pPr>
        <w:pStyle w:val="ListParagraph"/>
        <w:widowControl w:val="0"/>
        <w:numPr>
          <w:ilvl w:val="0"/>
          <w:numId w:val="62"/>
        </w:numPr>
        <w:spacing w:before="120"/>
        <w:ind w:right="340"/>
        <w:jc w:val="both"/>
        <w:rPr>
          <w:rFonts w:cs="Arial"/>
          <w:sz w:val="24"/>
        </w:rPr>
      </w:pPr>
      <w:r w:rsidRPr="00CE240B">
        <w:rPr>
          <w:rFonts w:cs="Arial"/>
          <w:sz w:val="24"/>
        </w:rPr>
        <w:t xml:space="preserve">The </w:t>
      </w:r>
      <w:r w:rsidR="002D27B6" w:rsidRPr="00CE240B">
        <w:rPr>
          <w:rFonts w:cs="Arial"/>
          <w:b/>
          <w:sz w:val="24"/>
        </w:rPr>
        <w:t>long-term</w:t>
      </w:r>
      <w:r w:rsidRPr="00CE240B">
        <w:rPr>
          <w:rFonts w:cs="Arial"/>
          <w:sz w:val="24"/>
        </w:rPr>
        <w:t xml:space="preserve"> proposal, which is the preferred option should funding be available, is for a purpose new build development on the SNH site, where Collingwood Court and Stephenson Court are located. This would be for in-patient services and Community Team staff base, and Day Services would move into Keswick under this option. </w:t>
      </w:r>
      <w:r w:rsidR="002D27B6" w:rsidRPr="00CE240B">
        <w:rPr>
          <w:rFonts w:cs="Arial"/>
          <w:sz w:val="24"/>
        </w:rPr>
        <w:t>However,</w:t>
      </w:r>
      <w:r w:rsidRPr="00CE240B">
        <w:rPr>
          <w:rFonts w:cs="Arial"/>
          <w:sz w:val="24"/>
        </w:rPr>
        <w:t xml:space="preserve"> the funding required for this financial and time restrictions around this proposal.</w:t>
      </w:r>
    </w:p>
    <w:p w14:paraId="3D701033" w14:textId="77777777" w:rsidR="001D2E87" w:rsidRPr="00CE240B" w:rsidRDefault="001D2E87" w:rsidP="002867BC">
      <w:pPr>
        <w:pStyle w:val="ListParagraph"/>
        <w:numPr>
          <w:ilvl w:val="0"/>
          <w:numId w:val="62"/>
        </w:numPr>
        <w:spacing w:before="120" w:after="120"/>
        <w:ind w:right="340"/>
        <w:jc w:val="both"/>
        <w:rPr>
          <w:rFonts w:cs="Arial"/>
          <w:sz w:val="24"/>
        </w:rPr>
      </w:pPr>
      <w:r w:rsidRPr="00CE240B">
        <w:rPr>
          <w:rFonts w:cs="Arial"/>
          <w:sz w:val="24"/>
        </w:rPr>
        <w:t>This option would result in the in-patient services remaining on the CAV site for at least 12 months, after the lease extension expires in autumn of 2024. This would therefore need to be renegotiated with the University.</w:t>
      </w:r>
    </w:p>
    <w:p w14:paraId="0F2A4A53" w14:textId="77777777" w:rsidR="001D2E87" w:rsidRPr="00CE240B" w:rsidRDefault="001D2E87" w:rsidP="002867BC">
      <w:pPr>
        <w:pStyle w:val="ListParagraph"/>
        <w:numPr>
          <w:ilvl w:val="0"/>
          <w:numId w:val="62"/>
        </w:numPr>
        <w:spacing w:before="120" w:after="120"/>
        <w:ind w:right="340"/>
        <w:jc w:val="both"/>
        <w:rPr>
          <w:rFonts w:cs="Arial"/>
          <w:sz w:val="24"/>
        </w:rPr>
      </w:pPr>
      <w:r w:rsidRPr="00CE240B">
        <w:rPr>
          <w:rFonts w:cs="Arial"/>
          <w:sz w:val="24"/>
        </w:rPr>
        <w:t xml:space="preserve">The capital cost of this option is </w:t>
      </w:r>
      <w:r w:rsidRPr="00CE240B">
        <w:rPr>
          <w:rFonts w:cs="Arial"/>
          <w:b/>
          <w:sz w:val="24"/>
        </w:rPr>
        <w:t>circa £20M</w:t>
      </w:r>
    </w:p>
    <w:p w14:paraId="647204CD" w14:textId="77777777" w:rsidR="001D2E87" w:rsidRPr="00CE240B" w:rsidRDefault="001D2E87" w:rsidP="00CE240B">
      <w:pPr>
        <w:pStyle w:val="ListParagraph"/>
        <w:widowControl w:val="0"/>
        <w:ind w:left="1440"/>
        <w:rPr>
          <w:rFonts w:cs="Arial"/>
          <w:sz w:val="24"/>
        </w:rPr>
      </w:pPr>
    </w:p>
    <w:p w14:paraId="052F2496" w14:textId="77777777" w:rsidR="001D2E87" w:rsidRDefault="001D2E87" w:rsidP="002867BC">
      <w:pPr>
        <w:contextualSpacing/>
        <w:rPr>
          <w:rFonts w:cs="Arial"/>
          <w:b/>
          <w:color w:val="0070C0"/>
          <w:sz w:val="24"/>
        </w:rPr>
      </w:pPr>
      <w:r w:rsidRPr="002D27B6">
        <w:rPr>
          <w:rFonts w:cs="Arial"/>
          <w:b/>
          <w:color w:val="0070C0"/>
          <w:sz w:val="24"/>
        </w:rPr>
        <w:t>Rose Lodge (Unfunded)</w:t>
      </w:r>
    </w:p>
    <w:p w14:paraId="033C5B06" w14:textId="77777777" w:rsidR="002D27B6" w:rsidRPr="002D27B6" w:rsidRDefault="002D27B6" w:rsidP="002867BC">
      <w:pPr>
        <w:contextualSpacing/>
        <w:rPr>
          <w:rFonts w:cs="Arial"/>
          <w:b/>
          <w:color w:val="0070C0"/>
          <w:sz w:val="24"/>
        </w:rPr>
      </w:pPr>
    </w:p>
    <w:p w14:paraId="7C9B487C" w14:textId="77777777" w:rsidR="001D2E87" w:rsidRPr="00CE240B" w:rsidRDefault="001D2E87" w:rsidP="002867BC">
      <w:pPr>
        <w:contextualSpacing/>
        <w:rPr>
          <w:rFonts w:cs="Arial"/>
          <w:sz w:val="24"/>
        </w:rPr>
      </w:pPr>
      <w:r w:rsidRPr="00CE240B">
        <w:rPr>
          <w:rFonts w:cs="Arial"/>
          <w:sz w:val="24"/>
        </w:rPr>
        <w:t>Rose Lodge is a learning disability specialist assessment and treatment inpatient unit based in Hebburn, South Tyneside. Rose Lodge has 10 beds providing acute assessment and treatment by a multi-disciplinary team.</w:t>
      </w:r>
    </w:p>
    <w:p w14:paraId="6C38AD83" w14:textId="3B32CE21" w:rsidR="001D2E87" w:rsidRPr="00CE240B" w:rsidRDefault="001D2E87" w:rsidP="002867BC">
      <w:pPr>
        <w:contextualSpacing/>
        <w:rPr>
          <w:rFonts w:cs="Arial"/>
          <w:sz w:val="24"/>
        </w:rPr>
      </w:pPr>
      <w:r w:rsidRPr="00CE240B">
        <w:rPr>
          <w:rFonts w:cs="Arial"/>
          <w:sz w:val="24"/>
        </w:rPr>
        <w:t xml:space="preserve">The service </w:t>
      </w:r>
      <w:r w:rsidR="002D27B6" w:rsidRPr="00CE240B">
        <w:rPr>
          <w:rFonts w:cs="Arial"/>
          <w:sz w:val="24"/>
        </w:rPr>
        <w:t>has</w:t>
      </w:r>
      <w:r w:rsidRPr="00CE240B">
        <w:rPr>
          <w:rFonts w:cs="Arial"/>
          <w:sz w:val="24"/>
        </w:rPr>
        <w:t xml:space="preserve"> voiced concerns over the isolation of the service and that they would benefit from being located on a main site. </w:t>
      </w:r>
    </w:p>
    <w:p w14:paraId="55656D27" w14:textId="77777777" w:rsidR="001D2E87" w:rsidRPr="00CE240B" w:rsidRDefault="001D2E87" w:rsidP="002867BC">
      <w:pPr>
        <w:contextualSpacing/>
        <w:rPr>
          <w:rFonts w:cs="Arial"/>
          <w:sz w:val="24"/>
        </w:rPr>
      </w:pPr>
      <w:r w:rsidRPr="00CE240B">
        <w:rPr>
          <w:rFonts w:cs="Arial"/>
          <w:sz w:val="24"/>
        </w:rPr>
        <w:t xml:space="preserve">A business case would be required to develop the options, including what happens to the Rose Lodge site. A new unit on a hospital site would cost around </w:t>
      </w:r>
      <w:r w:rsidRPr="00CE240B">
        <w:rPr>
          <w:rFonts w:cs="Arial"/>
          <w:b/>
          <w:sz w:val="24"/>
        </w:rPr>
        <w:t>£8M</w:t>
      </w:r>
      <w:r w:rsidRPr="00CE240B">
        <w:rPr>
          <w:rFonts w:cs="Arial"/>
          <w:sz w:val="24"/>
        </w:rPr>
        <w:t xml:space="preserve"> and there is no available capital funding in the current capital program.</w:t>
      </w:r>
    </w:p>
    <w:p w14:paraId="7C926D07" w14:textId="77777777" w:rsidR="001D2E87" w:rsidRPr="00CE240B" w:rsidRDefault="001D2E87" w:rsidP="00CE240B">
      <w:pPr>
        <w:ind w:left="720"/>
        <w:contextualSpacing/>
        <w:rPr>
          <w:rFonts w:cs="Arial"/>
          <w:b/>
          <w:sz w:val="24"/>
        </w:rPr>
      </w:pPr>
    </w:p>
    <w:p w14:paraId="186D9E8E" w14:textId="77777777" w:rsidR="001D2E87" w:rsidRDefault="001D2E87" w:rsidP="002867BC">
      <w:pPr>
        <w:contextualSpacing/>
        <w:rPr>
          <w:rFonts w:cs="Arial"/>
          <w:b/>
          <w:color w:val="0070C0"/>
          <w:sz w:val="24"/>
        </w:rPr>
      </w:pPr>
      <w:r w:rsidRPr="002D27B6">
        <w:rPr>
          <w:rFonts w:cs="Arial"/>
          <w:b/>
          <w:color w:val="0070C0"/>
          <w:sz w:val="24"/>
        </w:rPr>
        <w:t>Yewdale to Carleton Clinic Consolidation of Services (Unfunded)</w:t>
      </w:r>
    </w:p>
    <w:p w14:paraId="72CC41CA" w14:textId="77777777" w:rsidR="002D27B6" w:rsidRPr="002D27B6" w:rsidRDefault="002D27B6" w:rsidP="002867BC">
      <w:pPr>
        <w:contextualSpacing/>
        <w:rPr>
          <w:rFonts w:cs="Arial"/>
          <w:b/>
          <w:color w:val="0070C0"/>
          <w:sz w:val="24"/>
        </w:rPr>
      </w:pPr>
    </w:p>
    <w:p w14:paraId="40686E8D" w14:textId="43C1F38F" w:rsidR="001D2E87" w:rsidRPr="00CE240B" w:rsidRDefault="001D2E87" w:rsidP="002867BC">
      <w:pPr>
        <w:contextualSpacing/>
        <w:rPr>
          <w:rFonts w:cs="Arial"/>
          <w:sz w:val="24"/>
        </w:rPr>
      </w:pPr>
      <w:r w:rsidRPr="00CE240B">
        <w:rPr>
          <w:rFonts w:cs="Arial"/>
          <w:sz w:val="24"/>
        </w:rPr>
        <w:t xml:space="preserve">The Yewdale ward is a </w:t>
      </w:r>
      <w:r w:rsidR="002D27B6" w:rsidRPr="00CE240B">
        <w:rPr>
          <w:rFonts w:cs="Arial"/>
          <w:sz w:val="24"/>
        </w:rPr>
        <w:t>16-bed</w:t>
      </w:r>
      <w:r w:rsidRPr="00CE240B">
        <w:rPr>
          <w:rFonts w:cs="Arial"/>
          <w:sz w:val="24"/>
        </w:rPr>
        <w:t xml:space="preserve"> mixed sex standalone unit in the West of North Cumbria based at Whitehaven in the West Cumberland Hospital. Should the CBU wish to consolidate services onto a single site this can be achieved at Carleton Clinic. </w:t>
      </w:r>
    </w:p>
    <w:p w14:paraId="0165DD36" w14:textId="3D2854F2" w:rsidR="001D2E87" w:rsidRPr="00CE240B" w:rsidRDefault="001D2E87" w:rsidP="002867BC">
      <w:pPr>
        <w:contextualSpacing/>
        <w:rPr>
          <w:rFonts w:cs="Arial"/>
          <w:sz w:val="24"/>
        </w:rPr>
      </w:pPr>
      <w:r w:rsidRPr="00CE240B">
        <w:rPr>
          <w:rFonts w:cs="Arial"/>
          <w:sz w:val="24"/>
        </w:rPr>
        <w:t xml:space="preserve">The existing accommodation would need investment to create a circa 17 bed male ward on Hadrian by continuing with the bedroom upgrades and by extending Rowanwood by circa 5 beds a </w:t>
      </w:r>
      <w:r w:rsidR="002D27B6" w:rsidRPr="00CE240B">
        <w:rPr>
          <w:rFonts w:cs="Arial"/>
          <w:sz w:val="24"/>
        </w:rPr>
        <w:t>15-bed</w:t>
      </w:r>
      <w:r w:rsidRPr="00CE240B">
        <w:rPr>
          <w:rFonts w:cs="Arial"/>
          <w:sz w:val="24"/>
        </w:rPr>
        <w:t xml:space="preserve"> female ward can be created. This work would cost around £3M and there is no available capital funding in the current capital program.</w:t>
      </w:r>
    </w:p>
    <w:p w14:paraId="3BE406C2" w14:textId="6F665B6A" w:rsidR="001D2E87" w:rsidRPr="002D27B6" w:rsidRDefault="001D2E87" w:rsidP="00CE240B">
      <w:pPr>
        <w:pStyle w:val="Heading1"/>
        <w:contextualSpacing/>
        <w:rPr>
          <w:rFonts w:eastAsia="Arial" w:cs="Arial"/>
          <w:sz w:val="24"/>
          <w:szCs w:val="24"/>
        </w:rPr>
      </w:pPr>
      <w:r w:rsidRPr="002D27B6">
        <w:rPr>
          <w:rFonts w:eastAsia="Arial" w:cs="Arial"/>
          <w:sz w:val="24"/>
          <w:szCs w:val="24"/>
        </w:rPr>
        <w:t>5.4</w:t>
      </w:r>
      <w:r w:rsidRPr="002D27B6">
        <w:rPr>
          <w:rFonts w:eastAsia="Arial" w:cs="Arial"/>
          <w:sz w:val="24"/>
          <w:szCs w:val="24"/>
        </w:rPr>
        <w:tab/>
        <w:t>Land sales and asset disposals</w:t>
      </w:r>
    </w:p>
    <w:p w14:paraId="35E4056A" w14:textId="3A59D02E" w:rsidR="001D2E87" w:rsidRPr="00CE240B" w:rsidRDefault="001D2E87" w:rsidP="00CE240B">
      <w:pPr>
        <w:contextualSpacing/>
        <w:rPr>
          <w:rFonts w:cs="Arial"/>
          <w:sz w:val="24"/>
        </w:rPr>
      </w:pPr>
      <w:r w:rsidRPr="00CE240B">
        <w:rPr>
          <w:rFonts w:cs="Arial"/>
          <w:sz w:val="24"/>
        </w:rPr>
        <w:t xml:space="preserve">At its formation </w:t>
      </w:r>
      <w:r w:rsidR="002D27B6" w:rsidRPr="00CE240B">
        <w:rPr>
          <w:rFonts w:cs="Arial"/>
          <w:sz w:val="24"/>
        </w:rPr>
        <w:t>in</w:t>
      </w:r>
      <w:r w:rsidRPr="00CE240B">
        <w:rPr>
          <w:rFonts w:cs="Arial"/>
          <w:sz w:val="24"/>
        </w:rPr>
        <w:t xml:space="preserve"> 2006 the Trust had significantly more land than it required to undertake its clinical functions. This allowed for the rationalisation of the estate which led to significant capital receipts from disposals which has then been reinvested in the estate - notably on the autism project at Northgate. In addition to the surplus land, the Trust has also disposed of buildings which were no longer strategically required for the delivery of clinical services or for staff accommodation. </w:t>
      </w:r>
    </w:p>
    <w:p w14:paraId="07B076A6" w14:textId="79EA7ECC" w:rsidR="001D2E87" w:rsidRPr="00CE240B" w:rsidRDefault="001D2E87" w:rsidP="00CE240B">
      <w:pPr>
        <w:contextualSpacing/>
        <w:rPr>
          <w:rFonts w:cs="Arial"/>
          <w:sz w:val="24"/>
        </w:rPr>
      </w:pPr>
      <w:r w:rsidRPr="00CE240B">
        <w:rPr>
          <w:rFonts w:cs="Arial"/>
          <w:sz w:val="24"/>
        </w:rPr>
        <w:t xml:space="preserve">This strategy of land and space rationalisation will </w:t>
      </w:r>
      <w:r w:rsidR="002D27B6" w:rsidRPr="00CE240B">
        <w:rPr>
          <w:rFonts w:cs="Arial"/>
          <w:sz w:val="24"/>
        </w:rPr>
        <w:t>continue,</w:t>
      </w:r>
      <w:r w:rsidRPr="00CE240B">
        <w:rPr>
          <w:rFonts w:cs="Arial"/>
          <w:sz w:val="24"/>
        </w:rPr>
        <w:t xml:space="preserve"> and known plans are detailed below.</w:t>
      </w:r>
    </w:p>
    <w:p w14:paraId="409F2759" w14:textId="77777777" w:rsidR="002867BC" w:rsidRPr="002D27B6" w:rsidRDefault="002867BC" w:rsidP="002867BC">
      <w:pPr>
        <w:widowControl w:val="0"/>
        <w:contextualSpacing/>
        <w:rPr>
          <w:rFonts w:eastAsia="Calibri" w:cs="Arial"/>
          <w:b/>
          <w:color w:val="0070C0"/>
          <w:sz w:val="24"/>
        </w:rPr>
      </w:pPr>
    </w:p>
    <w:p w14:paraId="17C46831" w14:textId="1DC8EFAB" w:rsidR="001D2E87" w:rsidRDefault="001D2E87" w:rsidP="002867BC">
      <w:pPr>
        <w:widowControl w:val="0"/>
        <w:contextualSpacing/>
        <w:rPr>
          <w:rFonts w:eastAsia="Calibri" w:cs="Arial"/>
          <w:b/>
          <w:color w:val="0070C0"/>
          <w:sz w:val="24"/>
        </w:rPr>
      </w:pPr>
      <w:r w:rsidRPr="002D27B6">
        <w:rPr>
          <w:rFonts w:eastAsia="Calibri" w:cs="Arial"/>
          <w:b/>
          <w:color w:val="0070C0"/>
          <w:sz w:val="24"/>
        </w:rPr>
        <w:t>St Georges Park</w:t>
      </w:r>
    </w:p>
    <w:p w14:paraId="27E79118" w14:textId="77777777" w:rsidR="002D27B6" w:rsidRPr="002D27B6" w:rsidRDefault="002D27B6" w:rsidP="002867BC">
      <w:pPr>
        <w:widowControl w:val="0"/>
        <w:contextualSpacing/>
        <w:rPr>
          <w:rFonts w:eastAsia="Calibri" w:cs="Arial"/>
          <w:b/>
          <w:color w:val="0070C0"/>
          <w:sz w:val="24"/>
        </w:rPr>
      </w:pPr>
    </w:p>
    <w:p w14:paraId="64DDE7E1" w14:textId="77777777" w:rsidR="001D2E87" w:rsidRPr="00CE240B" w:rsidRDefault="001D2E87" w:rsidP="002867BC">
      <w:pPr>
        <w:contextualSpacing/>
        <w:rPr>
          <w:rFonts w:cs="Arial"/>
          <w:sz w:val="24"/>
        </w:rPr>
      </w:pPr>
      <w:r w:rsidRPr="00CE240B">
        <w:rPr>
          <w:rFonts w:cs="Arial"/>
          <w:sz w:val="24"/>
        </w:rPr>
        <w:t xml:space="preserve">The Trust owns a parcel of land to the North of the existing St Georges Park Hospital. This land is surplus to the needs of the Trust and is located on the former </w:t>
      </w:r>
      <w:r w:rsidRPr="00CE240B">
        <w:rPr>
          <w:rFonts w:cs="Arial"/>
          <w:sz w:val="24"/>
        </w:rPr>
        <w:lastRenderedPageBreak/>
        <w:t xml:space="preserve">hospital site that is currently undergoing extensive development for residential housing. The intention is to sell this for residential development. </w:t>
      </w:r>
    </w:p>
    <w:p w14:paraId="301598E7" w14:textId="77777777" w:rsidR="001D2E87" w:rsidRPr="00CE240B" w:rsidRDefault="001D2E87" w:rsidP="002867BC">
      <w:pPr>
        <w:contextualSpacing/>
        <w:rPr>
          <w:rFonts w:cs="Arial"/>
          <w:sz w:val="24"/>
        </w:rPr>
      </w:pPr>
      <w:r w:rsidRPr="00CE240B">
        <w:rPr>
          <w:rFonts w:cs="Arial"/>
          <w:sz w:val="24"/>
        </w:rPr>
        <w:t xml:space="preserve">It is intended this sale will be completed in 2023 and is estimated to generate a capital receipt of </w:t>
      </w:r>
      <w:r w:rsidRPr="00CE240B">
        <w:rPr>
          <w:rFonts w:cs="Arial"/>
          <w:b/>
          <w:sz w:val="24"/>
        </w:rPr>
        <w:t>£3M</w:t>
      </w:r>
    </w:p>
    <w:p w14:paraId="47979A8D" w14:textId="77777777" w:rsidR="001D2E87" w:rsidRDefault="001D2E87" w:rsidP="002867BC">
      <w:pPr>
        <w:pStyle w:val="Heading2"/>
        <w:spacing w:line="240" w:lineRule="auto"/>
        <w:ind w:left="0"/>
        <w:contextualSpacing/>
        <w:rPr>
          <w:rFonts w:cs="Arial"/>
        </w:rPr>
      </w:pPr>
      <w:r w:rsidRPr="00CE240B">
        <w:rPr>
          <w:rFonts w:cs="Arial"/>
        </w:rPr>
        <w:t>Northgate</w:t>
      </w:r>
    </w:p>
    <w:p w14:paraId="5A5E68B3" w14:textId="77777777" w:rsidR="002D27B6" w:rsidRPr="002D27B6" w:rsidRDefault="002D27B6" w:rsidP="002D27B6">
      <w:pPr>
        <w:rPr>
          <w:lang w:eastAsia="en-GB"/>
        </w:rPr>
      </w:pPr>
    </w:p>
    <w:p w14:paraId="1E10FBC0" w14:textId="77777777" w:rsidR="001D2E87" w:rsidRPr="00CE240B" w:rsidRDefault="001D2E87" w:rsidP="002867BC">
      <w:pPr>
        <w:contextualSpacing/>
        <w:rPr>
          <w:rFonts w:cs="Arial"/>
          <w:sz w:val="24"/>
        </w:rPr>
      </w:pPr>
      <w:r w:rsidRPr="00CE240B">
        <w:rPr>
          <w:rFonts w:cs="Arial"/>
          <w:sz w:val="24"/>
        </w:rPr>
        <w:t xml:space="preserve">The Trust disposed of a large part of the Northgate Estate in 2014 for residential housing development. Further retraction from the site has resulted in the opportunity to dispose of more land and this will be done as part of the wider site redevelopment under the CEDAR program of works. It is intended this sale will be completed in 2023 and is estimated to generate a capital receipt of </w:t>
      </w:r>
      <w:r w:rsidRPr="00CE240B">
        <w:rPr>
          <w:rFonts w:cs="Arial"/>
          <w:b/>
          <w:sz w:val="24"/>
        </w:rPr>
        <w:t>£7.8M</w:t>
      </w:r>
    </w:p>
    <w:p w14:paraId="2A2FF2E9" w14:textId="77777777" w:rsidR="002867BC" w:rsidRDefault="002867BC" w:rsidP="00CE240B">
      <w:pPr>
        <w:widowControl w:val="0"/>
        <w:ind w:left="720"/>
        <w:contextualSpacing/>
        <w:rPr>
          <w:rFonts w:eastAsia="Calibri" w:cs="Arial"/>
          <w:b/>
          <w:color w:val="595959"/>
          <w:sz w:val="24"/>
        </w:rPr>
      </w:pPr>
    </w:p>
    <w:p w14:paraId="0C96B724" w14:textId="34B54BF6" w:rsidR="001D2E87" w:rsidRDefault="001D2E87" w:rsidP="002867BC">
      <w:pPr>
        <w:widowControl w:val="0"/>
        <w:contextualSpacing/>
        <w:rPr>
          <w:rFonts w:eastAsia="Calibri" w:cs="Arial"/>
          <w:b/>
          <w:color w:val="0070C0"/>
          <w:sz w:val="24"/>
        </w:rPr>
      </w:pPr>
      <w:r w:rsidRPr="002D27B6">
        <w:rPr>
          <w:rFonts w:eastAsia="Calibri" w:cs="Arial"/>
          <w:b/>
          <w:color w:val="0070C0"/>
          <w:sz w:val="24"/>
        </w:rPr>
        <w:t>Property Disposals</w:t>
      </w:r>
    </w:p>
    <w:p w14:paraId="1B40B7BD" w14:textId="77777777" w:rsidR="002D27B6" w:rsidRPr="002D27B6" w:rsidRDefault="002D27B6" w:rsidP="002867BC">
      <w:pPr>
        <w:widowControl w:val="0"/>
        <w:contextualSpacing/>
        <w:rPr>
          <w:rFonts w:eastAsia="Calibri" w:cs="Arial"/>
          <w:b/>
          <w:color w:val="0070C0"/>
          <w:sz w:val="24"/>
        </w:rPr>
      </w:pPr>
    </w:p>
    <w:p w14:paraId="0CFC9102" w14:textId="77777777" w:rsidR="001D2E87" w:rsidRPr="00CE240B" w:rsidRDefault="001D2E87" w:rsidP="002867BC">
      <w:pPr>
        <w:contextualSpacing/>
        <w:rPr>
          <w:rFonts w:cs="Arial"/>
          <w:sz w:val="24"/>
        </w:rPr>
      </w:pPr>
      <w:r w:rsidRPr="00CE240B">
        <w:rPr>
          <w:rFonts w:cs="Arial"/>
          <w:sz w:val="24"/>
        </w:rPr>
        <w:t xml:space="preserve">The Trust has </w:t>
      </w:r>
      <w:proofErr w:type="gramStart"/>
      <w:r w:rsidRPr="00CE240B">
        <w:rPr>
          <w:rFonts w:cs="Arial"/>
          <w:sz w:val="24"/>
        </w:rPr>
        <w:t>a number of</w:t>
      </w:r>
      <w:proofErr w:type="gramEnd"/>
      <w:r w:rsidRPr="00CE240B">
        <w:rPr>
          <w:rFonts w:cs="Arial"/>
          <w:sz w:val="24"/>
        </w:rPr>
        <w:t xml:space="preserve"> smaller properties which depending on a range of circumstances have the potential to be sold or developed for on-going Trust use, these include:</w:t>
      </w:r>
    </w:p>
    <w:p w14:paraId="24B2CA4D" w14:textId="77777777" w:rsidR="002867BC" w:rsidRDefault="002867BC" w:rsidP="00CE240B">
      <w:pPr>
        <w:widowControl w:val="0"/>
        <w:ind w:left="720"/>
        <w:contextualSpacing/>
        <w:rPr>
          <w:rFonts w:eastAsia="Calibri" w:cs="Arial"/>
          <w:b/>
          <w:color w:val="595959"/>
          <w:sz w:val="24"/>
        </w:rPr>
      </w:pPr>
    </w:p>
    <w:p w14:paraId="5053C4A7" w14:textId="0C86A69F" w:rsidR="001D2E87" w:rsidRDefault="001D2E87" w:rsidP="002867BC">
      <w:pPr>
        <w:widowControl w:val="0"/>
        <w:contextualSpacing/>
        <w:rPr>
          <w:rFonts w:eastAsia="Calibri" w:cs="Arial"/>
          <w:b/>
          <w:color w:val="0070C0"/>
          <w:sz w:val="24"/>
        </w:rPr>
      </w:pPr>
      <w:r w:rsidRPr="002D27B6">
        <w:rPr>
          <w:rFonts w:eastAsia="Calibri" w:cs="Arial"/>
          <w:b/>
          <w:color w:val="0070C0"/>
          <w:sz w:val="24"/>
        </w:rPr>
        <w:t>Other Potential Asset Sales</w:t>
      </w:r>
    </w:p>
    <w:p w14:paraId="44E1F7BC" w14:textId="77777777" w:rsidR="002D27B6" w:rsidRPr="002D27B6" w:rsidRDefault="002D27B6" w:rsidP="002867BC">
      <w:pPr>
        <w:widowControl w:val="0"/>
        <w:contextualSpacing/>
        <w:rPr>
          <w:rFonts w:eastAsia="Calibri" w:cs="Arial"/>
          <w:b/>
          <w:color w:val="0070C0"/>
          <w:sz w:val="24"/>
        </w:rPr>
      </w:pPr>
    </w:p>
    <w:p w14:paraId="38AC2D16" w14:textId="77777777" w:rsidR="001D2E87" w:rsidRPr="00CE240B" w:rsidRDefault="001D2E87" w:rsidP="002867BC">
      <w:pPr>
        <w:contextualSpacing/>
        <w:rPr>
          <w:rFonts w:cs="Arial"/>
          <w:sz w:val="24"/>
        </w:rPr>
      </w:pPr>
      <w:r w:rsidRPr="00CE240B">
        <w:rPr>
          <w:rFonts w:cs="Arial"/>
          <w:sz w:val="24"/>
        </w:rPr>
        <w:t>Boldon Lane</w:t>
      </w:r>
      <w:r w:rsidRPr="00CE240B">
        <w:rPr>
          <w:rFonts w:cs="Arial"/>
          <w:sz w:val="24"/>
        </w:rPr>
        <w:tab/>
      </w:r>
      <w:r w:rsidRPr="00CE240B">
        <w:rPr>
          <w:rFonts w:cs="Arial"/>
          <w:sz w:val="24"/>
        </w:rPr>
        <w:tab/>
      </w:r>
      <w:r w:rsidRPr="00CE240B">
        <w:rPr>
          <w:rFonts w:cs="Arial"/>
          <w:sz w:val="24"/>
        </w:rPr>
        <w:tab/>
        <w:t>Rose Lodge (subject to service relocation)</w:t>
      </w:r>
    </w:p>
    <w:p w14:paraId="404A667B" w14:textId="2BE9B11A" w:rsidR="001D2E87" w:rsidRPr="00CE240B" w:rsidRDefault="001D2E87" w:rsidP="002867BC">
      <w:pPr>
        <w:contextualSpacing/>
        <w:rPr>
          <w:rFonts w:cs="Arial"/>
          <w:sz w:val="24"/>
        </w:rPr>
      </w:pPr>
      <w:r w:rsidRPr="00CE240B">
        <w:rPr>
          <w:rFonts w:cs="Arial"/>
          <w:sz w:val="24"/>
        </w:rPr>
        <w:t>Hillview Clinic</w:t>
      </w:r>
      <w:r w:rsidRPr="00CE240B">
        <w:rPr>
          <w:rFonts w:cs="Arial"/>
          <w:sz w:val="24"/>
        </w:rPr>
        <w:tab/>
      </w:r>
      <w:r w:rsidRPr="00CE240B">
        <w:rPr>
          <w:rFonts w:cs="Arial"/>
          <w:sz w:val="24"/>
        </w:rPr>
        <w:tab/>
        <w:t>Alexandra Lodge (packaged with Rose Lodge)</w:t>
      </w:r>
    </w:p>
    <w:p w14:paraId="014A4D16" w14:textId="77777777" w:rsidR="001D2E87" w:rsidRPr="00CE240B" w:rsidRDefault="001D2E87" w:rsidP="002867BC">
      <w:pPr>
        <w:contextualSpacing/>
        <w:rPr>
          <w:rFonts w:cs="Arial"/>
          <w:sz w:val="24"/>
        </w:rPr>
      </w:pPr>
      <w:r w:rsidRPr="00CE240B">
        <w:rPr>
          <w:rFonts w:cs="Arial"/>
          <w:sz w:val="24"/>
        </w:rPr>
        <w:t>The Grange</w:t>
      </w:r>
      <w:r w:rsidRPr="00CE240B">
        <w:rPr>
          <w:rFonts w:cs="Arial"/>
          <w:sz w:val="24"/>
        </w:rPr>
        <w:tab/>
      </w:r>
      <w:r w:rsidRPr="00CE240B">
        <w:rPr>
          <w:rFonts w:cs="Arial"/>
          <w:sz w:val="24"/>
        </w:rPr>
        <w:tab/>
      </w:r>
      <w:r w:rsidRPr="00CE240B">
        <w:rPr>
          <w:rFonts w:cs="Arial"/>
          <w:sz w:val="24"/>
        </w:rPr>
        <w:tab/>
        <w:t>Lobley Hill Clinic</w:t>
      </w:r>
    </w:p>
    <w:p w14:paraId="13069EBC" w14:textId="77777777" w:rsidR="002867BC" w:rsidRDefault="002867BC" w:rsidP="00CE240B">
      <w:pPr>
        <w:contextualSpacing/>
        <w:rPr>
          <w:rFonts w:cs="Arial"/>
          <w:sz w:val="24"/>
        </w:rPr>
      </w:pPr>
    </w:p>
    <w:p w14:paraId="1A7BF4A6" w14:textId="7A07A9B6" w:rsidR="001D2E87" w:rsidRPr="00CE240B" w:rsidRDefault="001D2E87" w:rsidP="00CE240B">
      <w:pPr>
        <w:contextualSpacing/>
        <w:rPr>
          <w:rFonts w:cs="Arial"/>
          <w:sz w:val="24"/>
        </w:rPr>
      </w:pPr>
      <w:r w:rsidRPr="00CE240B">
        <w:rPr>
          <w:rFonts w:cs="Arial"/>
          <w:sz w:val="24"/>
        </w:rPr>
        <w:t>Each disposal will be the subject of an individual business case which will ensure that best value is achieved, values will be determined at the time of the sale.</w:t>
      </w:r>
    </w:p>
    <w:p w14:paraId="4087FC7F" w14:textId="77777777" w:rsidR="002867BC" w:rsidRDefault="002867BC">
      <w:pPr>
        <w:spacing w:after="200" w:line="276" w:lineRule="auto"/>
        <w:rPr>
          <w:rFonts w:eastAsiaTheme="minorHAnsi" w:cs="Arial"/>
          <w:b/>
          <w:bCs/>
          <w:color w:val="595959" w:themeColor="text1" w:themeTint="A6"/>
          <w:kern w:val="36"/>
          <w:sz w:val="24"/>
          <w:lang w:eastAsia="en-GB"/>
        </w:rPr>
      </w:pPr>
      <w:r>
        <w:rPr>
          <w:rFonts w:eastAsiaTheme="minorHAnsi" w:cs="Arial"/>
          <w:color w:val="595959" w:themeColor="text1" w:themeTint="A6"/>
          <w:sz w:val="24"/>
        </w:rPr>
        <w:br w:type="page"/>
      </w:r>
    </w:p>
    <w:p w14:paraId="20654BDD" w14:textId="3F3C0910" w:rsidR="001D2E87" w:rsidRPr="002D27B6" w:rsidRDefault="001D2E87" w:rsidP="00CE240B">
      <w:pPr>
        <w:pStyle w:val="Heading1"/>
        <w:contextualSpacing/>
        <w:rPr>
          <w:rFonts w:eastAsiaTheme="minorHAnsi" w:cs="Arial"/>
          <w:sz w:val="24"/>
          <w:szCs w:val="24"/>
        </w:rPr>
      </w:pPr>
      <w:r w:rsidRPr="002D27B6">
        <w:rPr>
          <w:rFonts w:eastAsiaTheme="minorHAnsi" w:cs="Arial"/>
          <w:sz w:val="24"/>
          <w:szCs w:val="24"/>
        </w:rPr>
        <w:lastRenderedPageBreak/>
        <w:t xml:space="preserve">5.5 </w:t>
      </w:r>
      <w:r w:rsidRPr="002D27B6">
        <w:rPr>
          <w:rFonts w:eastAsiaTheme="minorHAnsi" w:cs="Arial"/>
          <w:sz w:val="24"/>
          <w:szCs w:val="24"/>
        </w:rPr>
        <w:tab/>
        <w:t>Site Development Plans</w:t>
      </w:r>
    </w:p>
    <w:p w14:paraId="691C2E2B" w14:textId="5C89D0FA" w:rsidR="001D2E87" w:rsidRPr="00CE240B" w:rsidRDefault="001D2E87" w:rsidP="00CE240B">
      <w:pPr>
        <w:contextualSpacing/>
        <w:rPr>
          <w:rFonts w:cs="Arial"/>
          <w:sz w:val="24"/>
        </w:rPr>
      </w:pPr>
      <w:r w:rsidRPr="00CE240B">
        <w:rPr>
          <w:rFonts w:cs="Arial"/>
          <w:sz w:val="24"/>
        </w:rPr>
        <w:t>A number of the sites across the Trust have some form of development requirement which has been and these cover a wide range of issues and In order to understand these requirements, site development plans have been developed to illustrate the opportunities and challenges on a site by site basis</w:t>
      </w:r>
      <w:r w:rsidR="00DF49DE">
        <w:rPr>
          <w:rFonts w:cs="Arial"/>
          <w:sz w:val="24"/>
        </w:rPr>
        <w:t xml:space="preserve"> (see figures 20 -</w:t>
      </w:r>
      <w:r w:rsidR="00733EDF">
        <w:rPr>
          <w:rFonts w:cs="Arial"/>
          <w:sz w:val="24"/>
        </w:rPr>
        <w:t xml:space="preserve"> 28</w:t>
      </w:r>
      <w:r w:rsidR="00DF49DE">
        <w:rPr>
          <w:rFonts w:cs="Arial"/>
          <w:sz w:val="24"/>
        </w:rPr>
        <w:t xml:space="preserve"> below)</w:t>
      </w:r>
      <w:r w:rsidRPr="00CE240B">
        <w:rPr>
          <w:rFonts w:cs="Arial"/>
          <w:sz w:val="24"/>
        </w:rPr>
        <w:t xml:space="preserve">. </w:t>
      </w:r>
    </w:p>
    <w:p w14:paraId="792417C0" w14:textId="77777777" w:rsidR="001D2E87" w:rsidRPr="00CE240B" w:rsidRDefault="001D2E87" w:rsidP="00CE240B">
      <w:pPr>
        <w:widowControl w:val="0"/>
        <w:ind w:left="720"/>
        <w:contextualSpacing/>
        <w:outlineLvl w:val="4"/>
        <w:rPr>
          <w:rFonts w:eastAsia="Calibri" w:cs="Arial"/>
          <w:color w:val="595959"/>
          <w:sz w:val="24"/>
        </w:rPr>
      </w:pPr>
      <w:r w:rsidRPr="00CE240B">
        <w:rPr>
          <w:rFonts w:cs="Arial"/>
          <w:noProof/>
          <w:sz w:val="24"/>
          <w:lang w:eastAsia="en-GB"/>
        </w:rPr>
        <w:drawing>
          <wp:anchor distT="0" distB="0" distL="114300" distR="114300" simplePos="0" relativeHeight="251689984" behindDoc="0" locked="0" layoutInCell="1" allowOverlap="1" wp14:anchorId="4B7B9D6A" wp14:editId="6052D00F">
            <wp:simplePos x="0" y="0"/>
            <wp:positionH relativeFrom="margin">
              <wp:posOffset>453390</wp:posOffset>
            </wp:positionH>
            <wp:positionV relativeFrom="paragraph">
              <wp:posOffset>287655</wp:posOffset>
            </wp:positionV>
            <wp:extent cx="5327650" cy="3745865"/>
            <wp:effectExtent l="0" t="0" r="6350" b="698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7650" cy="3745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B00719" w14:textId="0F12FCA1" w:rsidR="001D2E87" w:rsidRDefault="00DF49DE" w:rsidP="00DF49DE">
      <w:pPr>
        <w:widowControl w:val="0"/>
        <w:ind w:left="720"/>
        <w:contextualSpacing/>
        <w:jc w:val="center"/>
        <w:outlineLvl w:val="4"/>
        <w:rPr>
          <w:rFonts w:cs="Arial"/>
          <w:noProof/>
          <w:sz w:val="24"/>
          <w:lang w:eastAsia="en-GB"/>
        </w:rPr>
      </w:pPr>
      <w:r>
        <w:rPr>
          <w:rFonts w:cs="Arial"/>
          <w:noProof/>
          <w:sz w:val="24"/>
          <w:lang w:eastAsia="en-GB"/>
        </w:rPr>
        <w:t>Figure 20</w:t>
      </w:r>
    </w:p>
    <w:p w14:paraId="56930272" w14:textId="77777777" w:rsidR="00DF49DE" w:rsidRDefault="00DF49DE" w:rsidP="00DF49DE">
      <w:pPr>
        <w:widowControl w:val="0"/>
        <w:ind w:left="720"/>
        <w:contextualSpacing/>
        <w:jc w:val="center"/>
        <w:outlineLvl w:val="4"/>
        <w:rPr>
          <w:rFonts w:cs="Arial"/>
          <w:noProof/>
          <w:sz w:val="24"/>
          <w:lang w:eastAsia="en-GB"/>
        </w:rPr>
      </w:pPr>
    </w:p>
    <w:p w14:paraId="4E90249D" w14:textId="64C69438" w:rsidR="00DF49DE" w:rsidRDefault="00DF49DE" w:rsidP="00DF49DE">
      <w:pPr>
        <w:widowControl w:val="0"/>
        <w:ind w:left="720"/>
        <w:contextualSpacing/>
        <w:jc w:val="center"/>
        <w:outlineLvl w:val="4"/>
        <w:rPr>
          <w:rFonts w:cs="Arial"/>
          <w:noProof/>
          <w:sz w:val="24"/>
          <w:lang w:eastAsia="en-GB"/>
        </w:rPr>
      </w:pPr>
      <w:r w:rsidRPr="00CE240B">
        <w:rPr>
          <w:rFonts w:cs="Arial"/>
          <w:noProof/>
          <w:sz w:val="24"/>
          <w:lang w:eastAsia="en-GB"/>
        </w:rPr>
        <w:drawing>
          <wp:inline distT="0" distB="0" distL="0" distR="0" wp14:anchorId="31311644" wp14:editId="0DAEE743">
            <wp:extent cx="5179325" cy="3631364"/>
            <wp:effectExtent l="0" t="0" r="2540" b="7620"/>
            <wp:docPr id="29" name="Picture 29" descr="A map of a hospi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a hospital&#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93913" cy="3641592"/>
                    </a:xfrm>
                    <a:prstGeom prst="rect">
                      <a:avLst/>
                    </a:prstGeom>
                    <a:noFill/>
                    <a:ln>
                      <a:noFill/>
                    </a:ln>
                  </pic:spPr>
                </pic:pic>
              </a:graphicData>
            </a:graphic>
          </wp:inline>
        </w:drawing>
      </w:r>
    </w:p>
    <w:p w14:paraId="0A77F4DD" w14:textId="3A6C64A4" w:rsidR="00DF49DE" w:rsidRPr="00CE240B" w:rsidRDefault="00DF49DE" w:rsidP="00DF49DE">
      <w:pPr>
        <w:widowControl w:val="0"/>
        <w:contextualSpacing/>
        <w:jc w:val="center"/>
        <w:outlineLvl w:val="4"/>
        <w:rPr>
          <w:rFonts w:cs="Arial"/>
          <w:noProof/>
          <w:sz w:val="24"/>
          <w:lang w:eastAsia="en-GB"/>
        </w:rPr>
      </w:pPr>
      <w:r>
        <w:rPr>
          <w:rFonts w:cs="Arial"/>
          <w:noProof/>
          <w:sz w:val="24"/>
          <w:lang w:eastAsia="en-GB"/>
        </w:rPr>
        <w:t>Figure 21</w:t>
      </w:r>
    </w:p>
    <w:p w14:paraId="140D4F15" w14:textId="038519C7" w:rsidR="001D2E87" w:rsidRPr="00CE240B" w:rsidRDefault="001D2E87" w:rsidP="00CE240B">
      <w:pPr>
        <w:widowControl w:val="0"/>
        <w:ind w:left="720"/>
        <w:contextualSpacing/>
        <w:outlineLvl w:val="4"/>
        <w:rPr>
          <w:rFonts w:eastAsia="Calibri" w:cs="Arial"/>
          <w:color w:val="595959"/>
          <w:sz w:val="24"/>
        </w:rPr>
      </w:pPr>
    </w:p>
    <w:p w14:paraId="5D9F9BFD" w14:textId="77777777" w:rsidR="001D2E87" w:rsidRPr="00CE240B" w:rsidRDefault="001D2E87" w:rsidP="00CE240B">
      <w:pPr>
        <w:contextualSpacing/>
        <w:rPr>
          <w:rFonts w:cs="Arial"/>
          <w:sz w:val="24"/>
        </w:rPr>
      </w:pPr>
    </w:p>
    <w:p w14:paraId="4F301E10" w14:textId="77777777" w:rsidR="001D2E87" w:rsidRPr="00CE240B" w:rsidRDefault="001D2E87" w:rsidP="00CE240B">
      <w:pPr>
        <w:contextualSpacing/>
        <w:rPr>
          <w:rFonts w:cs="Arial"/>
          <w:sz w:val="24"/>
        </w:rPr>
      </w:pPr>
    </w:p>
    <w:p w14:paraId="03FE2DE6" w14:textId="77777777" w:rsidR="001D2E87" w:rsidRPr="00CE240B" w:rsidRDefault="001D2E87" w:rsidP="00CE240B">
      <w:pPr>
        <w:pStyle w:val="BodyText"/>
        <w:spacing w:line="240" w:lineRule="auto"/>
        <w:contextualSpacing/>
        <w:rPr>
          <w:rFonts w:cs="Arial"/>
        </w:rPr>
      </w:pPr>
      <w:r w:rsidRPr="00CE240B">
        <w:rPr>
          <w:rFonts w:cs="Arial"/>
          <w:noProof/>
          <w:lang w:eastAsia="en-GB"/>
        </w:rPr>
        <w:drawing>
          <wp:inline distT="0" distB="0" distL="0" distR="0" wp14:anchorId="0DF46B56" wp14:editId="74C6891F">
            <wp:extent cx="5404302" cy="3787200"/>
            <wp:effectExtent l="0" t="0" r="635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8442" cy="3797109"/>
                    </a:xfrm>
                    <a:prstGeom prst="rect">
                      <a:avLst/>
                    </a:prstGeom>
                    <a:noFill/>
                    <a:ln>
                      <a:noFill/>
                    </a:ln>
                  </pic:spPr>
                </pic:pic>
              </a:graphicData>
            </a:graphic>
          </wp:inline>
        </w:drawing>
      </w:r>
    </w:p>
    <w:p w14:paraId="49337B1D" w14:textId="3B3BFB0A" w:rsidR="001D2E87" w:rsidRDefault="00DF49DE" w:rsidP="00DF49DE">
      <w:pPr>
        <w:pStyle w:val="BodyText"/>
        <w:spacing w:line="240" w:lineRule="auto"/>
        <w:contextualSpacing/>
        <w:jc w:val="center"/>
        <w:rPr>
          <w:rFonts w:cs="Arial"/>
        </w:rPr>
      </w:pPr>
      <w:r>
        <w:rPr>
          <w:rFonts w:cs="Arial"/>
        </w:rPr>
        <w:t>Figure 22</w:t>
      </w:r>
    </w:p>
    <w:p w14:paraId="21D545E7" w14:textId="77777777" w:rsidR="00DF49DE" w:rsidRPr="00CE240B" w:rsidRDefault="00DF49DE" w:rsidP="00DF49DE">
      <w:pPr>
        <w:pStyle w:val="BodyText"/>
        <w:spacing w:line="240" w:lineRule="auto"/>
        <w:contextualSpacing/>
        <w:jc w:val="center"/>
        <w:rPr>
          <w:rFonts w:cs="Arial"/>
        </w:rPr>
      </w:pPr>
    </w:p>
    <w:p w14:paraId="5706E7F7" w14:textId="77777777" w:rsidR="001D2E87" w:rsidRPr="00CE240B" w:rsidRDefault="001D2E87" w:rsidP="00CE240B">
      <w:pPr>
        <w:pStyle w:val="BodyText"/>
        <w:spacing w:line="240" w:lineRule="auto"/>
        <w:contextualSpacing/>
        <w:rPr>
          <w:rFonts w:cs="Arial"/>
        </w:rPr>
      </w:pPr>
      <w:r w:rsidRPr="00CE240B">
        <w:rPr>
          <w:rFonts w:cs="Arial"/>
          <w:noProof/>
          <w:lang w:eastAsia="en-GB"/>
        </w:rPr>
        <w:drawing>
          <wp:inline distT="0" distB="0" distL="0" distR="0" wp14:anchorId="7F876404" wp14:editId="0814F41A">
            <wp:extent cx="5392084" cy="3784986"/>
            <wp:effectExtent l="0" t="0" r="0" b="6350"/>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0776" cy="3819165"/>
                    </a:xfrm>
                    <a:prstGeom prst="rect">
                      <a:avLst/>
                    </a:prstGeom>
                    <a:noFill/>
                    <a:ln>
                      <a:noFill/>
                    </a:ln>
                  </pic:spPr>
                </pic:pic>
              </a:graphicData>
            </a:graphic>
          </wp:inline>
        </w:drawing>
      </w:r>
    </w:p>
    <w:p w14:paraId="3EFDE62B" w14:textId="48B7C6FC" w:rsidR="001D2E87" w:rsidRPr="00CE240B" w:rsidRDefault="00DF49DE" w:rsidP="00DF49DE">
      <w:pPr>
        <w:contextualSpacing/>
        <w:jc w:val="center"/>
        <w:rPr>
          <w:rFonts w:cs="Arial"/>
          <w:sz w:val="24"/>
        </w:rPr>
      </w:pPr>
      <w:r>
        <w:rPr>
          <w:rFonts w:cs="Arial"/>
          <w:sz w:val="24"/>
        </w:rPr>
        <w:t>Figure 23</w:t>
      </w:r>
    </w:p>
    <w:p w14:paraId="2D73C7A1" w14:textId="77777777" w:rsidR="001D2E87" w:rsidRPr="00CE240B" w:rsidRDefault="001D2E87" w:rsidP="00CE240B">
      <w:pPr>
        <w:contextualSpacing/>
        <w:rPr>
          <w:rFonts w:cs="Arial"/>
          <w:sz w:val="24"/>
        </w:rPr>
      </w:pPr>
    </w:p>
    <w:p w14:paraId="4DBE3451" w14:textId="77777777" w:rsidR="001D2E87" w:rsidRPr="00CE240B" w:rsidRDefault="001D2E87" w:rsidP="00CE240B">
      <w:pPr>
        <w:contextualSpacing/>
        <w:rPr>
          <w:rFonts w:cs="Arial"/>
          <w:sz w:val="24"/>
        </w:rPr>
      </w:pPr>
    </w:p>
    <w:p w14:paraId="14E9F68C" w14:textId="77777777" w:rsidR="001D2E87" w:rsidRPr="00CE240B" w:rsidRDefault="001D2E87" w:rsidP="00CE240B">
      <w:pPr>
        <w:pStyle w:val="BodyText"/>
        <w:spacing w:line="240" w:lineRule="auto"/>
        <w:contextualSpacing/>
        <w:rPr>
          <w:rFonts w:cs="Arial"/>
        </w:rPr>
      </w:pPr>
      <w:r w:rsidRPr="00CE240B">
        <w:rPr>
          <w:rFonts w:cs="Arial"/>
          <w:noProof/>
          <w:lang w:eastAsia="en-GB"/>
        </w:rPr>
        <w:lastRenderedPageBreak/>
        <w:drawing>
          <wp:inline distT="0" distB="0" distL="0" distR="0" wp14:anchorId="26E54CA8" wp14:editId="45BAA03F">
            <wp:extent cx="5413563" cy="3801430"/>
            <wp:effectExtent l="0" t="0" r="0" b="8890"/>
            <wp:docPr id="3393" name="Picture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3107" cy="3815154"/>
                    </a:xfrm>
                    <a:prstGeom prst="rect">
                      <a:avLst/>
                    </a:prstGeom>
                    <a:noFill/>
                    <a:ln>
                      <a:noFill/>
                    </a:ln>
                  </pic:spPr>
                </pic:pic>
              </a:graphicData>
            </a:graphic>
          </wp:inline>
        </w:drawing>
      </w:r>
    </w:p>
    <w:p w14:paraId="6EA41AA5" w14:textId="1717F5EA" w:rsidR="001D2E87" w:rsidRDefault="00DF49DE" w:rsidP="00DF49DE">
      <w:pPr>
        <w:pStyle w:val="BodyText"/>
        <w:spacing w:line="240" w:lineRule="auto"/>
        <w:contextualSpacing/>
        <w:jc w:val="center"/>
        <w:rPr>
          <w:rFonts w:cs="Arial"/>
        </w:rPr>
      </w:pPr>
      <w:r>
        <w:rPr>
          <w:rFonts w:cs="Arial"/>
        </w:rPr>
        <w:t>Figure 24</w:t>
      </w:r>
    </w:p>
    <w:p w14:paraId="32E54DD1" w14:textId="77777777" w:rsidR="00DF49DE" w:rsidRPr="00CE240B" w:rsidRDefault="00DF49DE" w:rsidP="00DF49DE">
      <w:pPr>
        <w:pStyle w:val="BodyText"/>
        <w:spacing w:line="240" w:lineRule="auto"/>
        <w:contextualSpacing/>
        <w:jc w:val="center"/>
        <w:rPr>
          <w:rFonts w:cs="Arial"/>
        </w:rPr>
      </w:pPr>
    </w:p>
    <w:p w14:paraId="289F1837" w14:textId="77777777" w:rsidR="001D2E87" w:rsidRPr="00CE240B" w:rsidRDefault="001D2E87" w:rsidP="00CE240B">
      <w:pPr>
        <w:pStyle w:val="BodyText"/>
        <w:spacing w:line="240" w:lineRule="auto"/>
        <w:contextualSpacing/>
        <w:rPr>
          <w:rFonts w:cs="Arial"/>
        </w:rPr>
      </w:pPr>
      <w:r w:rsidRPr="00CE240B">
        <w:rPr>
          <w:rFonts w:cs="Arial"/>
          <w:noProof/>
          <w:lang w:eastAsia="en-GB"/>
        </w:rPr>
        <w:drawing>
          <wp:inline distT="0" distB="0" distL="0" distR="0" wp14:anchorId="23A27B36" wp14:editId="2B5D96CB">
            <wp:extent cx="5423816" cy="3808630"/>
            <wp:effectExtent l="0" t="0" r="5715" b="1905"/>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5327" cy="3830757"/>
                    </a:xfrm>
                    <a:prstGeom prst="rect">
                      <a:avLst/>
                    </a:prstGeom>
                    <a:noFill/>
                    <a:ln>
                      <a:noFill/>
                    </a:ln>
                  </pic:spPr>
                </pic:pic>
              </a:graphicData>
            </a:graphic>
          </wp:inline>
        </w:drawing>
      </w:r>
    </w:p>
    <w:p w14:paraId="7A70BB96" w14:textId="20676262" w:rsidR="001D2E87" w:rsidRPr="00CE240B" w:rsidRDefault="00DF49DE" w:rsidP="00DF49DE">
      <w:pPr>
        <w:contextualSpacing/>
        <w:jc w:val="center"/>
        <w:rPr>
          <w:rFonts w:cs="Arial"/>
          <w:sz w:val="24"/>
        </w:rPr>
      </w:pPr>
      <w:r>
        <w:rPr>
          <w:rFonts w:cs="Arial"/>
          <w:sz w:val="24"/>
        </w:rPr>
        <w:t>Figure 25</w:t>
      </w:r>
    </w:p>
    <w:p w14:paraId="51D95FE1" w14:textId="77777777" w:rsidR="001D2E87" w:rsidRPr="00CE240B" w:rsidRDefault="001D2E87" w:rsidP="00CE240B">
      <w:pPr>
        <w:contextualSpacing/>
        <w:rPr>
          <w:rFonts w:cs="Arial"/>
          <w:sz w:val="24"/>
        </w:rPr>
      </w:pPr>
    </w:p>
    <w:p w14:paraId="1B401448" w14:textId="77777777" w:rsidR="001D2E87" w:rsidRPr="00CE240B" w:rsidRDefault="001D2E87" w:rsidP="00CE240B">
      <w:pPr>
        <w:pStyle w:val="BodyText"/>
        <w:spacing w:line="240" w:lineRule="auto"/>
        <w:contextualSpacing/>
        <w:rPr>
          <w:rFonts w:cs="Arial"/>
        </w:rPr>
      </w:pPr>
      <w:r w:rsidRPr="00CE240B">
        <w:rPr>
          <w:rFonts w:cs="Arial"/>
          <w:noProof/>
          <w:lang w:eastAsia="en-GB"/>
        </w:rPr>
        <w:lastRenderedPageBreak/>
        <w:drawing>
          <wp:inline distT="0" distB="0" distL="0" distR="0" wp14:anchorId="406EAADC" wp14:editId="709D8DD7">
            <wp:extent cx="5371475" cy="3758400"/>
            <wp:effectExtent l="0" t="0" r="635" b="0"/>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4749" cy="3774685"/>
                    </a:xfrm>
                    <a:prstGeom prst="rect">
                      <a:avLst/>
                    </a:prstGeom>
                    <a:noFill/>
                    <a:ln>
                      <a:noFill/>
                    </a:ln>
                  </pic:spPr>
                </pic:pic>
              </a:graphicData>
            </a:graphic>
          </wp:inline>
        </w:drawing>
      </w:r>
    </w:p>
    <w:p w14:paraId="0456C3F5" w14:textId="7EE249B8" w:rsidR="001D2E87" w:rsidRDefault="00DF49DE" w:rsidP="00DF49DE">
      <w:pPr>
        <w:contextualSpacing/>
        <w:jc w:val="center"/>
        <w:rPr>
          <w:rFonts w:cs="Arial"/>
          <w:sz w:val="24"/>
        </w:rPr>
      </w:pPr>
      <w:r>
        <w:rPr>
          <w:rFonts w:cs="Arial"/>
          <w:sz w:val="24"/>
        </w:rPr>
        <w:t>Figure 26</w:t>
      </w:r>
    </w:p>
    <w:p w14:paraId="244E2032" w14:textId="77777777" w:rsidR="00DF49DE" w:rsidRPr="00CE240B" w:rsidRDefault="00DF49DE" w:rsidP="00DF49DE">
      <w:pPr>
        <w:contextualSpacing/>
        <w:jc w:val="center"/>
        <w:rPr>
          <w:rFonts w:cs="Arial"/>
          <w:sz w:val="24"/>
        </w:rPr>
      </w:pPr>
    </w:p>
    <w:p w14:paraId="0FA85184" w14:textId="77777777" w:rsidR="001D2E87" w:rsidRPr="00CE240B" w:rsidRDefault="001D2E87" w:rsidP="00CE240B">
      <w:pPr>
        <w:pStyle w:val="BodyText"/>
        <w:spacing w:line="240" w:lineRule="auto"/>
        <w:contextualSpacing/>
        <w:rPr>
          <w:rFonts w:cs="Arial"/>
        </w:rPr>
      </w:pPr>
      <w:r w:rsidRPr="00CE240B">
        <w:rPr>
          <w:rFonts w:cs="Arial"/>
          <w:noProof/>
          <w:lang w:eastAsia="en-GB"/>
        </w:rPr>
        <w:drawing>
          <wp:inline distT="0" distB="0" distL="0" distR="0" wp14:anchorId="67575BBA" wp14:editId="1D66DAB2">
            <wp:extent cx="5328000" cy="3735605"/>
            <wp:effectExtent l="0" t="0" r="6350" b="0"/>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8206" cy="3742761"/>
                    </a:xfrm>
                    <a:prstGeom prst="rect">
                      <a:avLst/>
                    </a:prstGeom>
                    <a:noFill/>
                    <a:ln>
                      <a:noFill/>
                    </a:ln>
                  </pic:spPr>
                </pic:pic>
              </a:graphicData>
            </a:graphic>
          </wp:inline>
        </w:drawing>
      </w:r>
    </w:p>
    <w:p w14:paraId="474C01AE" w14:textId="4EF0D03D" w:rsidR="001D2E87" w:rsidRPr="00CE240B" w:rsidRDefault="00DF49DE" w:rsidP="00DF49DE">
      <w:pPr>
        <w:contextualSpacing/>
        <w:jc w:val="center"/>
        <w:rPr>
          <w:rFonts w:cs="Arial"/>
          <w:sz w:val="24"/>
        </w:rPr>
      </w:pPr>
      <w:r>
        <w:rPr>
          <w:rFonts w:cs="Arial"/>
          <w:sz w:val="24"/>
        </w:rPr>
        <w:t>Figure 27</w:t>
      </w:r>
    </w:p>
    <w:p w14:paraId="49E94A0D" w14:textId="77777777" w:rsidR="001D2E87" w:rsidRPr="00CE240B" w:rsidRDefault="001D2E87" w:rsidP="00CE240B">
      <w:pPr>
        <w:contextualSpacing/>
        <w:rPr>
          <w:rFonts w:cs="Arial"/>
          <w:sz w:val="24"/>
        </w:rPr>
      </w:pPr>
    </w:p>
    <w:p w14:paraId="15CAA666" w14:textId="77777777" w:rsidR="001D2E87" w:rsidRPr="00CE240B" w:rsidRDefault="001D2E87" w:rsidP="00CE240B">
      <w:pPr>
        <w:contextualSpacing/>
        <w:rPr>
          <w:rFonts w:cs="Arial"/>
          <w:sz w:val="24"/>
        </w:rPr>
      </w:pPr>
    </w:p>
    <w:p w14:paraId="1A5E4A15" w14:textId="77777777" w:rsidR="001D2E87" w:rsidRPr="00CE240B" w:rsidRDefault="001D2E87" w:rsidP="00CE240B">
      <w:pPr>
        <w:pStyle w:val="BodyText"/>
        <w:spacing w:line="240" w:lineRule="auto"/>
        <w:contextualSpacing/>
        <w:rPr>
          <w:rFonts w:cs="Arial"/>
        </w:rPr>
      </w:pPr>
      <w:r w:rsidRPr="00CE240B">
        <w:rPr>
          <w:rFonts w:cs="Arial"/>
          <w:noProof/>
          <w:lang w:eastAsia="en-GB"/>
        </w:rPr>
        <w:lastRenderedPageBreak/>
        <w:drawing>
          <wp:inline distT="0" distB="0" distL="0" distR="0" wp14:anchorId="0DE09644" wp14:editId="7BF159A2">
            <wp:extent cx="5313600" cy="3725508"/>
            <wp:effectExtent l="0" t="0" r="1905" b="8890"/>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1999" cy="3731397"/>
                    </a:xfrm>
                    <a:prstGeom prst="rect">
                      <a:avLst/>
                    </a:prstGeom>
                    <a:noFill/>
                    <a:ln>
                      <a:noFill/>
                    </a:ln>
                  </pic:spPr>
                </pic:pic>
              </a:graphicData>
            </a:graphic>
          </wp:inline>
        </w:drawing>
      </w:r>
    </w:p>
    <w:p w14:paraId="2E4CD5DB" w14:textId="2BBA5828" w:rsidR="001D2E87" w:rsidRPr="00CE240B" w:rsidRDefault="001D2E87" w:rsidP="00CE240B">
      <w:pPr>
        <w:contextualSpacing/>
        <w:jc w:val="center"/>
        <w:rPr>
          <w:rFonts w:cs="Arial"/>
          <w:sz w:val="24"/>
        </w:rPr>
      </w:pPr>
      <w:r>
        <w:t>Figure 2</w:t>
      </w:r>
      <w:r w:rsidR="00DF49DE">
        <w:t>8</w:t>
      </w:r>
      <w:r>
        <w:t xml:space="preserve"> Site Development Plans</w:t>
      </w:r>
    </w:p>
    <w:p w14:paraId="54B4FE4F" w14:textId="7D3483C0" w:rsidR="001D2E87" w:rsidRPr="00CE240B" w:rsidRDefault="001D2E87" w:rsidP="00CE240B">
      <w:pPr>
        <w:pStyle w:val="Heading1"/>
        <w:contextualSpacing/>
        <w:rPr>
          <w:rFonts w:eastAsia="Arial" w:cs="Arial"/>
          <w:sz w:val="24"/>
          <w:szCs w:val="24"/>
        </w:rPr>
      </w:pPr>
      <w:r w:rsidRPr="00CE240B">
        <w:rPr>
          <w:rFonts w:eastAsia="Arial" w:cs="Arial"/>
          <w:sz w:val="24"/>
          <w:szCs w:val="24"/>
        </w:rPr>
        <w:t>5.6</w:t>
      </w:r>
      <w:r w:rsidRPr="00CE240B">
        <w:rPr>
          <w:rFonts w:eastAsia="Arial" w:cs="Arial"/>
          <w:sz w:val="24"/>
          <w:szCs w:val="24"/>
        </w:rPr>
        <w:tab/>
        <w:t>Delivery of the Estates Strategy</w:t>
      </w:r>
    </w:p>
    <w:p w14:paraId="3E8D0F0A" w14:textId="77777777" w:rsidR="001D2E87" w:rsidRPr="00CE240B" w:rsidRDefault="001D2E87" w:rsidP="00CE240B">
      <w:pPr>
        <w:contextualSpacing/>
        <w:rPr>
          <w:rFonts w:cs="Arial"/>
          <w:sz w:val="24"/>
        </w:rPr>
      </w:pPr>
      <w:proofErr w:type="gramStart"/>
      <w:r w:rsidRPr="00CE240B">
        <w:rPr>
          <w:rFonts w:cs="Arial"/>
          <w:sz w:val="24"/>
        </w:rPr>
        <w:t>In order to</w:t>
      </w:r>
      <w:proofErr w:type="gramEnd"/>
      <w:r w:rsidRPr="00CE240B">
        <w:rPr>
          <w:rFonts w:cs="Arial"/>
          <w:sz w:val="24"/>
        </w:rPr>
        <w:t xml:space="preserve"> deliver an ambitious capital program of work over the next 5 years, coupled with the planning required and the associated land sales, the Trust will require </w:t>
      </w:r>
      <w:proofErr w:type="gramStart"/>
      <w:r w:rsidRPr="00CE240B">
        <w:rPr>
          <w:rFonts w:cs="Arial"/>
          <w:sz w:val="24"/>
        </w:rPr>
        <w:t>a number of</w:t>
      </w:r>
      <w:proofErr w:type="gramEnd"/>
      <w:r w:rsidRPr="00CE240B">
        <w:rPr>
          <w:rFonts w:cs="Arial"/>
          <w:sz w:val="24"/>
        </w:rPr>
        <w:t xml:space="preserve"> elements to be in place, including:</w:t>
      </w:r>
    </w:p>
    <w:p w14:paraId="4486D384" w14:textId="77777777" w:rsidR="001D2E87" w:rsidRPr="00CE240B" w:rsidRDefault="001D2E87" w:rsidP="002867BC">
      <w:pPr>
        <w:pStyle w:val="ListParagraph"/>
        <w:numPr>
          <w:ilvl w:val="0"/>
          <w:numId w:val="55"/>
        </w:numPr>
        <w:spacing w:before="120" w:after="120"/>
        <w:ind w:right="340"/>
        <w:jc w:val="both"/>
        <w:rPr>
          <w:rFonts w:cs="Arial"/>
          <w:sz w:val="24"/>
        </w:rPr>
      </w:pPr>
      <w:r w:rsidRPr="00CE240B">
        <w:rPr>
          <w:rFonts w:cs="Arial"/>
          <w:sz w:val="24"/>
        </w:rPr>
        <w:t>Expertise and team working</w:t>
      </w:r>
    </w:p>
    <w:p w14:paraId="036D437A" w14:textId="77777777" w:rsidR="001D2E87" w:rsidRPr="00CE240B" w:rsidRDefault="001D2E87" w:rsidP="002867BC">
      <w:pPr>
        <w:pStyle w:val="ListParagraph"/>
        <w:numPr>
          <w:ilvl w:val="0"/>
          <w:numId w:val="55"/>
        </w:numPr>
        <w:spacing w:before="120" w:after="120"/>
        <w:ind w:right="340"/>
        <w:jc w:val="both"/>
        <w:rPr>
          <w:rFonts w:cs="Arial"/>
          <w:sz w:val="24"/>
        </w:rPr>
      </w:pPr>
      <w:r w:rsidRPr="00CE240B">
        <w:rPr>
          <w:rFonts w:cs="Arial"/>
          <w:sz w:val="24"/>
        </w:rPr>
        <w:t>Procurement framework</w:t>
      </w:r>
    </w:p>
    <w:p w14:paraId="11C24E9A" w14:textId="77777777" w:rsidR="001D2E87" w:rsidRPr="00CE240B" w:rsidRDefault="001D2E87" w:rsidP="002867BC">
      <w:pPr>
        <w:pStyle w:val="ListParagraph"/>
        <w:numPr>
          <w:ilvl w:val="0"/>
          <w:numId w:val="55"/>
        </w:numPr>
        <w:spacing w:before="120" w:after="120"/>
        <w:ind w:right="340"/>
        <w:jc w:val="both"/>
        <w:rPr>
          <w:rFonts w:cs="Arial"/>
          <w:sz w:val="24"/>
        </w:rPr>
      </w:pPr>
      <w:r w:rsidRPr="00CE240B">
        <w:rPr>
          <w:rFonts w:cs="Arial"/>
          <w:sz w:val="24"/>
        </w:rPr>
        <w:t>Construction partner</w:t>
      </w:r>
    </w:p>
    <w:p w14:paraId="664E3505" w14:textId="77777777" w:rsidR="001D2E87" w:rsidRPr="00CE240B" w:rsidRDefault="001D2E87" w:rsidP="002867BC">
      <w:pPr>
        <w:pStyle w:val="ListParagraph"/>
        <w:numPr>
          <w:ilvl w:val="0"/>
          <w:numId w:val="55"/>
        </w:numPr>
        <w:spacing w:before="120" w:after="120"/>
        <w:ind w:right="340"/>
        <w:jc w:val="both"/>
        <w:rPr>
          <w:rFonts w:cs="Arial"/>
          <w:sz w:val="24"/>
        </w:rPr>
      </w:pPr>
      <w:r w:rsidRPr="00CE240B">
        <w:rPr>
          <w:rFonts w:cs="Arial"/>
          <w:sz w:val="24"/>
        </w:rPr>
        <w:t>Capital funds</w:t>
      </w:r>
    </w:p>
    <w:p w14:paraId="44B332B7" w14:textId="77777777" w:rsidR="002867BC" w:rsidRDefault="002867BC" w:rsidP="00CE240B">
      <w:pPr>
        <w:contextualSpacing/>
        <w:rPr>
          <w:rFonts w:cs="Arial"/>
          <w:b/>
          <w:sz w:val="24"/>
        </w:rPr>
      </w:pPr>
    </w:p>
    <w:p w14:paraId="6155012B" w14:textId="3BEE6C08" w:rsidR="001D2E87" w:rsidRDefault="001D2E87" w:rsidP="00CE240B">
      <w:pPr>
        <w:contextualSpacing/>
        <w:rPr>
          <w:rFonts w:cs="Arial"/>
          <w:b/>
          <w:color w:val="0070C0"/>
          <w:sz w:val="24"/>
        </w:rPr>
      </w:pPr>
      <w:r w:rsidRPr="002D27B6">
        <w:rPr>
          <w:rFonts w:cs="Arial"/>
          <w:b/>
          <w:color w:val="0070C0"/>
          <w:sz w:val="24"/>
        </w:rPr>
        <w:t>5.6.1</w:t>
      </w:r>
      <w:r w:rsidRPr="002D27B6">
        <w:rPr>
          <w:rFonts w:cs="Arial"/>
          <w:b/>
          <w:color w:val="0070C0"/>
          <w:sz w:val="24"/>
        </w:rPr>
        <w:tab/>
        <w:t>Expertise</w:t>
      </w:r>
    </w:p>
    <w:p w14:paraId="7A4C0874" w14:textId="77777777" w:rsidR="002D27B6" w:rsidRPr="002D27B6" w:rsidRDefault="002D27B6" w:rsidP="00CE240B">
      <w:pPr>
        <w:contextualSpacing/>
        <w:rPr>
          <w:rFonts w:cs="Arial"/>
          <w:b/>
          <w:color w:val="0070C0"/>
          <w:sz w:val="24"/>
        </w:rPr>
      </w:pPr>
    </w:p>
    <w:p w14:paraId="151AAE3C" w14:textId="77777777" w:rsidR="001D2E87" w:rsidRPr="00CE240B" w:rsidRDefault="001D2E87" w:rsidP="00CE240B">
      <w:pPr>
        <w:contextualSpacing/>
        <w:rPr>
          <w:rFonts w:cs="Arial"/>
          <w:sz w:val="24"/>
        </w:rPr>
      </w:pPr>
      <w:r w:rsidRPr="00CE240B">
        <w:rPr>
          <w:rFonts w:cs="Arial"/>
          <w:sz w:val="24"/>
        </w:rPr>
        <w:t>The Trust has within its operating group the expertise within the Estates Department to deliver the specialist aspects associated with overseeing the construction contract. The Estates Department works with a wider team for the scheme development and delivery, including:</w:t>
      </w:r>
    </w:p>
    <w:p w14:paraId="3B9ADE95" w14:textId="77777777" w:rsidR="001D2E87" w:rsidRPr="00CE240B" w:rsidRDefault="001D2E87" w:rsidP="002867BC">
      <w:pPr>
        <w:pStyle w:val="ListParagraph"/>
        <w:numPr>
          <w:ilvl w:val="0"/>
          <w:numId w:val="56"/>
        </w:numPr>
        <w:spacing w:before="120" w:after="120"/>
        <w:ind w:right="340"/>
        <w:jc w:val="both"/>
        <w:rPr>
          <w:rFonts w:cs="Arial"/>
          <w:sz w:val="24"/>
        </w:rPr>
      </w:pPr>
      <w:r w:rsidRPr="00CE240B">
        <w:rPr>
          <w:rFonts w:cs="Arial"/>
          <w:sz w:val="24"/>
        </w:rPr>
        <w:t>Clinical staff</w:t>
      </w:r>
    </w:p>
    <w:p w14:paraId="3F59C91B" w14:textId="77777777" w:rsidR="001D2E87" w:rsidRPr="00CE240B" w:rsidRDefault="001D2E87" w:rsidP="002867BC">
      <w:pPr>
        <w:pStyle w:val="ListParagraph"/>
        <w:numPr>
          <w:ilvl w:val="0"/>
          <w:numId w:val="56"/>
        </w:numPr>
        <w:spacing w:before="120" w:after="120"/>
        <w:ind w:right="340"/>
        <w:jc w:val="both"/>
        <w:rPr>
          <w:rFonts w:cs="Arial"/>
          <w:sz w:val="24"/>
        </w:rPr>
      </w:pPr>
      <w:r w:rsidRPr="00CE240B">
        <w:rPr>
          <w:rFonts w:cs="Arial"/>
          <w:sz w:val="24"/>
        </w:rPr>
        <w:t>Patients and carers</w:t>
      </w:r>
    </w:p>
    <w:p w14:paraId="7284D584" w14:textId="77777777" w:rsidR="001D2E87" w:rsidRPr="00CE240B" w:rsidRDefault="001D2E87" w:rsidP="002867BC">
      <w:pPr>
        <w:pStyle w:val="ListParagraph"/>
        <w:numPr>
          <w:ilvl w:val="0"/>
          <w:numId w:val="56"/>
        </w:numPr>
        <w:spacing w:before="120" w:after="120"/>
        <w:ind w:right="340"/>
        <w:jc w:val="both"/>
        <w:rPr>
          <w:rFonts w:cs="Arial"/>
          <w:sz w:val="24"/>
        </w:rPr>
      </w:pPr>
      <w:r w:rsidRPr="00CE240B">
        <w:rPr>
          <w:rFonts w:cs="Arial"/>
          <w:sz w:val="24"/>
        </w:rPr>
        <w:t>Specific multi-disciplinary project boards and planning groups</w:t>
      </w:r>
    </w:p>
    <w:p w14:paraId="6D001872" w14:textId="77777777" w:rsidR="001D2E87" w:rsidRPr="00CE240B" w:rsidRDefault="001D2E87" w:rsidP="002867BC">
      <w:pPr>
        <w:pStyle w:val="ListParagraph"/>
        <w:numPr>
          <w:ilvl w:val="0"/>
          <w:numId w:val="56"/>
        </w:numPr>
        <w:spacing w:before="120" w:after="120"/>
        <w:ind w:right="340"/>
        <w:jc w:val="both"/>
        <w:rPr>
          <w:rFonts w:cs="Arial"/>
          <w:sz w:val="24"/>
        </w:rPr>
      </w:pPr>
      <w:r w:rsidRPr="00CE240B">
        <w:rPr>
          <w:rFonts w:cs="Arial"/>
          <w:sz w:val="24"/>
        </w:rPr>
        <w:t>Architects</w:t>
      </w:r>
    </w:p>
    <w:p w14:paraId="37B6B20B" w14:textId="77777777" w:rsidR="001D2E87" w:rsidRPr="00CE240B" w:rsidRDefault="001D2E87" w:rsidP="002867BC">
      <w:pPr>
        <w:pStyle w:val="ListParagraph"/>
        <w:numPr>
          <w:ilvl w:val="0"/>
          <w:numId w:val="56"/>
        </w:numPr>
        <w:spacing w:before="120" w:after="120"/>
        <w:ind w:right="340"/>
        <w:jc w:val="both"/>
        <w:rPr>
          <w:rFonts w:cs="Arial"/>
          <w:sz w:val="24"/>
        </w:rPr>
      </w:pPr>
      <w:r w:rsidRPr="00CE240B">
        <w:rPr>
          <w:rFonts w:cs="Arial"/>
          <w:sz w:val="24"/>
        </w:rPr>
        <w:t>Specialist designers and consultants</w:t>
      </w:r>
    </w:p>
    <w:p w14:paraId="35542D39" w14:textId="77777777" w:rsidR="002D27B6" w:rsidRDefault="001D2E87" w:rsidP="00CE240B">
      <w:pPr>
        <w:contextualSpacing/>
        <w:rPr>
          <w:rFonts w:cs="Arial"/>
          <w:sz w:val="24"/>
        </w:rPr>
      </w:pPr>
      <w:r w:rsidRPr="00CE240B">
        <w:rPr>
          <w:rFonts w:cs="Arial"/>
          <w:sz w:val="24"/>
        </w:rPr>
        <w:t xml:space="preserve">The Estates Department has been involved in the delivery of a continuous stream of capital projects over the last 18 years, building up experience and expertise that will </w:t>
      </w:r>
    </w:p>
    <w:p w14:paraId="76D927BC" w14:textId="0ABAA4E2" w:rsidR="001D2E87" w:rsidRDefault="001D2E87" w:rsidP="00CE240B">
      <w:pPr>
        <w:contextualSpacing/>
        <w:rPr>
          <w:rFonts w:cs="Arial"/>
          <w:sz w:val="24"/>
        </w:rPr>
      </w:pPr>
      <w:r w:rsidRPr="00CE240B">
        <w:rPr>
          <w:rFonts w:cs="Arial"/>
          <w:sz w:val="24"/>
        </w:rPr>
        <w:t>be invaluable in the delivery of the Estates Strategy over the next 5 years.</w:t>
      </w:r>
    </w:p>
    <w:p w14:paraId="321E82ED" w14:textId="77777777" w:rsidR="002D27B6" w:rsidRDefault="002D27B6" w:rsidP="00CE240B">
      <w:pPr>
        <w:contextualSpacing/>
        <w:rPr>
          <w:rFonts w:cs="Arial"/>
          <w:sz w:val="24"/>
        </w:rPr>
      </w:pPr>
    </w:p>
    <w:p w14:paraId="05BE380A" w14:textId="77777777" w:rsidR="002D27B6" w:rsidRDefault="002D27B6" w:rsidP="00CE240B">
      <w:pPr>
        <w:contextualSpacing/>
        <w:rPr>
          <w:rFonts w:cs="Arial"/>
          <w:sz w:val="24"/>
        </w:rPr>
      </w:pPr>
    </w:p>
    <w:p w14:paraId="4307D3A8" w14:textId="77777777" w:rsidR="002D27B6" w:rsidRPr="00CE240B" w:rsidRDefault="002D27B6" w:rsidP="00CE240B">
      <w:pPr>
        <w:contextualSpacing/>
        <w:rPr>
          <w:rFonts w:cs="Arial"/>
          <w:sz w:val="24"/>
        </w:rPr>
      </w:pPr>
    </w:p>
    <w:p w14:paraId="7FF111FB" w14:textId="77777777" w:rsidR="002867BC" w:rsidRPr="002D27B6" w:rsidRDefault="002867BC" w:rsidP="00CE240B">
      <w:pPr>
        <w:contextualSpacing/>
        <w:rPr>
          <w:rFonts w:cs="Arial"/>
          <w:b/>
          <w:color w:val="0070C0"/>
          <w:sz w:val="24"/>
        </w:rPr>
      </w:pPr>
    </w:p>
    <w:p w14:paraId="03D64C0A" w14:textId="29AD7F15" w:rsidR="001D2E87" w:rsidRPr="002D27B6" w:rsidRDefault="001D2E87" w:rsidP="00CE240B">
      <w:pPr>
        <w:contextualSpacing/>
        <w:rPr>
          <w:rFonts w:cs="Arial"/>
          <w:b/>
          <w:color w:val="0070C0"/>
          <w:sz w:val="24"/>
        </w:rPr>
      </w:pPr>
      <w:r w:rsidRPr="002D27B6">
        <w:rPr>
          <w:rFonts w:cs="Arial"/>
          <w:b/>
          <w:color w:val="0070C0"/>
          <w:sz w:val="24"/>
        </w:rPr>
        <w:t>5.6.2</w:t>
      </w:r>
      <w:r w:rsidRPr="002D27B6">
        <w:rPr>
          <w:rFonts w:cs="Arial"/>
          <w:b/>
          <w:color w:val="0070C0"/>
          <w:sz w:val="24"/>
        </w:rPr>
        <w:tab/>
        <w:t>Construction Framework</w:t>
      </w:r>
    </w:p>
    <w:p w14:paraId="16F6878B" w14:textId="77777777" w:rsidR="002D27B6" w:rsidRPr="00CE240B" w:rsidRDefault="002D27B6" w:rsidP="00CE240B">
      <w:pPr>
        <w:contextualSpacing/>
        <w:rPr>
          <w:rFonts w:cs="Arial"/>
          <w:b/>
          <w:sz w:val="24"/>
        </w:rPr>
      </w:pPr>
    </w:p>
    <w:p w14:paraId="6C297B13" w14:textId="77777777" w:rsidR="002867BC" w:rsidRDefault="001D2E87" w:rsidP="00CE240B">
      <w:pPr>
        <w:contextualSpacing/>
        <w:rPr>
          <w:rFonts w:cs="Arial"/>
          <w:sz w:val="24"/>
        </w:rPr>
      </w:pPr>
      <w:r w:rsidRPr="00CE240B">
        <w:rPr>
          <w:rFonts w:cs="Arial"/>
          <w:sz w:val="24"/>
        </w:rPr>
        <w:lastRenderedPageBreak/>
        <w:t xml:space="preserve">The Trust is required to procure contracts over a certain value in a way that meets OJEU law. </w:t>
      </w:r>
      <w:proofErr w:type="gramStart"/>
      <w:r w:rsidRPr="00CE240B">
        <w:rPr>
          <w:rFonts w:cs="Arial"/>
          <w:sz w:val="24"/>
        </w:rPr>
        <w:t>In order to</w:t>
      </w:r>
      <w:proofErr w:type="gramEnd"/>
      <w:r w:rsidRPr="00CE240B">
        <w:rPr>
          <w:rFonts w:cs="Arial"/>
          <w:sz w:val="24"/>
        </w:rPr>
        <w:t xml:space="preserve"> achieve this, CNTW appointed PAGABO as their contract management agent for the National, OJEU-compliant framework for Major Construction Works (ref AVP-NTW-1002). It is intended to utilise this procurement framework for the delivery of the capital schemes with our construction partner Sir Robert McAlpine.</w:t>
      </w:r>
    </w:p>
    <w:p w14:paraId="19301F2A" w14:textId="77777777" w:rsidR="002867BC" w:rsidRDefault="002867BC" w:rsidP="00CE240B">
      <w:pPr>
        <w:contextualSpacing/>
        <w:rPr>
          <w:rFonts w:cs="Arial"/>
          <w:sz w:val="24"/>
        </w:rPr>
      </w:pPr>
    </w:p>
    <w:p w14:paraId="782936D7" w14:textId="0E637946" w:rsidR="001D2E87" w:rsidRPr="002D27B6" w:rsidRDefault="001D2E87" w:rsidP="00CE240B">
      <w:pPr>
        <w:contextualSpacing/>
        <w:rPr>
          <w:rFonts w:cs="Arial"/>
          <w:b/>
          <w:color w:val="0070C0"/>
          <w:sz w:val="24"/>
        </w:rPr>
      </w:pPr>
      <w:r w:rsidRPr="002D27B6">
        <w:rPr>
          <w:rFonts w:cs="Arial"/>
          <w:b/>
          <w:color w:val="0070C0"/>
          <w:sz w:val="24"/>
        </w:rPr>
        <w:t>5.6.3</w:t>
      </w:r>
      <w:r w:rsidRPr="002D27B6">
        <w:rPr>
          <w:rFonts w:cs="Arial"/>
          <w:b/>
          <w:color w:val="0070C0"/>
          <w:sz w:val="24"/>
        </w:rPr>
        <w:tab/>
        <w:t>Construction Partner</w:t>
      </w:r>
    </w:p>
    <w:p w14:paraId="718918C9" w14:textId="77777777" w:rsidR="002D27B6" w:rsidRPr="00CE240B" w:rsidRDefault="002D27B6" w:rsidP="00CE240B">
      <w:pPr>
        <w:contextualSpacing/>
        <w:rPr>
          <w:rFonts w:cs="Arial"/>
          <w:b/>
          <w:sz w:val="24"/>
        </w:rPr>
      </w:pPr>
    </w:p>
    <w:p w14:paraId="6029D5DB" w14:textId="49E17C39" w:rsidR="001D2E87" w:rsidRPr="00CE240B" w:rsidRDefault="001D2E87" w:rsidP="00CE240B">
      <w:pPr>
        <w:contextualSpacing/>
        <w:rPr>
          <w:rFonts w:cs="Arial"/>
          <w:sz w:val="24"/>
        </w:rPr>
      </w:pPr>
      <w:r w:rsidRPr="00CE240B">
        <w:rPr>
          <w:rFonts w:cs="Arial"/>
          <w:sz w:val="24"/>
        </w:rPr>
        <w:t xml:space="preserve">The Trust recognises the benefits of partnering with a contractor to develop a </w:t>
      </w:r>
      <w:r w:rsidR="002D27B6" w:rsidRPr="00CE240B">
        <w:rPr>
          <w:rFonts w:cs="Arial"/>
          <w:sz w:val="24"/>
        </w:rPr>
        <w:t>long-term</w:t>
      </w:r>
      <w:r w:rsidRPr="00CE240B">
        <w:rPr>
          <w:rFonts w:cs="Arial"/>
          <w:sz w:val="24"/>
        </w:rPr>
        <w:t xml:space="preserve"> program of works as opposed to changing contractors on each scheme. Following a rigorous selection process Sir Robert McAlpine (SRM) were selected from the PAGABO framework. SRM have now successfully delivered </w:t>
      </w:r>
      <w:proofErr w:type="gramStart"/>
      <w:r w:rsidRPr="00CE240B">
        <w:rPr>
          <w:rFonts w:cs="Arial"/>
          <w:sz w:val="24"/>
        </w:rPr>
        <w:t>a number of</w:t>
      </w:r>
      <w:proofErr w:type="gramEnd"/>
      <w:r w:rsidRPr="00CE240B">
        <w:rPr>
          <w:rFonts w:cs="Arial"/>
          <w:sz w:val="24"/>
        </w:rPr>
        <w:t xml:space="preserve"> projects for NTW and are currently developing the CEDAR program.</w:t>
      </w:r>
    </w:p>
    <w:p w14:paraId="33F55DDF" w14:textId="77777777" w:rsidR="002867BC" w:rsidRPr="002D27B6" w:rsidRDefault="002867BC" w:rsidP="00CE240B">
      <w:pPr>
        <w:contextualSpacing/>
        <w:rPr>
          <w:rFonts w:cs="Arial"/>
          <w:b/>
          <w:color w:val="0070C0"/>
          <w:sz w:val="24"/>
        </w:rPr>
      </w:pPr>
    </w:p>
    <w:p w14:paraId="3FFE2739" w14:textId="66285297" w:rsidR="001D2E87" w:rsidRPr="002D27B6" w:rsidRDefault="001D2E87" w:rsidP="00CE240B">
      <w:pPr>
        <w:contextualSpacing/>
        <w:rPr>
          <w:rFonts w:cs="Arial"/>
          <w:b/>
          <w:color w:val="0070C0"/>
          <w:sz w:val="24"/>
        </w:rPr>
      </w:pPr>
      <w:r w:rsidRPr="002D27B6">
        <w:rPr>
          <w:rFonts w:cs="Arial"/>
          <w:b/>
          <w:color w:val="0070C0"/>
          <w:sz w:val="24"/>
        </w:rPr>
        <w:t>5.6.4</w:t>
      </w:r>
      <w:r w:rsidRPr="002D27B6">
        <w:rPr>
          <w:rFonts w:cs="Arial"/>
          <w:b/>
          <w:color w:val="0070C0"/>
          <w:sz w:val="24"/>
        </w:rPr>
        <w:tab/>
        <w:t>Capital</w:t>
      </w:r>
    </w:p>
    <w:p w14:paraId="2137542B" w14:textId="77777777" w:rsidR="002D27B6" w:rsidRPr="00CE240B" w:rsidRDefault="002D27B6" w:rsidP="00CE240B">
      <w:pPr>
        <w:contextualSpacing/>
        <w:rPr>
          <w:rFonts w:cs="Arial"/>
          <w:b/>
          <w:sz w:val="24"/>
        </w:rPr>
      </w:pPr>
    </w:p>
    <w:p w14:paraId="1433886E" w14:textId="77777777" w:rsidR="001D2E87" w:rsidRPr="00CE240B" w:rsidRDefault="001D2E87" w:rsidP="00CE240B">
      <w:pPr>
        <w:contextualSpacing/>
        <w:rPr>
          <w:rFonts w:cs="Arial"/>
          <w:sz w:val="24"/>
        </w:rPr>
      </w:pPr>
      <w:r w:rsidRPr="00CE240B">
        <w:rPr>
          <w:rFonts w:cs="Arial"/>
          <w:sz w:val="24"/>
        </w:rPr>
        <w:t xml:space="preserve">The Trust’s operational plan included a capital programme totalling £82.2M over the next 6 financial years with planned spend of £17.1M in 2023/24. A revised plan is being developed at the time of writing this strategy to </w:t>
      </w:r>
      <w:proofErr w:type="gramStart"/>
      <w:r w:rsidRPr="00CE240B">
        <w:rPr>
          <w:rFonts w:cs="Arial"/>
          <w:sz w:val="24"/>
        </w:rPr>
        <w:t>take into account</w:t>
      </w:r>
      <w:proofErr w:type="gramEnd"/>
      <w:r w:rsidRPr="00CE240B">
        <w:rPr>
          <w:rFonts w:cs="Arial"/>
          <w:sz w:val="24"/>
        </w:rPr>
        <w:t xml:space="preserve"> slippage in the 22/23 FY and proposed changes to the CEDAR scheme. </w:t>
      </w:r>
    </w:p>
    <w:p w14:paraId="1805ABD2" w14:textId="77777777" w:rsidR="001D2E87" w:rsidRPr="00CE240B" w:rsidRDefault="001D2E87" w:rsidP="00CE240B">
      <w:pPr>
        <w:contextualSpacing/>
        <w:rPr>
          <w:rFonts w:cs="Arial"/>
          <w:sz w:val="24"/>
        </w:rPr>
      </w:pPr>
      <w:r w:rsidRPr="00CE240B">
        <w:rPr>
          <w:rFonts w:cs="Arial"/>
          <w:sz w:val="24"/>
        </w:rPr>
        <w:t xml:space="preserve">The availability of capital funds in future years is constrained primarily by the Trusts lack of available cash, coupled with the need to operate within a CDEL that has been allocated to the ICS in which we operate. The demands on the capital across the ICS outstrip the allocated CDEL and hence the ability to simply spend on unplanned schemes or those not agreed within the ICS is not possible, unless some form of non CDEL allowance is forthcoming. </w:t>
      </w:r>
    </w:p>
    <w:p w14:paraId="6D946DF2" w14:textId="31039D14" w:rsidR="001D2E87" w:rsidRPr="00CE240B" w:rsidRDefault="001D2E87" w:rsidP="002867BC">
      <w:pPr>
        <w:pStyle w:val="Heading1"/>
      </w:pPr>
      <w:r w:rsidRPr="00CE240B">
        <w:t>6.0</w:t>
      </w:r>
      <w:r w:rsidRPr="00CE240B">
        <w:tab/>
        <w:t>Summary</w:t>
      </w:r>
    </w:p>
    <w:p w14:paraId="7C45DAF3" w14:textId="1DC5977D" w:rsidR="002867BC" w:rsidRDefault="001D2E87" w:rsidP="00CE240B">
      <w:pPr>
        <w:contextualSpacing/>
        <w:rPr>
          <w:rFonts w:cs="Arial"/>
          <w:sz w:val="24"/>
        </w:rPr>
      </w:pPr>
      <w:r w:rsidRPr="00CE240B">
        <w:rPr>
          <w:rFonts w:cs="Arial"/>
          <w:sz w:val="24"/>
        </w:rPr>
        <w:t xml:space="preserve">When formed in 2006, the new organisation inherited a large diverse property portfolio much of which was in a poor condition and had low levels of quality and functional suitability. That position has largely been reversed over the last 17 years </w:t>
      </w:r>
      <w:proofErr w:type="gramStart"/>
      <w:r w:rsidRPr="00CE240B">
        <w:rPr>
          <w:rFonts w:cs="Arial"/>
          <w:sz w:val="24"/>
        </w:rPr>
        <w:t>as a result of</w:t>
      </w:r>
      <w:proofErr w:type="gramEnd"/>
      <w:r w:rsidRPr="00CE240B">
        <w:rPr>
          <w:rFonts w:cs="Arial"/>
          <w:sz w:val="24"/>
        </w:rPr>
        <w:t xml:space="preserve"> sustained and targeted capital investment. The Trust is rightly proud of the significant advances in improving the quality of the patient environment it has made since its formation with many </w:t>
      </w:r>
      <w:r w:rsidR="002D27B6" w:rsidRPr="00CE240B">
        <w:rPr>
          <w:rFonts w:cs="Arial"/>
          <w:sz w:val="24"/>
        </w:rPr>
        <w:t>award-winning</w:t>
      </w:r>
      <w:r w:rsidRPr="00CE240B">
        <w:rPr>
          <w:rFonts w:cs="Arial"/>
          <w:sz w:val="24"/>
        </w:rPr>
        <w:t xml:space="preserve"> innovative capital developments which have been recognised for the contribution they make toward clinical care. </w:t>
      </w:r>
    </w:p>
    <w:p w14:paraId="1C510FBE" w14:textId="77777777" w:rsidR="002867BC" w:rsidRDefault="002867BC" w:rsidP="00CE240B">
      <w:pPr>
        <w:contextualSpacing/>
        <w:rPr>
          <w:rFonts w:cs="Arial"/>
          <w:sz w:val="24"/>
        </w:rPr>
      </w:pPr>
    </w:p>
    <w:p w14:paraId="724AE116" w14:textId="17105463" w:rsidR="001D2E87" w:rsidRPr="00CE240B" w:rsidRDefault="001D2E87" w:rsidP="00CE240B">
      <w:pPr>
        <w:contextualSpacing/>
        <w:rPr>
          <w:rFonts w:cs="Arial"/>
          <w:sz w:val="24"/>
        </w:rPr>
      </w:pPr>
      <w:r w:rsidRPr="00CE240B">
        <w:rPr>
          <w:rFonts w:cs="Arial"/>
          <w:sz w:val="24"/>
        </w:rPr>
        <w:t xml:space="preserve">However, there </w:t>
      </w:r>
      <w:proofErr w:type="gramStart"/>
      <w:r w:rsidRPr="00CE240B">
        <w:rPr>
          <w:rFonts w:cs="Arial"/>
          <w:sz w:val="24"/>
        </w:rPr>
        <w:t>still remains</w:t>
      </w:r>
      <w:proofErr w:type="gramEnd"/>
      <w:r w:rsidRPr="00CE240B">
        <w:rPr>
          <w:rFonts w:cs="Arial"/>
          <w:sz w:val="24"/>
        </w:rPr>
        <w:t xml:space="preserve"> a range of accommodation which does not enhance the patient </w:t>
      </w:r>
      <w:r w:rsidR="002D27B6" w:rsidRPr="00CE240B">
        <w:rPr>
          <w:rFonts w:cs="Arial"/>
          <w:sz w:val="24"/>
        </w:rPr>
        <w:t>experience,</w:t>
      </w:r>
      <w:r w:rsidRPr="00CE240B">
        <w:rPr>
          <w:rFonts w:cs="Arial"/>
          <w:sz w:val="24"/>
        </w:rPr>
        <w:t xml:space="preserve"> and these </w:t>
      </w:r>
      <w:proofErr w:type="gramStart"/>
      <w:r w:rsidRPr="00CE240B">
        <w:rPr>
          <w:rFonts w:cs="Arial"/>
          <w:sz w:val="24"/>
        </w:rPr>
        <w:t>are in need of</w:t>
      </w:r>
      <w:proofErr w:type="gramEnd"/>
      <w:r w:rsidRPr="00CE240B">
        <w:rPr>
          <w:rFonts w:cs="Arial"/>
          <w:sz w:val="24"/>
        </w:rPr>
        <w:t xml:space="preserve"> improvement or replacement.</w:t>
      </w:r>
    </w:p>
    <w:p w14:paraId="3DA9F2B7" w14:textId="77777777" w:rsidR="001D2E87" w:rsidRPr="00CE240B" w:rsidRDefault="001D2E87" w:rsidP="00CE240B">
      <w:pPr>
        <w:contextualSpacing/>
        <w:rPr>
          <w:rFonts w:cs="Arial"/>
          <w:sz w:val="24"/>
        </w:rPr>
      </w:pPr>
      <w:r w:rsidRPr="00CE240B">
        <w:rPr>
          <w:rFonts w:cs="Arial"/>
          <w:sz w:val="24"/>
        </w:rPr>
        <w:t xml:space="preserve">This section has detailed the works required to build on the previous Estates strategies, setting out the general scope of the work required over the next 5 years and how this will be delivered and what the expected outcomes will be. The key elements to ensure successful delivery are in place, including aligning the Estates Strategy to the clinical Strategy, delivery teams for bigger schemes have been established, a procurement strategy is in place, a construction partner identified and lastly a capital program has been established to provide funding.  </w:t>
      </w:r>
    </w:p>
    <w:p w14:paraId="0A1E6C1A" w14:textId="77777777" w:rsidR="002867BC" w:rsidRDefault="002867BC" w:rsidP="00CE240B">
      <w:pPr>
        <w:contextualSpacing/>
        <w:rPr>
          <w:rFonts w:cs="Arial"/>
          <w:sz w:val="24"/>
        </w:rPr>
      </w:pPr>
    </w:p>
    <w:p w14:paraId="3BD13BB6" w14:textId="10222CD4" w:rsidR="001D2E87" w:rsidRPr="00CE240B" w:rsidRDefault="001D2E87" w:rsidP="00CE240B">
      <w:pPr>
        <w:contextualSpacing/>
        <w:rPr>
          <w:rFonts w:cs="Arial"/>
          <w:sz w:val="24"/>
        </w:rPr>
      </w:pPr>
      <w:r w:rsidRPr="00CE240B">
        <w:rPr>
          <w:rFonts w:cs="Arial"/>
          <w:sz w:val="24"/>
        </w:rPr>
        <w:t xml:space="preserve">The Trust remains committed to a program of continuous development and improvement in the services it provides and this needs to be reflected in the environments provided for both patients and staff. By ensuring the Estate Strategy is aligned with the Service Development Strategies, the Trust can be confident that its investment programme will deliver further improvements to ensure environments that are fit for purpose which will support the Trust in realising its vision. </w:t>
      </w:r>
    </w:p>
    <w:p w14:paraId="64F2B60C" w14:textId="77777777" w:rsidR="002867BC" w:rsidRDefault="002867BC" w:rsidP="00CE240B">
      <w:pPr>
        <w:contextualSpacing/>
        <w:rPr>
          <w:rFonts w:cs="Arial"/>
          <w:sz w:val="24"/>
        </w:rPr>
      </w:pPr>
    </w:p>
    <w:p w14:paraId="64EC77CD" w14:textId="4C25E5EE" w:rsidR="001D2E87" w:rsidRDefault="001D2E87" w:rsidP="00CE240B">
      <w:pPr>
        <w:contextualSpacing/>
        <w:rPr>
          <w:rFonts w:cs="Arial"/>
          <w:sz w:val="24"/>
        </w:rPr>
      </w:pPr>
      <w:r w:rsidRPr="00CE240B">
        <w:rPr>
          <w:rFonts w:cs="Arial"/>
          <w:sz w:val="24"/>
        </w:rPr>
        <w:t xml:space="preserve">The Estate Strategy has </w:t>
      </w:r>
      <w:proofErr w:type="gramStart"/>
      <w:r w:rsidRPr="00CE240B">
        <w:rPr>
          <w:rFonts w:cs="Arial"/>
          <w:sz w:val="24"/>
        </w:rPr>
        <w:t>taken into account</w:t>
      </w:r>
      <w:proofErr w:type="gramEnd"/>
      <w:r w:rsidRPr="00CE240B">
        <w:rPr>
          <w:rFonts w:cs="Arial"/>
          <w:sz w:val="24"/>
        </w:rPr>
        <w:t xml:space="preserve"> the Trust’s vision, core values and strategic objectives, in addition to the service-specific requirements as set out in the Trusts Strategy and to have ‘facilities fit for purpose’ that complement the service needs of the organisation.</w:t>
      </w:r>
    </w:p>
    <w:p w14:paraId="5899CB64" w14:textId="77777777" w:rsidR="00236518" w:rsidRPr="00CE240B" w:rsidRDefault="00236518" w:rsidP="00CE240B">
      <w:pPr>
        <w:contextualSpacing/>
        <w:rPr>
          <w:rFonts w:cs="Arial"/>
          <w:sz w:val="24"/>
        </w:rPr>
      </w:pPr>
    </w:p>
    <w:p w14:paraId="5EBCE6A3" w14:textId="77777777" w:rsidR="001D2E87" w:rsidRPr="00CE240B" w:rsidRDefault="001D2E87" w:rsidP="00CE240B">
      <w:pPr>
        <w:contextualSpacing/>
        <w:rPr>
          <w:rFonts w:cs="Arial"/>
          <w:sz w:val="24"/>
        </w:rPr>
      </w:pPr>
      <w:r w:rsidRPr="00CE240B">
        <w:rPr>
          <w:rFonts w:cs="Arial"/>
          <w:sz w:val="24"/>
        </w:rPr>
        <w:t xml:space="preserve">The Estate Strategy provides a framework from which we will be able to monitor and measure our progress in ensuring that the Trust Estate performance meets the expectations of the organisation in line with the investment being made over the next 5 years.  It will be imperative that the Trust ensures that future investment is in keeping with the Trust’s strategic objectives and goals, core service requirements, models of care and the capital funding envelope.  The Strategy is a dynamic document outlining a programme of work that will be reviewed regularly as service priorities change and development opportunities arise.  </w:t>
      </w:r>
    </w:p>
    <w:p w14:paraId="0FE8DC07" w14:textId="77777777" w:rsidR="001D2E87" w:rsidRPr="00CE240B" w:rsidRDefault="001D2E87" w:rsidP="00CE240B">
      <w:pPr>
        <w:contextualSpacing/>
        <w:rPr>
          <w:rFonts w:cs="Arial"/>
          <w:sz w:val="24"/>
        </w:rPr>
      </w:pPr>
    </w:p>
    <w:p w14:paraId="20891863" w14:textId="77777777" w:rsidR="0055472C" w:rsidRPr="00CE240B" w:rsidRDefault="0055472C" w:rsidP="00CE240B">
      <w:pPr>
        <w:contextualSpacing/>
        <w:rPr>
          <w:rFonts w:cs="Arial"/>
          <w:sz w:val="24"/>
        </w:rPr>
      </w:pPr>
    </w:p>
    <w:sectPr w:rsidR="0055472C" w:rsidRPr="00CE240B" w:rsidSect="00655A8B">
      <w:pgSz w:w="11906" w:h="16838"/>
      <w:pgMar w:top="426"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101A6" w14:textId="77777777" w:rsidR="0028649B" w:rsidRDefault="0028649B" w:rsidP="00E30FB6">
      <w:r>
        <w:separator/>
      </w:r>
    </w:p>
  </w:endnote>
  <w:endnote w:type="continuationSeparator" w:id="0">
    <w:p w14:paraId="532BF018" w14:textId="77777777" w:rsidR="0028649B" w:rsidRDefault="0028649B" w:rsidP="00E30F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2576837"/>
      <w:docPartObj>
        <w:docPartGallery w:val="Page Numbers (Bottom of Page)"/>
        <w:docPartUnique/>
      </w:docPartObj>
    </w:sdtPr>
    <w:sdtEndPr/>
    <w:sdtContent>
      <w:p w14:paraId="5222E750" w14:textId="47FBC9AC" w:rsidR="002867BC" w:rsidRDefault="002867BC">
        <w:pPr>
          <w:pStyle w:val="Footer"/>
        </w:pPr>
        <w:r>
          <w:fldChar w:fldCharType="begin"/>
        </w:r>
        <w:r>
          <w:instrText>PAGE   \* MERGEFORMAT</w:instrText>
        </w:r>
        <w:r>
          <w:fldChar w:fldCharType="separate"/>
        </w:r>
        <w:r>
          <w:t>2</w:t>
        </w:r>
        <w:r>
          <w:fldChar w:fldCharType="end"/>
        </w:r>
      </w:p>
    </w:sdtContent>
  </w:sdt>
  <w:p w14:paraId="020DBBD5" w14:textId="77777777" w:rsidR="002867BC" w:rsidRDefault="002867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309864" w14:textId="77777777" w:rsidR="0028649B" w:rsidRDefault="0028649B" w:rsidP="00E30FB6">
      <w:r>
        <w:separator/>
      </w:r>
    </w:p>
  </w:footnote>
  <w:footnote w:type="continuationSeparator" w:id="0">
    <w:p w14:paraId="5BB8A2CF" w14:textId="77777777" w:rsidR="0028649B" w:rsidRDefault="0028649B" w:rsidP="00E30F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659C8"/>
    <w:multiLevelType w:val="hybridMultilevel"/>
    <w:tmpl w:val="4016F916"/>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 w15:restartNumberingAfterBreak="0">
    <w:nsid w:val="0399447D"/>
    <w:multiLevelType w:val="hybridMultilevel"/>
    <w:tmpl w:val="77E4E84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6EA7BFB"/>
    <w:multiLevelType w:val="hybridMultilevel"/>
    <w:tmpl w:val="10D0587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914062F"/>
    <w:multiLevelType w:val="hybridMultilevel"/>
    <w:tmpl w:val="EC88E7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815CCD"/>
    <w:multiLevelType w:val="hybridMultilevel"/>
    <w:tmpl w:val="D6EA5D64"/>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5" w15:restartNumberingAfterBreak="0">
    <w:nsid w:val="11896D8F"/>
    <w:multiLevelType w:val="hybridMultilevel"/>
    <w:tmpl w:val="AFA83E24"/>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6" w15:restartNumberingAfterBreak="0">
    <w:nsid w:val="17641A92"/>
    <w:multiLevelType w:val="hybridMultilevel"/>
    <w:tmpl w:val="0A96869C"/>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7" w15:restartNumberingAfterBreak="0">
    <w:nsid w:val="1D4F18FE"/>
    <w:multiLevelType w:val="hybridMultilevel"/>
    <w:tmpl w:val="541401E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5DE63B4"/>
    <w:multiLevelType w:val="multilevel"/>
    <w:tmpl w:val="5DFA9FD4"/>
    <w:lvl w:ilvl="0">
      <w:start w:val="5"/>
      <w:numFmt w:val="decimal"/>
      <w:lvlText w:val="%1"/>
      <w:lvlJc w:val="left"/>
      <w:pPr>
        <w:ind w:left="480" w:hanging="480"/>
      </w:pPr>
      <w:rPr>
        <w:rFonts w:hint="default"/>
      </w:rPr>
    </w:lvl>
    <w:lvl w:ilvl="1">
      <w:start w:val="3"/>
      <w:numFmt w:val="decimal"/>
      <w:lvlText w:val="%1.%2"/>
      <w:lvlJc w:val="left"/>
      <w:pPr>
        <w:ind w:left="650" w:hanging="480"/>
      </w:pPr>
      <w:rPr>
        <w:rFonts w:hint="default"/>
      </w:rPr>
    </w:lvl>
    <w:lvl w:ilvl="2">
      <w:start w:val="3"/>
      <w:numFmt w:val="decimal"/>
      <w:lvlText w:val="%1.%2.%3"/>
      <w:lvlJc w:val="left"/>
      <w:pPr>
        <w:ind w:left="1060" w:hanging="72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630" w:hanging="1440"/>
      </w:pPr>
      <w:rPr>
        <w:rFonts w:hint="default"/>
      </w:rPr>
    </w:lvl>
    <w:lvl w:ilvl="8">
      <w:start w:val="1"/>
      <w:numFmt w:val="decimal"/>
      <w:lvlText w:val="%1.%2.%3.%4.%5.%6.%7.%8.%9"/>
      <w:lvlJc w:val="left"/>
      <w:pPr>
        <w:ind w:left="3160" w:hanging="1800"/>
      </w:pPr>
      <w:rPr>
        <w:rFonts w:hint="default"/>
      </w:rPr>
    </w:lvl>
  </w:abstractNum>
  <w:abstractNum w:abstractNumId="9" w15:restartNumberingAfterBreak="0">
    <w:nsid w:val="278854DC"/>
    <w:multiLevelType w:val="hybridMultilevel"/>
    <w:tmpl w:val="8EBEB3BA"/>
    <w:lvl w:ilvl="0" w:tplc="08090001">
      <w:start w:val="1"/>
      <w:numFmt w:val="bullet"/>
      <w:lvlText w:val=""/>
      <w:lvlJc w:val="left"/>
      <w:pPr>
        <w:ind w:left="1060" w:hanging="360"/>
      </w:pPr>
      <w:rPr>
        <w:rFonts w:ascii="Symbol" w:hAnsi="Symbol" w:hint="default"/>
      </w:rPr>
    </w:lvl>
    <w:lvl w:ilvl="1" w:tplc="08090003">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0" w15:restartNumberingAfterBreak="0">
    <w:nsid w:val="290A27B9"/>
    <w:multiLevelType w:val="hybridMultilevel"/>
    <w:tmpl w:val="2ED27D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A360971"/>
    <w:multiLevelType w:val="hybridMultilevel"/>
    <w:tmpl w:val="C630C83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9C0747"/>
    <w:multiLevelType w:val="hybridMultilevel"/>
    <w:tmpl w:val="9ED0231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323D0F64"/>
    <w:multiLevelType w:val="hybridMultilevel"/>
    <w:tmpl w:val="2C7633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542509E"/>
    <w:multiLevelType w:val="hybridMultilevel"/>
    <w:tmpl w:val="0FEE97AA"/>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15" w15:restartNumberingAfterBreak="0">
    <w:nsid w:val="38B9602C"/>
    <w:multiLevelType w:val="hybridMultilevel"/>
    <w:tmpl w:val="DB90A5D8"/>
    <w:lvl w:ilvl="0" w:tplc="08090003">
      <w:start w:val="1"/>
      <w:numFmt w:val="bullet"/>
      <w:lvlText w:val="o"/>
      <w:lvlJc w:val="left"/>
      <w:pPr>
        <w:ind w:left="1060" w:hanging="360"/>
      </w:pPr>
      <w:rPr>
        <w:rFonts w:ascii="Courier New" w:hAnsi="Courier New" w:cs="Courier New"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6" w15:restartNumberingAfterBreak="0">
    <w:nsid w:val="3A476B77"/>
    <w:multiLevelType w:val="hybridMultilevel"/>
    <w:tmpl w:val="11869410"/>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17" w15:restartNumberingAfterBreak="0">
    <w:nsid w:val="3FD05B27"/>
    <w:multiLevelType w:val="hybridMultilevel"/>
    <w:tmpl w:val="5C8E1E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42241994"/>
    <w:multiLevelType w:val="hybridMultilevel"/>
    <w:tmpl w:val="D4600BAC"/>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19" w15:restartNumberingAfterBreak="0">
    <w:nsid w:val="46241FDE"/>
    <w:multiLevelType w:val="hybridMultilevel"/>
    <w:tmpl w:val="6700C81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4017EE"/>
    <w:multiLevelType w:val="hybridMultilevel"/>
    <w:tmpl w:val="4F6A094A"/>
    <w:lvl w:ilvl="0" w:tplc="08090003">
      <w:start w:val="1"/>
      <w:numFmt w:val="bullet"/>
      <w:lvlText w:val="o"/>
      <w:lvlJc w:val="left"/>
      <w:pPr>
        <w:ind w:left="1060" w:hanging="360"/>
      </w:pPr>
      <w:rPr>
        <w:rFonts w:ascii="Courier New" w:hAnsi="Courier New" w:cs="Courier New"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1" w15:restartNumberingAfterBreak="0">
    <w:nsid w:val="47F66CE4"/>
    <w:multiLevelType w:val="hybridMultilevel"/>
    <w:tmpl w:val="5EFE8C74"/>
    <w:lvl w:ilvl="0" w:tplc="C8144056">
      <w:start w:val="1"/>
      <w:numFmt w:val="bullet"/>
      <w:lvlText w:val="•"/>
      <w:lvlJc w:val="left"/>
      <w:pPr>
        <w:tabs>
          <w:tab w:val="num" w:pos="720"/>
        </w:tabs>
        <w:ind w:left="720" w:hanging="360"/>
      </w:pPr>
      <w:rPr>
        <w:rFonts w:ascii="Arial" w:hAnsi="Arial" w:hint="default"/>
      </w:rPr>
    </w:lvl>
    <w:lvl w:ilvl="1" w:tplc="9AFC5CFE">
      <w:start w:val="275"/>
      <w:numFmt w:val="bullet"/>
      <w:lvlText w:val="•"/>
      <w:lvlJc w:val="left"/>
      <w:pPr>
        <w:tabs>
          <w:tab w:val="num" w:pos="1440"/>
        </w:tabs>
        <w:ind w:left="1440" w:hanging="360"/>
      </w:pPr>
      <w:rPr>
        <w:rFonts w:ascii="Arial" w:hAnsi="Arial" w:hint="default"/>
      </w:rPr>
    </w:lvl>
    <w:lvl w:ilvl="2" w:tplc="08B6AB9A" w:tentative="1">
      <w:start w:val="1"/>
      <w:numFmt w:val="bullet"/>
      <w:lvlText w:val="•"/>
      <w:lvlJc w:val="left"/>
      <w:pPr>
        <w:tabs>
          <w:tab w:val="num" w:pos="2160"/>
        </w:tabs>
        <w:ind w:left="2160" w:hanging="360"/>
      </w:pPr>
      <w:rPr>
        <w:rFonts w:ascii="Arial" w:hAnsi="Arial" w:hint="default"/>
      </w:rPr>
    </w:lvl>
    <w:lvl w:ilvl="3" w:tplc="E8383584" w:tentative="1">
      <w:start w:val="1"/>
      <w:numFmt w:val="bullet"/>
      <w:lvlText w:val="•"/>
      <w:lvlJc w:val="left"/>
      <w:pPr>
        <w:tabs>
          <w:tab w:val="num" w:pos="2880"/>
        </w:tabs>
        <w:ind w:left="2880" w:hanging="360"/>
      </w:pPr>
      <w:rPr>
        <w:rFonts w:ascii="Arial" w:hAnsi="Arial" w:hint="default"/>
      </w:rPr>
    </w:lvl>
    <w:lvl w:ilvl="4" w:tplc="5B3C8D62" w:tentative="1">
      <w:start w:val="1"/>
      <w:numFmt w:val="bullet"/>
      <w:lvlText w:val="•"/>
      <w:lvlJc w:val="left"/>
      <w:pPr>
        <w:tabs>
          <w:tab w:val="num" w:pos="3600"/>
        </w:tabs>
        <w:ind w:left="3600" w:hanging="360"/>
      </w:pPr>
      <w:rPr>
        <w:rFonts w:ascii="Arial" w:hAnsi="Arial" w:hint="default"/>
      </w:rPr>
    </w:lvl>
    <w:lvl w:ilvl="5" w:tplc="804A38A2" w:tentative="1">
      <w:start w:val="1"/>
      <w:numFmt w:val="bullet"/>
      <w:lvlText w:val="•"/>
      <w:lvlJc w:val="left"/>
      <w:pPr>
        <w:tabs>
          <w:tab w:val="num" w:pos="4320"/>
        </w:tabs>
        <w:ind w:left="4320" w:hanging="360"/>
      </w:pPr>
      <w:rPr>
        <w:rFonts w:ascii="Arial" w:hAnsi="Arial" w:hint="default"/>
      </w:rPr>
    </w:lvl>
    <w:lvl w:ilvl="6" w:tplc="FDE4C2F0" w:tentative="1">
      <w:start w:val="1"/>
      <w:numFmt w:val="bullet"/>
      <w:lvlText w:val="•"/>
      <w:lvlJc w:val="left"/>
      <w:pPr>
        <w:tabs>
          <w:tab w:val="num" w:pos="5040"/>
        </w:tabs>
        <w:ind w:left="5040" w:hanging="360"/>
      </w:pPr>
      <w:rPr>
        <w:rFonts w:ascii="Arial" w:hAnsi="Arial" w:hint="default"/>
      </w:rPr>
    </w:lvl>
    <w:lvl w:ilvl="7" w:tplc="0172E37E" w:tentative="1">
      <w:start w:val="1"/>
      <w:numFmt w:val="bullet"/>
      <w:lvlText w:val="•"/>
      <w:lvlJc w:val="left"/>
      <w:pPr>
        <w:tabs>
          <w:tab w:val="num" w:pos="5760"/>
        </w:tabs>
        <w:ind w:left="5760" w:hanging="360"/>
      </w:pPr>
      <w:rPr>
        <w:rFonts w:ascii="Arial" w:hAnsi="Arial" w:hint="default"/>
      </w:rPr>
    </w:lvl>
    <w:lvl w:ilvl="8" w:tplc="F29CF06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979654B"/>
    <w:multiLevelType w:val="hybridMultilevel"/>
    <w:tmpl w:val="579E9CC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49980342"/>
    <w:multiLevelType w:val="hybridMultilevel"/>
    <w:tmpl w:val="444805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49B60E51"/>
    <w:multiLevelType w:val="hybridMultilevel"/>
    <w:tmpl w:val="BBB46DFA"/>
    <w:lvl w:ilvl="0" w:tplc="08090003">
      <w:start w:val="1"/>
      <w:numFmt w:val="bullet"/>
      <w:lvlText w:val="o"/>
      <w:lvlJc w:val="left"/>
      <w:pPr>
        <w:ind w:left="1060" w:hanging="360"/>
      </w:pPr>
      <w:rPr>
        <w:rFonts w:ascii="Courier New" w:hAnsi="Courier New" w:cs="Courier New"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5" w15:restartNumberingAfterBreak="0">
    <w:nsid w:val="4A404761"/>
    <w:multiLevelType w:val="hybridMultilevel"/>
    <w:tmpl w:val="296A15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4D9A40AC"/>
    <w:multiLevelType w:val="hybridMultilevel"/>
    <w:tmpl w:val="98D4A21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DAE4B4A"/>
    <w:multiLevelType w:val="hybridMultilevel"/>
    <w:tmpl w:val="1A9044AC"/>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28" w15:restartNumberingAfterBreak="0">
    <w:nsid w:val="4EEC0095"/>
    <w:multiLevelType w:val="hybridMultilevel"/>
    <w:tmpl w:val="2A5C510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508A0E78"/>
    <w:multiLevelType w:val="hybridMultilevel"/>
    <w:tmpl w:val="85D82D2E"/>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0" w15:restartNumberingAfterBreak="0">
    <w:nsid w:val="512E0BA9"/>
    <w:multiLevelType w:val="hybridMultilevel"/>
    <w:tmpl w:val="F52881BC"/>
    <w:lvl w:ilvl="0" w:tplc="08090001">
      <w:start w:val="1"/>
      <w:numFmt w:val="bullet"/>
      <w:lvlText w:val=""/>
      <w:lvlJc w:val="left"/>
      <w:pPr>
        <w:ind w:left="1780" w:hanging="360"/>
      </w:pPr>
      <w:rPr>
        <w:rFonts w:ascii="Symbol" w:hAnsi="Symbol" w:hint="default"/>
      </w:rPr>
    </w:lvl>
    <w:lvl w:ilvl="1" w:tplc="08090003" w:tentative="1">
      <w:start w:val="1"/>
      <w:numFmt w:val="bullet"/>
      <w:lvlText w:val="o"/>
      <w:lvlJc w:val="left"/>
      <w:pPr>
        <w:ind w:left="2500" w:hanging="360"/>
      </w:pPr>
      <w:rPr>
        <w:rFonts w:ascii="Courier New" w:hAnsi="Courier New" w:cs="Courier New" w:hint="default"/>
      </w:rPr>
    </w:lvl>
    <w:lvl w:ilvl="2" w:tplc="08090005" w:tentative="1">
      <w:start w:val="1"/>
      <w:numFmt w:val="bullet"/>
      <w:lvlText w:val=""/>
      <w:lvlJc w:val="left"/>
      <w:pPr>
        <w:ind w:left="3220" w:hanging="360"/>
      </w:pPr>
      <w:rPr>
        <w:rFonts w:ascii="Wingdings" w:hAnsi="Wingdings" w:hint="default"/>
      </w:rPr>
    </w:lvl>
    <w:lvl w:ilvl="3" w:tplc="08090001" w:tentative="1">
      <w:start w:val="1"/>
      <w:numFmt w:val="bullet"/>
      <w:lvlText w:val=""/>
      <w:lvlJc w:val="left"/>
      <w:pPr>
        <w:ind w:left="3940" w:hanging="360"/>
      </w:pPr>
      <w:rPr>
        <w:rFonts w:ascii="Symbol" w:hAnsi="Symbol" w:hint="default"/>
      </w:rPr>
    </w:lvl>
    <w:lvl w:ilvl="4" w:tplc="08090003" w:tentative="1">
      <w:start w:val="1"/>
      <w:numFmt w:val="bullet"/>
      <w:lvlText w:val="o"/>
      <w:lvlJc w:val="left"/>
      <w:pPr>
        <w:ind w:left="4660" w:hanging="360"/>
      </w:pPr>
      <w:rPr>
        <w:rFonts w:ascii="Courier New" w:hAnsi="Courier New" w:cs="Courier New" w:hint="default"/>
      </w:rPr>
    </w:lvl>
    <w:lvl w:ilvl="5" w:tplc="08090005" w:tentative="1">
      <w:start w:val="1"/>
      <w:numFmt w:val="bullet"/>
      <w:lvlText w:val=""/>
      <w:lvlJc w:val="left"/>
      <w:pPr>
        <w:ind w:left="5380" w:hanging="360"/>
      </w:pPr>
      <w:rPr>
        <w:rFonts w:ascii="Wingdings" w:hAnsi="Wingdings" w:hint="default"/>
      </w:rPr>
    </w:lvl>
    <w:lvl w:ilvl="6" w:tplc="08090001" w:tentative="1">
      <w:start w:val="1"/>
      <w:numFmt w:val="bullet"/>
      <w:lvlText w:val=""/>
      <w:lvlJc w:val="left"/>
      <w:pPr>
        <w:ind w:left="6100" w:hanging="360"/>
      </w:pPr>
      <w:rPr>
        <w:rFonts w:ascii="Symbol" w:hAnsi="Symbol" w:hint="default"/>
      </w:rPr>
    </w:lvl>
    <w:lvl w:ilvl="7" w:tplc="08090003" w:tentative="1">
      <w:start w:val="1"/>
      <w:numFmt w:val="bullet"/>
      <w:lvlText w:val="o"/>
      <w:lvlJc w:val="left"/>
      <w:pPr>
        <w:ind w:left="6820" w:hanging="360"/>
      </w:pPr>
      <w:rPr>
        <w:rFonts w:ascii="Courier New" w:hAnsi="Courier New" w:cs="Courier New" w:hint="default"/>
      </w:rPr>
    </w:lvl>
    <w:lvl w:ilvl="8" w:tplc="08090005" w:tentative="1">
      <w:start w:val="1"/>
      <w:numFmt w:val="bullet"/>
      <w:lvlText w:val=""/>
      <w:lvlJc w:val="left"/>
      <w:pPr>
        <w:ind w:left="7540" w:hanging="360"/>
      </w:pPr>
      <w:rPr>
        <w:rFonts w:ascii="Wingdings" w:hAnsi="Wingdings" w:hint="default"/>
      </w:rPr>
    </w:lvl>
  </w:abstractNum>
  <w:abstractNum w:abstractNumId="31" w15:restartNumberingAfterBreak="0">
    <w:nsid w:val="524B3BA7"/>
    <w:multiLevelType w:val="hybridMultilevel"/>
    <w:tmpl w:val="5C604F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52A307EE"/>
    <w:multiLevelType w:val="hybridMultilevel"/>
    <w:tmpl w:val="D2F0D86E"/>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33" w15:restartNumberingAfterBreak="0">
    <w:nsid w:val="54120079"/>
    <w:multiLevelType w:val="hybridMultilevel"/>
    <w:tmpl w:val="AA8069D4"/>
    <w:lvl w:ilvl="0" w:tplc="08090003">
      <w:start w:val="1"/>
      <w:numFmt w:val="bullet"/>
      <w:lvlText w:val="o"/>
      <w:lvlJc w:val="left"/>
      <w:pPr>
        <w:ind w:left="1060" w:hanging="360"/>
      </w:pPr>
      <w:rPr>
        <w:rFonts w:ascii="Courier New" w:hAnsi="Courier New" w:cs="Courier New" w:hint="default"/>
      </w:rPr>
    </w:lvl>
    <w:lvl w:ilvl="1" w:tplc="08090003">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4" w15:restartNumberingAfterBreak="0">
    <w:nsid w:val="548376D1"/>
    <w:multiLevelType w:val="hybridMultilevel"/>
    <w:tmpl w:val="7B32A1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82D6C4F"/>
    <w:multiLevelType w:val="hybridMultilevel"/>
    <w:tmpl w:val="B412A5D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59224031"/>
    <w:multiLevelType w:val="hybridMultilevel"/>
    <w:tmpl w:val="8DE293B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5ACE4A8E"/>
    <w:multiLevelType w:val="hybridMultilevel"/>
    <w:tmpl w:val="D938C7AC"/>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5BAB748B"/>
    <w:multiLevelType w:val="hybridMultilevel"/>
    <w:tmpl w:val="7E76E684"/>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39" w15:restartNumberingAfterBreak="0">
    <w:nsid w:val="5D37431B"/>
    <w:multiLevelType w:val="hybridMultilevel"/>
    <w:tmpl w:val="6512D272"/>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0" w15:restartNumberingAfterBreak="0">
    <w:nsid w:val="5DB819AF"/>
    <w:multiLevelType w:val="hybridMultilevel"/>
    <w:tmpl w:val="0F1286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5EA52D79"/>
    <w:multiLevelType w:val="hybridMultilevel"/>
    <w:tmpl w:val="7D38633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0195D9E"/>
    <w:multiLevelType w:val="hybridMultilevel"/>
    <w:tmpl w:val="7B32A1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1AE0A90"/>
    <w:multiLevelType w:val="hybridMultilevel"/>
    <w:tmpl w:val="CE82F8A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4" w15:restartNumberingAfterBreak="0">
    <w:nsid w:val="63C25F69"/>
    <w:multiLevelType w:val="hybridMultilevel"/>
    <w:tmpl w:val="2FFE70B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49F7FCD"/>
    <w:multiLevelType w:val="hybridMultilevel"/>
    <w:tmpl w:val="3BD25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D01793"/>
    <w:multiLevelType w:val="hybridMultilevel"/>
    <w:tmpl w:val="103AE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6687E89"/>
    <w:multiLevelType w:val="hybridMultilevel"/>
    <w:tmpl w:val="3684DA56"/>
    <w:lvl w:ilvl="0" w:tplc="0809000F">
      <w:start w:val="1"/>
      <w:numFmt w:val="decimal"/>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 w15:restartNumberingAfterBreak="0">
    <w:nsid w:val="667F7078"/>
    <w:multiLevelType w:val="hybridMultilevel"/>
    <w:tmpl w:val="304C4E5E"/>
    <w:lvl w:ilvl="0" w:tplc="08090001">
      <w:start w:val="1"/>
      <w:numFmt w:val="bullet"/>
      <w:lvlText w:val=""/>
      <w:lvlJc w:val="left"/>
      <w:pPr>
        <w:ind w:left="1706" w:hanging="360"/>
      </w:pPr>
      <w:rPr>
        <w:rFonts w:ascii="Symbol" w:hAnsi="Symbol" w:hint="default"/>
      </w:rPr>
    </w:lvl>
    <w:lvl w:ilvl="1" w:tplc="08090003">
      <w:start w:val="1"/>
      <w:numFmt w:val="bullet"/>
      <w:lvlText w:val="o"/>
      <w:lvlJc w:val="left"/>
      <w:pPr>
        <w:ind w:left="2426" w:hanging="360"/>
      </w:pPr>
      <w:rPr>
        <w:rFonts w:ascii="Courier New" w:hAnsi="Courier New" w:cs="Courier New" w:hint="default"/>
      </w:rPr>
    </w:lvl>
    <w:lvl w:ilvl="2" w:tplc="08090005">
      <w:start w:val="1"/>
      <w:numFmt w:val="bullet"/>
      <w:lvlText w:val=""/>
      <w:lvlJc w:val="left"/>
      <w:pPr>
        <w:ind w:left="3146" w:hanging="360"/>
      </w:pPr>
      <w:rPr>
        <w:rFonts w:ascii="Wingdings" w:hAnsi="Wingdings" w:hint="default"/>
      </w:rPr>
    </w:lvl>
    <w:lvl w:ilvl="3" w:tplc="08090001" w:tentative="1">
      <w:start w:val="1"/>
      <w:numFmt w:val="bullet"/>
      <w:lvlText w:val=""/>
      <w:lvlJc w:val="left"/>
      <w:pPr>
        <w:ind w:left="3866" w:hanging="360"/>
      </w:pPr>
      <w:rPr>
        <w:rFonts w:ascii="Symbol" w:hAnsi="Symbol" w:hint="default"/>
      </w:rPr>
    </w:lvl>
    <w:lvl w:ilvl="4" w:tplc="08090003" w:tentative="1">
      <w:start w:val="1"/>
      <w:numFmt w:val="bullet"/>
      <w:lvlText w:val="o"/>
      <w:lvlJc w:val="left"/>
      <w:pPr>
        <w:ind w:left="4586" w:hanging="360"/>
      </w:pPr>
      <w:rPr>
        <w:rFonts w:ascii="Courier New" w:hAnsi="Courier New" w:cs="Courier New" w:hint="default"/>
      </w:rPr>
    </w:lvl>
    <w:lvl w:ilvl="5" w:tplc="08090005" w:tentative="1">
      <w:start w:val="1"/>
      <w:numFmt w:val="bullet"/>
      <w:lvlText w:val=""/>
      <w:lvlJc w:val="left"/>
      <w:pPr>
        <w:ind w:left="5306" w:hanging="360"/>
      </w:pPr>
      <w:rPr>
        <w:rFonts w:ascii="Wingdings" w:hAnsi="Wingdings" w:hint="default"/>
      </w:rPr>
    </w:lvl>
    <w:lvl w:ilvl="6" w:tplc="08090001" w:tentative="1">
      <w:start w:val="1"/>
      <w:numFmt w:val="bullet"/>
      <w:lvlText w:val=""/>
      <w:lvlJc w:val="left"/>
      <w:pPr>
        <w:ind w:left="6026" w:hanging="360"/>
      </w:pPr>
      <w:rPr>
        <w:rFonts w:ascii="Symbol" w:hAnsi="Symbol" w:hint="default"/>
      </w:rPr>
    </w:lvl>
    <w:lvl w:ilvl="7" w:tplc="08090003" w:tentative="1">
      <w:start w:val="1"/>
      <w:numFmt w:val="bullet"/>
      <w:lvlText w:val="o"/>
      <w:lvlJc w:val="left"/>
      <w:pPr>
        <w:ind w:left="6746" w:hanging="360"/>
      </w:pPr>
      <w:rPr>
        <w:rFonts w:ascii="Courier New" w:hAnsi="Courier New" w:cs="Courier New" w:hint="default"/>
      </w:rPr>
    </w:lvl>
    <w:lvl w:ilvl="8" w:tplc="08090005" w:tentative="1">
      <w:start w:val="1"/>
      <w:numFmt w:val="bullet"/>
      <w:lvlText w:val=""/>
      <w:lvlJc w:val="left"/>
      <w:pPr>
        <w:ind w:left="7466" w:hanging="360"/>
      </w:pPr>
      <w:rPr>
        <w:rFonts w:ascii="Wingdings" w:hAnsi="Wingdings" w:hint="default"/>
      </w:rPr>
    </w:lvl>
  </w:abstractNum>
  <w:abstractNum w:abstractNumId="49" w15:restartNumberingAfterBreak="0">
    <w:nsid w:val="67945554"/>
    <w:multiLevelType w:val="hybridMultilevel"/>
    <w:tmpl w:val="967EF5AE"/>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50" w15:restartNumberingAfterBreak="0">
    <w:nsid w:val="6C4136E6"/>
    <w:multiLevelType w:val="hybridMultilevel"/>
    <w:tmpl w:val="96E6A13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D4C5461"/>
    <w:multiLevelType w:val="hybridMultilevel"/>
    <w:tmpl w:val="858CAC2E"/>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52" w15:restartNumberingAfterBreak="0">
    <w:nsid w:val="6F027956"/>
    <w:multiLevelType w:val="hybridMultilevel"/>
    <w:tmpl w:val="609221A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0D5655E"/>
    <w:multiLevelType w:val="hybridMultilevel"/>
    <w:tmpl w:val="3CACECE0"/>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54" w15:restartNumberingAfterBreak="0">
    <w:nsid w:val="720D357F"/>
    <w:multiLevelType w:val="hybridMultilevel"/>
    <w:tmpl w:val="2CCA9FF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73154A4B"/>
    <w:multiLevelType w:val="hybridMultilevel"/>
    <w:tmpl w:val="CC1870D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65034B3"/>
    <w:multiLevelType w:val="hybridMultilevel"/>
    <w:tmpl w:val="EB78E5FE"/>
    <w:lvl w:ilvl="0" w:tplc="08090003">
      <w:start w:val="1"/>
      <w:numFmt w:val="bullet"/>
      <w:lvlText w:val="o"/>
      <w:lvlJc w:val="left"/>
      <w:pPr>
        <w:ind w:left="1174" w:hanging="360"/>
      </w:pPr>
      <w:rPr>
        <w:rFonts w:ascii="Courier New" w:hAnsi="Courier New" w:cs="Courier New" w:hint="default"/>
      </w:rPr>
    </w:lvl>
    <w:lvl w:ilvl="1" w:tplc="08090003" w:tentative="1">
      <w:start w:val="1"/>
      <w:numFmt w:val="bullet"/>
      <w:lvlText w:val="o"/>
      <w:lvlJc w:val="left"/>
      <w:pPr>
        <w:ind w:left="1894" w:hanging="360"/>
      </w:pPr>
      <w:rPr>
        <w:rFonts w:ascii="Courier New" w:hAnsi="Courier New" w:cs="Courier New" w:hint="default"/>
      </w:rPr>
    </w:lvl>
    <w:lvl w:ilvl="2" w:tplc="08090005" w:tentative="1">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57" w15:restartNumberingAfterBreak="0">
    <w:nsid w:val="77D1561A"/>
    <w:multiLevelType w:val="hybridMultilevel"/>
    <w:tmpl w:val="C84CAA8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86764D3"/>
    <w:multiLevelType w:val="hybridMultilevel"/>
    <w:tmpl w:val="7E002E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CA93E66"/>
    <w:multiLevelType w:val="hybridMultilevel"/>
    <w:tmpl w:val="161CB5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0" w15:restartNumberingAfterBreak="0">
    <w:nsid w:val="7D8C34EC"/>
    <w:multiLevelType w:val="hybridMultilevel"/>
    <w:tmpl w:val="B9186F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7F9F446B"/>
    <w:multiLevelType w:val="hybridMultilevel"/>
    <w:tmpl w:val="E41EEC3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56846793">
    <w:abstractNumId w:val="42"/>
  </w:num>
  <w:num w:numId="2" w16cid:durableId="942952267">
    <w:abstractNumId w:val="34"/>
  </w:num>
  <w:num w:numId="3" w16cid:durableId="679620174">
    <w:abstractNumId w:val="41"/>
  </w:num>
  <w:num w:numId="4" w16cid:durableId="380834613">
    <w:abstractNumId w:val="48"/>
  </w:num>
  <w:num w:numId="5" w16cid:durableId="476840816">
    <w:abstractNumId w:val="51"/>
  </w:num>
  <w:num w:numId="6" w16cid:durableId="36857209">
    <w:abstractNumId w:val="32"/>
  </w:num>
  <w:num w:numId="7" w16cid:durableId="1698627734">
    <w:abstractNumId w:val="6"/>
  </w:num>
  <w:num w:numId="8" w16cid:durableId="791248883">
    <w:abstractNumId w:val="17"/>
  </w:num>
  <w:num w:numId="9" w16cid:durableId="1729256150">
    <w:abstractNumId w:val="9"/>
  </w:num>
  <w:num w:numId="10" w16cid:durableId="294221641">
    <w:abstractNumId w:val="46"/>
  </w:num>
  <w:num w:numId="11" w16cid:durableId="2009602119">
    <w:abstractNumId w:val="12"/>
  </w:num>
  <w:num w:numId="12" w16cid:durableId="547104946">
    <w:abstractNumId w:val="25"/>
  </w:num>
  <w:num w:numId="13" w16cid:durableId="2101369580">
    <w:abstractNumId w:val="49"/>
  </w:num>
  <w:num w:numId="14" w16cid:durableId="1408308071">
    <w:abstractNumId w:val="30"/>
  </w:num>
  <w:num w:numId="15" w16cid:durableId="2029524423">
    <w:abstractNumId w:val="43"/>
  </w:num>
  <w:num w:numId="16" w16cid:durableId="1994217778">
    <w:abstractNumId w:val="39"/>
  </w:num>
  <w:num w:numId="17" w16cid:durableId="229966779">
    <w:abstractNumId w:val="0"/>
  </w:num>
  <w:num w:numId="18" w16cid:durableId="2003505405">
    <w:abstractNumId w:val="59"/>
  </w:num>
  <w:num w:numId="19" w16cid:durableId="1627660549">
    <w:abstractNumId w:val="10"/>
  </w:num>
  <w:num w:numId="20" w16cid:durableId="1991208903">
    <w:abstractNumId w:val="45"/>
  </w:num>
  <w:num w:numId="21" w16cid:durableId="1712999222">
    <w:abstractNumId w:val="50"/>
  </w:num>
  <w:num w:numId="22" w16cid:durableId="667439910">
    <w:abstractNumId w:val="58"/>
  </w:num>
  <w:num w:numId="23" w16cid:durableId="829101498">
    <w:abstractNumId w:val="19"/>
  </w:num>
  <w:num w:numId="24" w16cid:durableId="1200706275">
    <w:abstractNumId w:val="55"/>
  </w:num>
  <w:num w:numId="25" w16cid:durableId="609750385">
    <w:abstractNumId w:val="61"/>
  </w:num>
  <w:num w:numId="26" w16cid:durableId="1389524817">
    <w:abstractNumId w:val="57"/>
  </w:num>
  <w:num w:numId="27" w16cid:durableId="639579163">
    <w:abstractNumId w:val="11"/>
  </w:num>
  <w:num w:numId="28" w16cid:durableId="1074743575">
    <w:abstractNumId w:val="3"/>
  </w:num>
  <w:num w:numId="29" w16cid:durableId="831025264">
    <w:abstractNumId w:val="52"/>
  </w:num>
  <w:num w:numId="30" w16cid:durableId="1298604693">
    <w:abstractNumId w:val="44"/>
  </w:num>
  <w:num w:numId="31" w16cid:durableId="1997218375">
    <w:abstractNumId w:val="15"/>
  </w:num>
  <w:num w:numId="32" w16cid:durableId="807284813">
    <w:abstractNumId w:val="24"/>
  </w:num>
  <w:num w:numId="33" w16cid:durableId="775709500">
    <w:abstractNumId w:val="40"/>
  </w:num>
  <w:num w:numId="34" w16cid:durableId="987787656">
    <w:abstractNumId w:val="38"/>
  </w:num>
  <w:num w:numId="35" w16cid:durableId="1741825434">
    <w:abstractNumId w:val="2"/>
  </w:num>
  <w:num w:numId="36" w16cid:durableId="845825650">
    <w:abstractNumId w:val="54"/>
  </w:num>
  <w:num w:numId="37" w16cid:durableId="1013260200">
    <w:abstractNumId w:val="22"/>
  </w:num>
  <w:num w:numId="38" w16cid:durableId="459956591">
    <w:abstractNumId w:val="1"/>
  </w:num>
  <w:num w:numId="39" w16cid:durableId="814447271">
    <w:abstractNumId w:val="14"/>
  </w:num>
  <w:num w:numId="40" w16cid:durableId="1011026687">
    <w:abstractNumId w:val="56"/>
  </w:num>
  <w:num w:numId="41" w16cid:durableId="197200686">
    <w:abstractNumId w:val="27"/>
  </w:num>
  <w:num w:numId="42" w16cid:durableId="400756680">
    <w:abstractNumId w:val="53"/>
  </w:num>
  <w:num w:numId="43" w16cid:durableId="710495713">
    <w:abstractNumId w:val="37"/>
  </w:num>
  <w:num w:numId="44" w16cid:durableId="1956517537">
    <w:abstractNumId w:val="7"/>
  </w:num>
  <w:num w:numId="45" w16cid:durableId="1600524742">
    <w:abstractNumId w:val="35"/>
  </w:num>
  <w:num w:numId="46" w16cid:durableId="21367865">
    <w:abstractNumId w:val="36"/>
  </w:num>
  <w:num w:numId="47" w16cid:durableId="529880255">
    <w:abstractNumId w:val="20"/>
  </w:num>
  <w:num w:numId="48" w16cid:durableId="2095323920">
    <w:abstractNumId w:val="33"/>
  </w:num>
  <w:num w:numId="49" w16cid:durableId="1609970852">
    <w:abstractNumId w:val="47"/>
  </w:num>
  <w:num w:numId="50" w16cid:durableId="1092240754">
    <w:abstractNumId w:val="31"/>
  </w:num>
  <w:num w:numId="51" w16cid:durableId="1998654931">
    <w:abstractNumId w:val="4"/>
  </w:num>
  <w:num w:numId="52" w16cid:durableId="2084910049">
    <w:abstractNumId w:val="23"/>
  </w:num>
  <w:num w:numId="53" w16cid:durableId="151483848">
    <w:abstractNumId w:val="29"/>
  </w:num>
  <w:num w:numId="54" w16cid:durableId="1144157666">
    <w:abstractNumId w:val="5"/>
  </w:num>
  <w:num w:numId="55" w16cid:durableId="2040086433">
    <w:abstractNumId w:val="18"/>
  </w:num>
  <w:num w:numId="56" w16cid:durableId="1205681019">
    <w:abstractNumId w:val="16"/>
  </w:num>
  <w:num w:numId="57" w16cid:durableId="732311620">
    <w:abstractNumId w:val="28"/>
  </w:num>
  <w:num w:numId="58" w16cid:durableId="1809545791">
    <w:abstractNumId w:val="21"/>
  </w:num>
  <w:num w:numId="59" w16cid:durableId="463471373">
    <w:abstractNumId w:val="26"/>
  </w:num>
  <w:num w:numId="60" w16cid:durableId="1135638174">
    <w:abstractNumId w:val="8"/>
  </w:num>
  <w:num w:numId="61" w16cid:durableId="1329092411">
    <w:abstractNumId w:val="60"/>
  </w:num>
  <w:num w:numId="62" w16cid:durableId="704211757">
    <w:abstractNumId w:val="1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A6C"/>
    <w:rsid w:val="00017A6C"/>
    <w:rsid w:val="00054D24"/>
    <w:rsid w:val="00067DBA"/>
    <w:rsid w:val="00084AD8"/>
    <w:rsid w:val="00092C95"/>
    <w:rsid w:val="0009344F"/>
    <w:rsid w:val="000A50B9"/>
    <w:rsid w:val="000A6BB4"/>
    <w:rsid w:val="000B3950"/>
    <w:rsid w:val="000D2975"/>
    <w:rsid w:val="000D51A9"/>
    <w:rsid w:val="000E0C89"/>
    <w:rsid w:val="000F52AD"/>
    <w:rsid w:val="000F7D06"/>
    <w:rsid w:val="00132D32"/>
    <w:rsid w:val="001334AC"/>
    <w:rsid w:val="00156FB4"/>
    <w:rsid w:val="00161F96"/>
    <w:rsid w:val="00166495"/>
    <w:rsid w:val="0016669B"/>
    <w:rsid w:val="00181E30"/>
    <w:rsid w:val="001D2E87"/>
    <w:rsid w:val="001E46DA"/>
    <w:rsid w:val="001F6485"/>
    <w:rsid w:val="00236518"/>
    <w:rsid w:val="00243C32"/>
    <w:rsid w:val="00255B1D"/>
    <w:rsid w:val="0026728C"/>
    <w:rsid w:val="0028649B"/>
    <w:rsid w:val="002867BC"/>
    <w:rsid w:val="002A6C01"/>
    <w:rsid w:val="002B2692"/>
    <w:rsid w:val="002D27B6"/>
    <w:rsid w:val="002D4643"/>
    <w:rsid w:val="002E2ECF"/>
    <w:rsid w:val="00314025"/>
    <w:rsid w:val="00345443"/>
    <w:rsid w:val="00357169"/>
    <w:rsid w:val="003772EC"/>
    <w:rsid w:val="003A29DA"/>
    <w:rsid w:val="003D437D"/>
    <w:rsid w:val="003E1065"/>
    <w:rsid w:val="003F2E59"/>
    <w:rsid w:val="003F6996"/>
    <w:rsid w:val="004341D0"/>
    <w:rsid w:val="0043588B"/>
    <w:rsid w:val="00437F00"/>
    <w:rsid w:val="00477FE0"/>
    <w:rsid w:val="00520E97"/>
    <w:rsid w:val="00551181"/>
    <w:rsid w:val="0055472C"/>
    <w:rsid w:val="0058702C"/>
    <w:rsid w:val="005B3C80"/>
    <w:rsid w:val="00632574"/>
    <w:rsid w:val="00650EED"/>
    <w:rsid w:val="00655A8B"/>
    <w:rsid w:val="006B0AFA"/>
    <w:rsid w:val="006C1978"/>
    <w:rsid w:val="006C5A1D"/>
    <w:rsid w:val="006F2F95"/>
    <w:rsid w:val="0071248A"/>
    <w:rsid w:val="00730763"/>
    <w:rsid w:val="00733EDF"/>
    <w:rsid w:val="007535BE"/>
    <w:rsid w:val="00787DDB"/>
    <w:rsid w:val="007D4F3F"/>
    <w:rsid w:val="007E3625"/>
    <w:rsid w:val="007E37D9"/>
    <w:rsid w:val="007E7D73"/>
    <w:rsid w:val="007F1CC5"/>
    <w:rsid w:val="007F4087"/>
    <w:rsid w:val="00813F35"/>
    <w:rsid w:val="008D74E9"/>
    <w:rsid w:val="008E66E4"/>
    <w:rsid w:val="00915A0A"/>
    <w:rsid w:val="009332B5"/>
    <w:rsid w:val="009463E0"/>
    <w:rsid w:val="009629F6"/>
    <w:rsid w:val="00970DB0"/>
    <w:rsid w:val="009824CA"/>
    <w:rsid w:val="00991B30"/>
    <w:rsid w:val="009C1401"/>
    <w:rsid w:val="009F2B28"/>
    <w:rsid w:val="00A0148F"/>
    <w:rsid w:val="00A569F9"/>
    <w:rsid w:val="00A9020E"/>
    <w:rsid w:val="00A968A2"/>
    <w:rsid w:val="00AC0DC7"/>
    <w:rsid w:val="00AC116C"/>
    <w:rsid w:val="00AD0A09"/>
    <w:rsid w:val="00AD330B"/>
    <w:rsid w:val="00B9157B"/>
    <w:rsid w:val="00BA6E7D"/>
    <w:rsid w:val="00BC35A4"/>
    <w:rsid w:val="00BF5B7F"/>
    <w:rsid w:val="00C07837"/>
    <w:rsid w:val="00C10C70"/>
    <w:rsid w:val="00C155F8"/>
    <w:rsid w:val="00C2395D"/>
    <w:rsid w:val="00C30393"/>
    <w:rsid w:val="00C620DA"/>
    <w:rsid w:val="00C64B8B"/>
    <w:rsid w:val="00C76201"/>
    <w:rsid w:val="00C81228"/>
    <w:rsid w:val="00C85E14"/>
    <w:rsid w:val="00CE047D"/>
    <w:rsid w:val="00CE240B"/>
    <w:rsid w:val="00D14CFD"/>
    <w:rsid w:val="00D20011"/>
    <w:rsid w:val="00D24901"/>
    <w:rsid w:val="00D27C36"/>
    <w:rsid w:val="00D30EB9"/>
    <w:rsid w:val="00D86CC2"/>
    <w:rsid w:val="00D94053"/>
    <w:rsid w:val="00DA25FC"/>
    <w:rsid w:val="00DB469D"/>
    <w:rsid w:val="00DF49DE"/>
    <w:rsid w:val="00E0548D"/>
    <w:rsid w:val="00E15688"/>
    <w:rsid w:val="00E30DE2"/>
    <w:rsid w:val="00E30FB6"/>
    <w:rsid w:val="00E360E8"/>
    <w:rsid w:val="00E42045"/>
    <w:rsid w:val="00E52CEE"/>
    <w:rsid w:val="00E72838"/>
    <w:rsid w:val="00E808B2"/>
    <w:rsid w:val="00E965C8"/>
    <w:rsid w:val="00EA00B4"/>
    <w:rsid w:val="00EA4767"/>
    <w:rsid w:val="00EB3D63"/>
    <w:rsid w:val="00ED55F6"/>
    <w:rsid w:val="00EE49FF"/>
    <w:rsid w:val="00F32B64"/>
    <w:rsid w:val="00F56377"/>
    <w:rsid w:val="00F5701F"/>
    <w:rsid w:val="00F733A1"/>
    <w:rsid w:val="00F75A1B"/>
    <w:rsid w:val="00F9189F"/>
    <w:rsid w:val="00FA2FBA"/>
    <w:rsid w:val="00FA5A92"/>
    <w:rsid w:val="00FA75B2"/>
    <w:rsid w:val="00FE16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4D163229"/>
  <w15:docId w15:val="{D2FD75E3-2AD9-45EA-AF87-9191BE38F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7A6C"/>
    <w:pPr>
      <w:spacing w:after="0" w:line="240" w:lineRule="auto"/>
    </w:pPr>
    <w:rPr>
      <w:rFonts w:ascii="Arial" w:eastAsia="Times New Roman" w:hAnsi="Arial" w:cs="Times New Roman"/>
      <w:szCs w:val="24"/>
    </w:rPr>
  </w:style>
  <w:style w:type="paragraph" w:styleId="Heading1">
    <w:name w:val="heading 1"/>
    <w:aliases w:val="Heading"/>
    <w:basedOn w:val="Normal"/>
    <w:link w:val="Heading1Char"/>
    <w:uiPriority w:val="9"/>
    <w:qFormat/>
    <w:rsid w:val="00C81228"/>
    <w:pPr>
      <w:spacing w:before="100" w:beforeAutospacing="1" w:after="100" w:afterAutospacing="1"/>
      <w:outlineLvl w:val="0"/>
    </w:pPr>
    <w:rPr>
      <w:b/>
      <w:bCs/>
      <w:color w:val="0070C0"/>
      <w:kern w:val="36"/>
      <w:sz w:val="28"/>
      <w:szCs w:val="48"/>
      <w:lang w:eastAsia="en-GB"/>
    </w:rPr>
  </w:style>
  <w:style w:type="paragraph" w:styleId="Heading2">
    <w:name w:val="heading 2"/>
    <w:basedOn w:val="Normal"/>
    <w:next w:val="Normal"/>
    <w:link w:val="Heading2Char"/>
    <w:uiPriority w:val="9"/>
    <w:unhideWhenUsed/>
    <w:qFormat/>
    <w:rsid w:val="001D2E87"/>
    <w:pPr>
      <w:keepNext/>
      <w:widowControl w:val="0"/>
      <w:spacing w:before="120" w:line="276" w:lineRule="auto"/>
      <w:ind w:left="851" w:right="340"/>
      <w:jc w:val="both"/>
      <w:outlineLvl w:val="1"/>
    </w:pPr>
    <w:rPr>
      <w:rFonts w:eastAsia="Arial"/>
      <w:b/>
      <w:bCs/>
      <w:noProof/>
      <w:color w:val="4F81BD"/>
      <w:sz w:val="24"/>
      <w:lang w:eastAsia="en-GB"/>
    </w:rPr>
  </w:style>
  <w:style w:type="paragraph" w:styleId="Heading3">
    <w:name w:val="heading 3"/>
    <w:basedOn w:val="Normal"/>
    <w:next w:val="Normal"/>
    <w:link w:val="Heading3Char"/>
    <w:uiPriority w:val="9"/>
    <w:unhideWhenUsed/>
    <w:qFormat/>
    <w:rsid w:val="001D2E87"/>
    <w:pPr>
      <w:keepNext/>
      <w:widowControl w:val="0"/>
      <w:spacing w:before="120" w:line="276" w:lineRule="auto"/>
      <w:ind w:left="720" w:right="340"/>
      <w:jc w:val="both"/>
      <w:outlineLvl w:val="2"/>
    </w:pPr>
    <w:rPr>
      <w:rFonts w:ascii="Calibri" w:eastAsia="Calibri" w:hAnsi="Calibri"/>
      <w:i/>
      <w:noProof/>
      <w:color w:val="595959"/>
      <w:sz w:val="28"/>
      <w:szCs w:val="28"/>
      <w:lang w:eastAsia="en-GB"/>
    </w:rPr>
  </w:style>
  <w:style w:type="paragraph" w:styleId="Heading4">
    <w:name w:val="heading 4"/>
    <w:aliases w:val="Strategy heading"/>
    <w:basedOn w:val="Normal"/>
    <w:next w:val="Normal"/>
    <w:link w:val="Heading4Char"/>
    <w:uiPriority w:val="9"/>
    <w:unhideWhenUsed/>
    <w:qFormat/>
    <w:rsid w:val="001D2E87"/>
    <w:pPr>
      <w:keepNext/>
      <w:widowControl w:val="0"/>
      <w:spacing w:before="120" w:after="120" w:line="320" w:lineRule="exact"/>
      <w:ind w:left="1060" w:right="227" w:hanging="720"/>
      <w:jc w:val="both"/>
      <w:outlineLvl w:val="3"/>
    </w:pPr>
    <w:rPr>
      <w:rFonts w:ascii="Calibri" w:eastAsia="Arial" w:hAnsi="Calibri"/>
      <w:b/>
      <w:bCs/>
      <w:noProof/>
      <w:color w:val="4F81BD"/>
      <w:sz w:val="28"/>
      <w:lang w:eastAsia="en-GB"/>
    </w:rPr>
  </w:style>
  <w:style w:type="paragraph" w:styleId="Heading5">
    <w:name w:val="heading 5"/>
    <w:basedOn w:val="Normal"/>
    <w:next w:val="Normal"/>
    <w:link w:val="Heading5Char"/>
    <w:uiPriority w:val="9"/>
    <w:semiHidden/>
    <w:unhideWhenUsed/>
    <w:qFormat/>
    <w:rsid w:val="001D2E87"/>
    <w:pPr>
      <w:keepNext/>
      <w:keepLines/>
      <w:spacing w:before="40" w:line="320" w:lineRule="exact"/>
      <w:ind w:left="340" w:right="340"/>
      <w:jc w:val="both"/>
      <w:outlineLvl w:val="4"/>
    </w:pPr>
    <w:rPr>
      <w:rFonts w:asciiTheme="majorHAnsi" w:eastAsiaTheme="majorEastAsia" w:hAnsiTheme="majorHAnsi" w:cstheme="majorBidi"/>
      <w:noProof/>
      <w:color w:val="365F91" w:themeColor="accent1" w:themeShade="BF"/>
      <w:sz w:val="24"/>
      <w:lang w:eastAsia="en-GB"/>
    </w:rPr>
  </w:style>
  <w:style w:type="paragraph" w:styleId="Heading6">
    <w:name w:val="heading 6"/>
    <w:basedOn w:val="Normal"/>
    <w:next w:val="Normal"/>
    <w:link w:val="Heading6Char"/>
    <w:uiPriority w:val="9"/>
    <w:unhideWhenUsed/>
    <w:qFormat/>
    <w:rsid w:val="001D2E87"/>
    <w:pPr>
      <w:keepNext/>
      <w:spacing w:before="120" w:after="200" w:line="320" w:lineRule="exact"/>
      <w:ind w:left="720" w:right="340"/>
      <w:jc w:val="both"/>
      <w:outlineLvl w:val="5"/>
    </w:pPr>
    <w:rPr>
      <w:rFonts w:ascii="Calibri" w:eastAsia="Calibri" w:hAnsi="Calibri"/>
      <w:i/>
      <w:iCs/>
      <w:noProof/>
      <w:color w:val="002060"/>
      <w:lang w:eastAsia="en-GB"/>
    </w:rPr>
  </w:style>
  <w:style w:type="paragraph" w:styleId="Heading7">
    <w:name w:val="heading 7"/>
    <w:basedOn w:val="Normal"/>
    <w:next w:val="Normal"/>
    <w:link w:val="Heading7Char"/>
    <w:uiPriority w:val="9"/>
    <w:unhideWhenUsed/>
    <w:qFormat/>
    <w:rsid w:val="001D2E87"/>
    <w:pPr>
      <w:keepNext/>
      <w:spacing w:before="120" w:after="200" w:line="320" w:lineRule="exact"/>
      <w:ind w:left="720" w:right="340"/>
      <w:jc w:val="both"/>
      <w:outlineLvl w:val="6"/>
    </w:pPr>
    <w:rPr>
      <w:rFonts w:ascii="Calibri" w:eastAsia="Calibri" w:hAnsi="Calibri"/>
      <w:i/>
      <w:iCs/>
      <w:noProof/>
      <w:color w:val="4F81BD"/>
      <w:sz w:val="24"/>
      <w:lang w:eastAsia="en-GB"/>
    </w:rPr>
  </w:style>
  <w:style w:type="paragraph" w:styleId="Heading8">
    <w:name w:val="heading 8"/>
    <w:basedOn w:val="Normal"/>
    <w:next w:val="Normal"/>
    <w:link w:val="Heading8Char"/>
    <w:uiPriority w:val="9"/>
    <w:unhideWhenUsed/>
    <w:qFormat/>
    <w:rsid w:val="001D2E87"/>
    <w:pPr>
      <w:keepNext/>
      <w:spacing w:before="120" w:after="120" w:line="276" w:lineRule="auto"/>
      <w:ind w:left="720" w:right="340"/>
      <w:jc w:val="both"/>
      <w:outlineLvl w:val="7"/>
    </w:pPr>
    <w:rPr>
      <w:rFonts w:ascii="Calibri" w:eastAsia="Calibri" w:hAnsi="Calibri"/>
      <w:b/>
      <w:noProof/>
      <w:color w:val="595959"/>
      <w:sz w:val="28"/>
      <w:szCs w:val="28"/>
      <w:lang w:eastAsia="en-GB"/>
    </w:rPr>
  </w:style>
  <w:style w:type="paragraph" w:styleId="Heading9">
    <w:name w:val="heading 9"/>
    <w:basedOn w:val="Normal"/>
    <w:next w:val="Normal"/>
    <w:link w:val="Heading9Char"/>
    <w:uiPriority w:val="9"/>
    <w:unhideWhenUsed/>
    <w:qFormat/>
    <w:rsid w:val="001D2E87"/>
    <w:pPr>
      <w:keepNext/>
      <w:spacing w:before="120" w:after="120" w:line="320" w:lineRule="exact"/>
      <w:ind w:left="340" w:right="340"/>
      <w:jc w:val="both"/>
      <w:outlineLvl w:val="8"/>
    </w:pPr>
    <w:rPr>
      <w:rFonts w:ascii="Calibri" w:eastAsia="Arial" w:hAnsi="Calibri"/>
      <w:b/>
      <w:bCs/>
      <w:color w:val="4F81BD"/>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0FB6"/>
    <w:pPr>
      <w:tabs>
        <w:tab w:val="center" w:pos="4513"/>
        <w:tab w:val="right" w:pos="9026"/>
      </w:tabs>
    </w:pPr>
  </w:style>
  <w:style w:type="character" w:customStyle="1" w:styleId="HeaderChar">
    <w:name w:val="Header Char"/>
    <w:basedOn w:val="DefaultParagraphFont"/>
    <w:link w:val="Header"/>
    <w:uiPriority w:val="99"/>
    <w:rsid w:val="00E30FB6"/>
    <w:rPr>
      <w:rFonts w:ascii="Arial" w:eastAsia="Times New Roman" w:hAnsi="Arial" w:cs="Times New Roman"/>
      <w:szCs w:val="24"/>
    </w:rPr>
  </w:style>
  <w:style w:type="paragraph" w:styleId="Footer">
    <w:name w:val="footer"/>
    <w:basedOn w:val="Normal"/>
    <w:link w:val="FooterChar"/>
    <w:uiPriority w:val="99"/>
    <w:unhideWhenUsed/>
    <w:rsid w:val="00E30FB6"/>
    <w:pPr>
      <w:tabs>
        <w:tab w:val="center" w:pos="4513"/>
        <w:tab w:val="right" w:pos="9026"/>
      </w:tabs>
    </w:pPr>
  </w:style>
  <w:style w:type="character" w:customStyle="1" w:styleId="FooterChar">
    <w:name w:val="Footer Char"/>
    <w:basedOn w:val="DefaultParagraphFont"/>
    <w:link w:val="Footer"/>
    <w:uiPriority w:val="99"/>
    <w:rsid w:val="00E30FB6"/>
    <w:rPr>
      <w:rFonts w:ascii="Arial" w:eastAsia="Times New Roman" w:hAnsi="Arial" w:cs="Times New Roman"/>
      <w:szCs w:val="24"/>
    </w:rPr>
  </w:style>
  <w:style w:type="paragraph" w:styleId="ListParagraph">
    <w:name w:val="List Paragraph"/>
    <w:basedOn w:val="Normal"/>
    <w:uiPriority w:val="34"/>
    <w:qFormat/>
    <w:rsid w:val="00AD0A09"/>
    <w:pPr>
      <w:ind w:left="720"/>
      <w:contextualSpacing/>
    </w:pPr>
  </w:style>
  <w:style w:type="character" w:customStyle="1" w:styleId="Heading1Char">
    <w:name w:val="Heading 1 Char"/>
    <w:aliases w:val="Heading Char"/>
    <w:basedOn w:val="DefaultParagraphFont"/>
    <w:link w:val="Heading1"/>
    <w:uiPriority w:val="9"/>
    <w:rsid w:val="00C81228"/>
    <w:rPr>
      <w:rFonts w:ascii="Arial" w:eastAsia="Times New Roman" w:hAnsi="Arial" w:cs="Times New Roman"/>
      <w:b/>
      <w:bCs/>
      <w:color w:val="0070C0"/>
      <w:kern w:val="36"/>
      <w:sz w:val="28"/>
      <w:szCs w:val="48"/>
      <w:lang w:eastAsia="en-GB"/>
    </w:rPr>
  </w:style>
  <w:style w:type="character" w:styleId="Hyperlink">
    <w:name w:val="Hyperlink"/>
    <w:basedOn w:val="DefaultParagraphFont"/>
    <w:uiPriority w:val="99"/>
    <w:semiHidden/>
    <w:unhideWhenUsed/>
    <w:rsid w:val="0058702C"/>
    <w:rPr>
      <w:color w:val="0000FF"/>
      <w:u w:val="single"/>
    </w:rPr>
  </w:style>
  <w:style w:type="table" w:styleId="TableGrid">
    <w:name w:val="Table Grid"/>
    <w:basedOn w:val="TableNormal"/>
    <w:uiPriority w:val="39"/>
    <w:rsid w:val="00E30D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6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46DA"/>
    <w:rPr>
      <w:rFonts w:ascii="Segoe UI" w:eastAsia="Times New Roman" w:hAnsi="Segoe UI" w:cs="Segoe UI"/>
      <w:sz w:val="18"/>
      <w:szCs w:val="18"/>
    </w:rPr>
  </w:style>
  <w:style w:type="character" w:styleId="CommentReference">
    <w:name w:val="annotation reference"/>
    <w:basedOn w:val="DefaultParagraphFont"/>
    <w:uiPriority w:val="99"/>
    <w:semiHidden/>
    <w:unhideWhenUsed/>
    <w:rsid w:val="006F2F95"/>
    <w:rPr>
      <w:sz w:val="16"/>
      <w:szCs w:val="16"/>
    </w:rPr>
  </w:style>
  <w:style w:type="paragraph" w:styleId="CommentText">
    <w:name w:val="annotation text"/>
    <w:basedOn w:val="Normal"/>
    <w:link w:val="CommentTextChar"/>
    <w:uiPriority w:val="99"/>
    <w:semiHidden/>
    <w:unhideWhenUsed/>
    <w:rsid w:val="006F2F95"/>
    <w:rPr>
      <w:sz w:val="20"/>
      <w:szCs w:val="20"/>
    </w:rPr>
  </w:style>
  <w:style w:type="character" w:customStyle="1" w:styleId="CommentTextChar">
    <w:name w:val="Comment Text Char"/>
    <w:basedOn w:val="DefaultParagraphFont"/>
    <w:link w:val="CommentText"/>
    <w:uiPriority w:val="99"/>
    <w:rsid w:val="006F2F95"/>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6F2F95"/>
    <w:rPr>
      <w:b/>
      <w:bCs/>
    </w:rPr>
  </w:style>
  <w:style w:type="character" w:customStyle="1" w:styleId="CommentSubjectChar">
    <w:name w:val="Comment Subject Char"/>
    <w:basedOn w:val="CommentTextChar"/>
    <w:link w:val="CommentSubject"/>
    <w:uiPriority w:val="99"/>
    <w:semiHidden/>
    <w:rsid w:val="006F2F95"/>
    <w:rPr>
      <w:rFonts w:ascii="Arial" w:eastAsia="Times New Roman" w:hAnsi="Arial" w:cs="Times New Roman"/>
      <w:b/>
      <w:bCs/>
      <w:sz w:val="20"/>
      <w:szCs w:val="20"/>
    </w:rPr>
  </w:style>
  <w:style w:type="paragraph" w:styleId="Revision">
    <w:name w:val="Revision"/>
    <w:hidden/>
    <w:uiPriority w:val="99"/>
    <w:semiHidden/>
    <w:rsid w:val="00970DB0"/>
    <w:pPr>
      <w:spacing w:after="0" w:line="240" w:lineRule="auto"/>
    </w:pPr>
    <w:rPr>
      <w:rFonts w:ascii="Arial" w:eastAsia="Times New Roman" w:hAnsi="Arial" w:cs="Times New Roman"/>
      <w:szCs w:val="24"/>
    </w:rPr>
  </w:style>
  <w:style w:type="character" w:customStyle="1" w:styleId="Heading9Char">
    <w:name w:val="Heading 9 Char"/>
    <w:basedOn w:val="DefaultParagraphFont"/>
    <w:link w:val="Heading9"/>
    <w:uiPriority w:val="9"/>
    <w:rsid w:val="001D2E87"/>
    <w:rPr>
      <w:rFonts w:ascii="Calibri" w:eastAsia="Arial" w:hAnsi="Calibri" w:cs="Times New Roman"/>
      <w:b/>
      <w:bCs/>
      <w:color w:val="4F81BD"/>
      <w:sz w:val="28"/>
    </w:rPr>
  </w:style>
  <w:style w:type="paragraph" w:customStyle="1" w:styleId="NormalWeb1">
    <w:name w:val="Normal (Web)1"/>
    <w:basedOn w:val="Normal"/>
    <w:next w:val="NormalWeb"/>
    <w:uiPriority w:val="99"/>
    <w:unhideWhenUsed/>
    <w:rsid w:val="001D2E87"/>
    <w:pPr>
      <w:spacing w:before="100" w:beforeAutospacing="1" w:after="100" w:afterAutospacing="1" w:line="320" w:lineRule="exact"/>
      <w:ind w:left="340" w:right="340"/>
      <w:jc w:val="both"/>
    </w:pPr>
    <w:rPr>
      <w:rFonts w:ascii="Times New Roman" w:hAnsi="Times New Roman"/>
      <w:color w:val="595959" w:themeColor="text1" w:themeTint="A6"/>
      <w:sz w:val="24"/>
      <w:lang w:eastAsia="en-GB"/>
    </w:rPr>
  </w:style>
  <w:style w:type="paragraph" w:styleId="NormalWeb">
    <w:name w:val="Normal (Web)"/>
    <w:basedOn w:val="Normal"/>
    <w:uiPriority w:val="99"/>
    <w:semiHidden/>
    <w:unhideWhenUsed/>
    <w:rsid w:val="001D2E87"/>
    <w:pPr>
      <w:spacing w:before="120" w:after="120" w:line="320" w:lineRule="exact"/>
      <w:ind w:left="340" w:right="340"/>
      <w:jc w:val="both"/>
    </w:pPr>
    <w:rPr>
      <w:rFonts w:ascii="Times New Roman" w:eastAsiaTheme="minorHAnsi" w:hAnsi="Times New Roman"/>
      <w:color w:val="595959" w:themeColor="text1" w:themeTint="A6"/>
      <w:sz w:val="24"/>
    </w:rPr>
  </w:style>
  <w:style w:type="character" w:customStyle="1" w:styleId="Heading2Char">
    <w:name w:val="Heading 2 Char"/>
    <w:basedOn w:val="DefaultParagraphFont"/>
    <w:link w:val="Heading2"/>
    <w:uiPriority w:val="9"/>
    <w:rsid w:val="001D2E87"/>
    <w:rPr>
      <w:rFonts w:ascii="Arial" w:eastAsia="Arial" w:hAnsi="Arial" w:cs="Times New Roman"/>
      <w:b/>
      <w:bCs/>
      <w:noProof/>
      <w:color w:val="4F81BD"/>
      <w:sz w:val="24"/>
      <w:szCs w:val="24"/>
      <w:lang w:eastAsia="en-GB"/>
    </w:rPr>
  </w:style>
  <w:style w:type="character" w:customStyle="1" w:styleId="Heading3Char">
    <w:name w:val="Heading 3 Char"/>
    <w:basedOn w:val="DefaultParagraphFont"/>
    <w:link w:val="Heading3"/>
    <w:uiPriority w:val="9"/>
    <w:rsid w:val="001D2E87"/>
    <w:rPr>
      <w:rFonts w:ascii="Calibri" w:eastAsia="Calibri" w:hAnsi="Calibri" w:cs="Times New Roman"/>
      <w:i/>
      <w:noProof/>
      <w:color w:val="595959"/>
      <w:sz w:val="28"/>
      <w:szCs w:val="28"/>
      <w:lang w:eastAsia="en-GB"/>
    </w:rPr>
  </w:style>
  <w:style w:type="character" w:customStyle="1" w:styleId="Heading4Char">
    <w:name w:val="Heading 4 Char"/>
    <w:aliases w:val="Strategy heading Char"/>
    <w:basedOn w:val="DefaultParagraphFont"/>
    <w:link w:val="Heading4"/>
    <w:uiPriority w:val="9"/>
    <w:rsid w:val="001D2E87"/>
    <w:rPr>
      <w:rFonts w:ascii="Calibri" w:eastAsia="Arial" w:hAnsi="Calibri" w:cs="Times New Roman"/>
      <w:b/>
      <w:bCs/>
      <w:noProof/>
      <w:color w:val="4F81BD"/>
      <w:sz w:val="28"/>
      <w:szCs w:val="24"/>
      <w:lang w:eastAsia="en-GB"/>
    </w:rPr>
  </w:style>
  <w:style w:type="character" w:customStyle="1" w:styleId="Heading5Char">
    <w:name w:val="Heading 5 Char"/>
    <w:basedOn w:val="DefaultParagraphFont"/>
    <w:link w:val="Heading5"/>
    <w:uiPriority w:val="9"/>
    <w:semiHidden/>
    <w:rsid w:val="001D2E87"/>
    <w:rPr>
      <w:rFonts w:asciiTheme="majorHAnsi" w:eastAsiaTheme="majorEastAsia" w:hAnsiTheme="majorHAnsi" w:cstheme="majorBidi"/>
      <w:noProof/>
      <w:color w:val="365F91" w:themeColor="accent1" w:themeShade="BF"/>
      <w:sz w:val="24"/>
      <w:szCs w:val="24"/>
      <w:lang w:eastAsia="en-GB"/>
    </w:rPr>
  </w:style>
  <w:style w:type="character" w:customStyle="1" w:styleId="Heading6Char">
    <w:name w:val="Heading 6 Char"/>
    <w:basedOn w:val="DefaultParagraphFont"/>
    <w:link w:val="Heading6"/>
    <w:uiPriority w:val="9"/>
    <w:rsid w:val="001D2E87"/>
    <w:rPr>
      <w:rFonts w:ascii="Calibri" w:eastAsia="Calibri" w:hAnsi="Calibri" w:cs="Times New Roman"/>
      <w:i/>
      <w:iCs/>
      <w:noProof/>
      <w:color w:val="002060"/>
      <w:szCs w:val="24"/>
      <w:lang w:eastAsia="en-GB"/>
    </w:rPr>
  </w:style>
  <w:style w:type="character" w:customStyle="1" w:styleId="Heading7Char">
    <w:name w:val="Heading 7 Char"/>
    <w:basedOn w:val="DefaultParagraphFont"/>
    <w:link w:val="Heading7"/>
    <w:uiPriority w:val="9"/>
    <w:rsid w:val="001D2E87"/>
    <w:rPr>
      <w:rFonts w:ascii="Calibri" w:eastAsia="Calibri" w:hAnsi="Calibri" w:cs="Times New Roman"/>
      <w:i/>
      <w:iCs/>
      <w:noProof/>
      <w:color w:val="4F81BD"/>
      <w:sz w:val="24"/>
      <w:szCs w:val="24"/>
      <w:lang w:eastAsia="en-GB"/>
    </w:rPr>
  </w:style>
  <w:style w:type="character" w:customStyle="1" w:styleId="Heading8Char">
    <w:name w:val="Heading 8 Char"/>
    <w:basedOn w:val="DefaultParagraphFont"/>
    <w:link w:val="Heading8"/>
    <w:uiPriority w:val="9"/>
    <w:rsid w:val="001D2E87"/>
    <w:rPr>
      <w:rFonts w:ascii="Calibri" w:eastAsia="Calibri" w:hAnsi="Calibri" w:cs="Times New Roman"/>
      <w:b/>
      <w:noProof/>
      <w:color w:val="595959"/>
      <w:sz w:val="28"/>
      <w:szCs w:val="28"/>
      <w:lang w:eastAsia="en-GB"/>
    </w:rPr>
  </w:style>
  <w:style w:type="paragraph" w:styleId="BodyTextIndent">
    <w:name w:val="Body Text Indent"/>
    <w:basedOn w:val="Normal"/>
    <w:link w:val="BodyTextIndentChar"/>
    <w:uiPriority w:val="99"/>
    <w:unhideWhenUsed/>
    <w:rsid w:val="001D2E87"/>
    <w:pPr>
      <w:widowControl w:val="0"/>
      <w:spacing w:before="120" w:line="276" w:lineRule="auto"/>
      <w:ind w:left="720" w:right="340"/>
      <w:jc w:val="both"/>
    </w:pPr>
    <w:rPr>
      <w:rFonts w:ascii="Calibri" w:eastAsia="Calibri" w:hAnsi="Calibri"/>
      <w:noProof/>
      <w:color w:val="595959"/>
      <w:sz w:val="24"/>
      <w:lang w:eastAsia="en-GB"/>
    </w:rPr>
  </w:style>
  <w:style w:type="character" w:customStyle="1" w:styleId="BodyTextIndentChar">
    <w:name w:val="Body Text Indent Char"/>
    <w:basedOn w:val="DefaultParagraphFont"/>
    <w:link w:val="BodyTextIndent"/>
    <w:uiPriority w:val="99"/>
    <w:rsid w:val="001D2E87"/>
    <w:rPr>
      <w:rFonts w:ascii="Calibri" w:eastAsia="Calibri" w:hAnsi="Calibri" w:cs="Times New Roman"/>
      <w:noProof/>
      <w:color w:val="595959"/>
      <w:sz w:val="24"/>
      <w:szCs w:val="24"/>
      <w:lang w:eastAsia="en-GB"/>
    </w:rPr>
  </w:style>
  <w:style w:type="paragraph" w:styleId="BodyTextIndent2">
    <w:name w:val="Body Text Indent 2"/>
    <w:basedOn w:val="Normal"/>
    <w:link w:val="BodyTextIndent2Char"/>
    <w:uiPriority w:val="99"/>
    <w:semiHidden/>
    <w:unhideWhenUsed/>
    <w:rsid w:val="001D2E87"/>
    <w:pPr>
      <w:spacing w:before="120" w:after="120" w:line="480" w:lineRule="auto"/>
      <w:ind w:left="283" w:right="340"/>
      <w:jc w:val="both"/>
    </w:pPr>
    <w:rPr>
      <w:rFonts w:ascii="Calibri" w:eastAsia="Calibri" w:hAnsi="Calibri"/>
      <w:noProof/>
      <w:color w:val="595959"/>
      <w:sz w:val="24"/>
      <w:lang w:eastAsia="en-GB"/>
    </w:rPr>
  </w:style>
  <w:style w:type="character" w:customStyle="1" w:styleId="BodyTextIndent2Char">
    <w:name w:val="Body Text Indent 2 Char"/>
    <w:basedOn w:val="DefaultParagraphFont"/>
    <w:link w:val="BodyTextIndent2"/>
    <w:uiPriority w:val="99"/>
    <w:semiHidden/>
    <w:rsid w:val="001D2E87"/>
    <w:rPr>
      <w:rFonts w:ascii="Calibri" w:eastAsia="Calibri" w:hAnsi="Calibri" w:cs="Times New Roman"/>
      <w:noProof/>
      <w:color w:val="595959"/>
      <w:sz w:val="24"/>
      <w:szCs w:val="24"/>
      <w:lang w:eastAsia="en-GB"/>
    </w:rPr>
  </w:style>
  <w:style w:type="paragraph" w:styleId="BodyTextIndent3">
    <w:name w:val="Body Text Indent 3"/>
    <w:basedOn w:val="Normal"/>
    <w:link w:val="BodyTextIndent3Char"/>
    <w:uiPriority w:val="99"/>
    <w:semiHidden/>
    <w:unhideWhenUsed/>
    <w:rsid w:val="001D2E87"/>
    <w:pPr>
      <w:spacing w:before="120" w:after="120" w:line="320" w:lineRule="exact"/>
      <w:ind w:left="283" w:right="340"/>
      <w:jc w:val="both"/>
    </w:pPr>
    <w:rPr>
      <w:rFonts w:ascii="Calibri" w:eastAsia="Calibri" w:hAnsi="Calibri"/>
      <w:noProof/>
      <w:color w:val="595959"/>
      <w:sz w:val="16"/>
      <w:szCs w:val="16"/>
      <w:lang w:eastAsia="en-GB"/>
    </w:rPr>
  </w:style>
  <w:style w:type="character" w:customStyle="1" w:styleId="BodyTextIndent3Char">
    <w:name w:val="Body Text Indent 3 Char"/>
    <w:basedOn w:val="DefaultParagraphFont"/>
    <w:link w:val="BodyTextIndent3"/>
    <w:uiPriority w:val="99"/>
    <w:semiHidden/>
    <w:rsid w:val="001D2E87"/>
    <w:rPr>
      <w:rFonts w:ascii="Calibri" w:eastAsia="Calibri" w:hAnsi="Calibri" w:cs="Times New Roman"/>
      <w:noProof/>
      <w:color w:val="595959"/>
      <w:sz w:val="16"/>
      <w:szCs w:val="16"/>
      <w:lang w:eastAsia="en-GB"/>
    </w:rPr>
  </w:style>
  <w:style w:type="paragraph" w:customStyle="1" w:styleId="TableParagraph">
    <w:name w:val="Table Paragraph"/>
    <w:basedOn w:val="Normal"/>
    <w:uiPriority w:val="1"/>
    <w:qFormat/>
    <w:rsid w:val="001D2E87"/>
    <w:pPr>
      <w:widowControl w:val="0"/>
      <w:spacing w:before="120" w:line="276" w:lineRule="auto"/>
      <w:ind w:left="720" w:right="340"/>
      <w:jc w:val="both"/>
    </w:pPr>
    <w:rPr>
      <w:rFonts w:ascii="Calibri" w:eastAsia="Calibri" w:hAnsi="Calibri"/>
      <w:noProof/>
      <w:color w:val="595959"/>
      <w:sz w:val="24"/>
      <w:lang w:eastAsia="en-GB"/>
    </w:rPr>
  </w:style>
  <w:style w:type="table" w:customStyle="1" w:styleId="TableGrid1">
    <w:name w:val="Table Grid1"/>
    <w:basedOn w:val="TableNormal"/>
    <w:next w:val="TableGrid"/>
    <w:uiPriority w:val="39"/>
    <w:rsid w:val="001D2E87"/>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D2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entText1">
    <w:name w:val="Comment Text1"/>
    <w:basedOn w:val="Normal"/>
    <w:next w:val="CommentText"/>
    <w:uiPriority w:val="99"/>
    <w:unhideWhenUsed/>
    <w:rsid w:val="001D2E87"/>
    <w:pPr>
      <w:spacing w:before="120" w:after="120"/>
      <w:ind w:left="340" w:right="340"/>
      <w:jc w:val="both"/>
    </w:pPr>
    <w:rPr>
      <w:rFonts w:ascii="Calibri" w:eastAsia="Calibri" w:hAnsi="Calibri"/>
      <w:noProof/>
      <w:color w:val="595959"/>
      <w:sz w:val="20"/>
      <w:szCs w:val="20"/>
      <w:lang w:eastAsia="en-GB"/>
    </w:rPr>
  </w:style>
  <w:style w:type="character" w:customStyle="1" w:styleId="CommentTextChar1">
    <w:name w:val="Comment Text Char1"/>
    <w:basedOn w:val="DefaultParagraphFont"/>
    <w:uiPriority w:val="99"/>
    <w:semiHidden/>
    <w:rsid w:val="001D2E87"/>
    <w:rPr>
      <w:sz w:val="20"/>
      <w:szCs w:val="20"/>
    </w:rPr>
  </w:style>
  <w:style w:type="paragraph" w:styleId="NoSpacing">
    <w:name w:val="No Spacing"/>
    <w:link w:val="NoSpacingChar"/>
    <w:uiPriority w:val="1"/>
    <w:qFormat/>
    <w:rsid w:val="001D2E87"/>
    <w:pPr>
      <w:spacing w:after="0" w:line="240" w:lineRule="auto"/>
      <w:ind w:left="454" w:right="454"/>
      <w:jc w:val="both"/>
    </w:pPr>
    <w:rPr>
      <w:rFonts w:ascii="Calibri" w:eastAsia="Calibri" w:hAnsi="Calibri" w:cs="Times New Roman"/>
      <w:noProof/>
      <w:color w:val="595959"/>
      <w:sz w:val="24"/>
      <w:szCs w:val="24"/>
      <w:lang w:eastAsia="en-GB"/>
    </w:rPr>
  </w:style>
  <w:style w:type="paragraph" w:styleId="BlockText">
    <w:name w:val="Block Text"/>
    <w:basedOn w:val="Normal"/>
    <w:uiPriority w:val="99"/>
    <w:unhideWhenUsed/>
    <w:rsid w:val="001D2E87"/>
    <w:pPr>
      <w:spacing w:before="120" w:after="120" w:line="320" w:lineRule="exact"/>
      <w:ind w:left="340" w:right="340"/>
      <w:jc w:val="both"/>
    </w:pPr>
    <w:rPr>
      <w:rFonts w:ascii="Calibri" w:eastAsia="Calibri" w:hAnsi="Calibri"/>
      <w:noProof/>
      <w:color w:val="595959"/>
      <w:sz w:val="24"/>
      <w:lang w:eastAsia="en-GB"/>
    </w:rPr>
  </w:style>
  <w:style w:type="paragraph" w:customStyle="1" w:styleId="Default">
    <w:name w:val="Default"/>
    <w:rsid w:val="001D2E87"/>
    <w:pPr>
      <w:autoSpaceDE w:val="0"/>
      <w:autoSpaceDN w:val="0"/>
      <w:adjustRightInd w:val="0"/>
      <w:spacing w:after="0" w:line="240" w:lineRule="auto"/>
    </w:pPr>
    <w:rPr>
      <w:rFonts w:ascii="Myriad Pro Light" w:hAnsi="Myriad Pro Light" w:cs="Myriad Pro Light"/>
      <w:color w:val="000000"/>
      <w:sz w:val="24"/>
      <w:szCs w:val="24"/>
    </w:rPr>
  </w:style>
  <w:style w:type="paragraph" w:customStyle="1" w:styleId="Pa8">
    <w:name w:val="Pa8"/>
    <w:basedOn w:val="Default"/>
    <w:next w:val="Default"/>
    <w:uiPriority w:val="99"/>
    <w:rsid w:val="001D2E87"/>
    <w:pPr>
      <w:spacing w:line="201" w:lineRule="atLeast"/>
    </w:pPr>
    <w:rPr>
      <w:rFonts w:cstheme="minorBidi"/>
      <w:color w:val="auto"/>
    </w:rPr>
  </w:style>
  <w:style w:type="table" w:customStyle="1" w:styleId="TableGrid21">
    <w:name w:val="Table Grid21"/>
    <w:basedOn w:val="TableNormal"/>
    <w:next w:val="TableGrid"/>
    <w:uiPriority w:val="39"/>
    <w:rsid w:val="001D2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D2E87"/>
    <w:pPr>
      <w:widowControl w:val="0"/>
      <w:spacing w:before="120" w:line="276" w:lineRule="auto"/>
      <w:ind w:left="680" w:right="340"/>
      <w:jc w:val="both"/>
    </w:pPr>
    <w:rPr>
      <w:rFonts w:eastAsia="Arial" w:cstheme="minorBidi"/>
      <w:color w:val="595959"/>
      <w:sz w:val="24"/>
    </w:rPr>
  </w:style>
  <w:style w:type="character" w:customStyle="1" w:styleId="BodyTextChar">
    <w:name w:val="Body Text Char"/>
    <w:basedOn w:val="DefaultParagraphFont"/>
    <w:link w:val="BodyText"/>
    <w:uiPriority w:val="1"/>
    <w:rsid w:val="001D2E87"/>
    <w:rPr>
      <w:rFonts w:ascii="Arial" w:eastAsia="Arial" w:hAnsi="Arial"/>
      <w:color w:val="595959"/>
      <w:sz w:val="24"/>
      <w:szCs w:val="24"/>
    </w:rPr>
  </w:style>
  <w:style w:type="character" w:customStyle="1" w:styleId="NoSpacingChar">
    <w:name w:val="No Spacing Char"/>
    <w:basedOn w:val="DefaultParagraphFont"/>
    <w:link w:val="NoSpacing"/>
    <w:uiPriority w:val="1"/>
    <w:rsid w:val="009463E0"/>
    <w:rPr>
      <w:rFonts w:ascii="Calibri" w:eastAsia="Calibri" w:hAnsi="Calibri" w:cs="Times New Roman"/>
      <w:noProof/>
      <w:color w:val="595959"/>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310837">
      <w:bodyDiv w:val="1"/>
      <w:marLeft w:val="0"/>
      <w:marRight w:val="0"/>
      <w:marTop w:val="0"/>
      <w:marBottom w:val="0"/>
      <w:divBdr>
        <w:top w:val="none" w:sz="0" w:space="0" w:color="auto"/>
        <w:left w:val="none" w:sz="0" w:space="0" w:color="auto"/>
        <w:bottom w:val="none" w:sz="0" w:space="0" w:color="auto"/>
        <w:right w:val="none" w:sz="0" w:space="0" w:color="auto"/>
      </w:divBdr>
    </w:div>
    <w:div w:id="761921678">
      <w:bodyDiv w:val="1"/>
      <w:marLeft w:val="0"/>
      <w:marRight w:val="0"/>
      <w:marTop w:val="0"/>
      <w:marBottom w:val="0"/>
      <w:divBdr>
        <w:top w:val="none" w:sz="0" w:space="0" w:color="auto"/>
        <w:left w:val="none" w:sz="0" w:space="0" w:color="auto"/>
        <w:bottom w:val="none" w:sz="0" w:space="0" w:color="auto"/>
        <w:right w:val="none" w:sz="0" w:space="0" w:color="auto"/>
      </w:divBdr>
    </w:div>
    <w:div w:id="1027676688">
      <w:bodyDiv w:val="1"/>
      <w:marLeft w:val="0"/>
      <w:marRight w:val="0"/>
      <w:marTop w:val="0"/>
      <w:marBottom w:val="0"/>
      <w:divBdr>
        <w:top w:val="none" w:sz="0" w:space="0" w:color="auto"/>
        <w:left w:val="none" w:sz="0" w:space="0" w:color="auto"/>
        <w:bottom w:val="none" w:sz="0" w:space="0" w:color="auto"/>
        <w:right w:val="none" w:sz="0" w:space="0" w:color="auto"/>
      </w:divBdr>
    </w:div>
    <w:div w:id="1304239995">
      <w:bodyDiv w:val="1"/>
      <w:marLeft w:val="0"/>
      <w:marRight w:val="0"/>
      <w:marTop w:val="0"/>
      <w:marBottom w:val="0"/>
      <w:divBdr>
        <w:top w:val="none" w:sz="0" w:space="0" w:color="auto"/>
        <w:left w:val="none" w:sz="0" w:space="0" w:color="auto"/>
        <w:bottom w:val="none" w:sz="0" w:space="0" w:color="auto"/>
        <w:right w:val="none" w:sz="0" w:space="0" w:color="auto"/>
      </w:divBdr>
    </w:div>
    <w:div w:id="1399935839">
      <w:bodyDiv w:val="1"/>
      <w:marLeft w:val="0"/>
      <w:marRight w:val="0"/>
      <w:marTop w:val="0"/>
      <w:marBottom w:val="0"/>
      <w:divBdr>
        <w:top w:val="none" w:sz="0" w:space="0" w:color="auto"/>
        <w:left w:val="none" w:sz="0" w:space="0" w:color="auto"/>
        <w:bottom w:val="none" w:sz="0" w:space="0" w:color="auto"/>
        <w:right w:val="none" w:sz="0" w:space="0" w:color="auto"/>
      </w:divBdr>
    </w:div>
    <w:div w:id="1951859334">
      <w:bodyDiv w:val="1"/>
      <w:marLeft w:val="0"/>
      <w:marRight w:val="0"/>
      <w:marTop w:val="0"/>
      <w:marBottom w:val="0"/>
      <w:divBdr>
        <w:top w:val="none" w:sz="0" w:space="0" w:color="auto"/>
        <w:left w:val="none" w:sz="0" w:space="0" w:color="auto"/>
        <w:bottom w:val="none" w:sz="0" w:space="0" w:color="auto"/>
        <w:right w:val="none" w:sz="0" w:space="0" w:color="auto"/>
      </w:divBdr>
    </w:div>
    <w:div w:id="2070494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6EBA8A-E682-443D-899A-1C567556B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22305</Words>
  <Characters>127141</Characters>
  <Application>Microsoft Office Word</Application>
  <DocSecurity>4</DocSecurity>
  <Lines>1059</Lines>
  <Paragraphs>298</Paragraphs>
  <ScaleCrop>false</ScaleCrop>
  <HeadingPairs>
    <vt:vector size="2" baseType="variant">
      <vt:variant>
        <vt:lpstr>Title</vt:lpstr>
      </vt:variant>
      <vt:variant>
        <vt:i4>1</vt:i4>
      </vt:variant>
    </vt:vector>
  </HeadingPairs>
  <TitlesOfParts>
    <vt:vector size="1" baseType="lpstr">
      <vt:lpstr/>
    </vt:vector>
  </TitlesOfParts>
  <Company>NTW NHS Trust</Company>
  <LinksUpToDate>false</LinksUpToDate>
  <CharactersWithSpaces>149148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Henderson, Debbie (Chief Executive Office)</cp:lastModifiedBy>
  <cp:revision>2</cp:revision>
  <dcterms:created xsi:type="dcterms:W3CDTF">2025-09-02T16:43:00Z</dcterms:created>
  <dcterms:modified xsi:type="dcterms:W3CDTF">2025-09-02T16:43:00Z</dcterms:modified>
</cp:coreProperties>
</file>