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C2A" w:rsidRDefault="00B50C2A" w:rsidP="00903F5A">
      <w:pPr>
        <w:spacing w:after="0" w:line="240" w:lineRule="auto"/>
        <w:jc w:val="right"/>
        <w:rPr>
          <w:b/>
        </w:rPr>
      </w:pPr>
      <w:r>
        <w:rPr>
          <w:noProof/>
          <w:lang w:eastAsia="en-GB"/>
        </w:rPr>
        <w:drawing>
          <wp:anchor distT="0" distB="0" distL="114300" distR="114300" simplePos="0" relativeHeight="251659264" behindDoc="1" locked="0" layoutInCell="1" allowOverlap="1" wp14:anchorId="2CBECBEC" wp14:editId="2EA1D8E7">
            <wp:simplePos x="0" y="0"/>
            <wp:positionH relativeFrom="page">
              <wp:posOffset>4311015</wp:posOffset>
            </wp:positionH>
            <wp:positionV relativeFrom="paragraph">
              <wp:posOffset>-829310</wp:posOffset>
            </wp:positionV>
            <wp:extent cx="2933065" cy="1338580"/>
            <wp:effectExtent l="0" t="0" r="63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065" cy="1338580"/>
                    </a:xfrm>
                    <a:prstGeom prst="rect">
                      <a:avLst/>
                    </a:prstGeom>
                    <a:noFill/>
                  </pic:spPr>
                </pic:pic>
              </a:graphicData>
            </a:graphic>
            <wp14:sizeRelH relativeFrom="margin">
              <wp14:pctWidth>0</wp14:pctWidth>
            </wp14:sizeRelH>
            <wp14:sizeRelV relativeFrom="margin">
              <wp14:pctHeight>0</wp14:pctHeight>
            </wp14:sizeRelV>
          </wp:anchor>
        </w:drawing>
      </w:r>
    </w:p>
    <w:p w:rsidR="00B50C2A" w:rsidRDefault="00B50C2A" w:rsidP="00903F5A">
      <w:pPr>
        <w:spacing w:after="0" w:line="240" w:lineRule="auto"/>
        <w:rPr>
          <w:b/>
        </w:rPr>
      </w:pPr>
    </w:p>
    <w:p w:rsidR="00B50C2A" w:rsidRDefault="00B50C2A" w:rsidP="00903F5A">
      <w:pPr>
        <w:spacing w:after="0" w:line="240" w:lineRule="auto"/>
        <w:jc w:val="center"/>
        <w:rPr>
          <w:b/>
          <w:i/>
        </w:rPr>
      </w:pPr>
      <w:r>
        <w:rPr>
          <w:b/>
        </w:rPr>
        <w:t>Report to the Board of Directors</w:t>
      </w:r>
      <w:r>
        <w:rPr>
          <w:b/>
          <w:i/>
        </w:rPr>
        <w:t xml:space="preserve"> </w:t>
      </w:r>
    </w:p>
    <w:p w:rsidR="00B50C2A" w:rsidRPr="00244FB0" w:rsidRDefault="006A7597" w:rsidP="00903F5A">
      <w:pPr>
        <w:spacing w:after="0" w:line="240" w:lineRule="auto"/>
        <w:jc w:val="center"/>
        <w:rPr>
          <w:b/>
        </w:rPr>
      </w:pPr>
      <w:r w:rsidRPr="00244FB0">
        <w:rPr>
          <w:b/>
        </w:rPr>
        <w:t>2 September 2020</w:t>
      </w:r>
    </w:p>
    <w:tbl>
      <w:tblPr>
        <w:tblStyle w:val="TableGrid"/>
        <w:tblW w:w="0" w:type="auto"/>
        <w:tblLook w:val="04A0" w:firstRow="1" w:lastRow="0" w:firstColumn="1" w:lastColumn="0" w:noHBand="0" w:noVBand="1"/>
      </w:tblPr>
      <w:tblGrid>
        <w:gridCol w:w="2659"/>
        <w:gridCol w:w="6357"/>
      </w:tblGrid>
      <w:tr w:rsidR="00B50C2A" w:rsidRPr="00676D4B" w:rsidTr="00903F5A">
        <w:tc>
          <w:tcPr>
            <w:tcW w:w="2659" w:type="dxa"/>
            <w:shd w:val="clear" w:color="auto" w:fill="auto"/>
          </w:tcPr>
          <w:p w:rsidR="00B50C2A" w:rsidRPr="00B15AFB" w:rsidRDefault="00B50C2A" w:rsidP="00903F5A">
            <w:pPr>
              <w:rPr>
                <w:rFonts w:ascii="Arial" w:hAnsi="Arial" w:cs="Arial"/>
                <w:b/>
              </w:rPr>
            </w:pPr>
            <w:r w:rsidRPr="00B15AFB">
              <w:rPr>
                <w:rFonts w:ascii="Arial" w:hAnsi="Arial" w:cs="Arial"/>
                <w:b/>
              </w:rPr>
              <w:t>Title of report</w:t>
            </w:r>
          </w:p>
          <w:p w:rsidR="00B50C2A" w:rsidRPr="00B15AFB" w:rsidRDefault="00B50C2A" w:rsidP="00903F5A">
            <w:pPr>
              <w:rPr>
                <w:rFonts w:ascii="Arial" w:hAnsi="Arial" w:cs="Arial"/>
                <w:b/>
              </w:rPr>
            </w:pPr>
          </w:p>
        </w:tc>
        <w:tc>
          <w:tcPr>
            <w:tcW w:w="6357" w:type="dxa"/>
          </w:tcPr>
          <w:p w:rsidR="00B50C2A" w:rsidRPr="00676D4B" w:rsidRDefault="006A7597" w:rsidP="00903F5A">
            <w:pPr>
              <w:rPr>
                <w:rFonts w:ascii="Arial" w:hAnsi="Arial" w:cs="Arial"/>
                <w:b/>
              </w:rPr>
            </w:pPr>
            <w:r w:rsidRPr="006A7597">
              <w:rPr>
                <w:rFonts w:ascii="Arial" w:hAnsi="Arial" w:cs="Arial"/>
                <w:b/>
              </w:rPr>
              <w:t xml:space="preserve">Workforce Race Equality Standard and Workforce Disability Equality Standard  </w:t>
            </w:r>
          </w:p>
        </w:tc>
      </w:tr>
      <w:tr w:rsidR="00B50C2A" w:rsidRPr="00676D4B" w:rsidTr="00903F5A">
        <w:tc>
          <w:tcPr>
            <w:tcW w:w="2659" w:type="dxa"/>
            <w:shd w:val="clear" w:color="auto" w:fill="auto"/>
          </w:tcPr>
          <w:p w:rsidR="00B50C2A" w:rsidRPr="00B15AFB" w:rsidRDefault="00B50C2A" w:rsidP="00903F5A">
            <w:pPr>
              <w:rPr>
                <w:rFonts w:ascii="Arial" w:hAnsi="Arial" w:cs="Arial"/>
                <w:b/>
              </w:rPr>
            </w:pPr>
            <w:r w:rsidRPr="00B15AFB">
              <w:rPr>
                <w:rFonts w:ascii="Arial" w:hAnsi="Arial" w:cs="Arial"/>
                <w:b/>
              </w:rPr>
              <w:t>Report author(s)</w:t>
            </w:r>
          </w:p>
          <w:p w:rsidR="00B50C2A" w:rsidRPr="00B15AFB" w:rsidRDefault="00B50C2A" w:rsidP="00903F5A">
            <w:pPr>
              <w:rPr>
                <w:rFonts w:ascii="Arial" w:hAnsi="Arial" w:cs="Arial"/>
                <w:b/>
              </w:rPr>
            </w:pPr>
          </w:p>
        </w:tc>
        <w:tc>
          <w:tcPr>
            <w:tcW w:w="6357" w:type="dxa"/>
          </w:tcPr>
          <w:p w:rsidR="00B50C2A" w:rsidRPr="00676D4B" w:rsidRDefault="006A7597" w:rsidP="00903F5A">
            <w:pPr>
              <w:rPr>
                <w:rFonts w:ascii="Arial" w:hAnsi="Arial" w:cs="Arial"/>
                <w:b/>
              </w:rPr>
            </w:pPr>
            <w:r>
              <w:rPr>
                <w:rFonts w:ascii="Arial" w:hAnsi="Arial" w:cs="Arial"/>
                <w:b/>
              </w:rPr>
              <w:t>Christopher Rowlands</w:t>
            </w:r>
            <w:r w:rsidR="00903F5A">
              <w:rPr>
                <w:rFonts w:ascii="Arial" w:hAnsi="Arial" w:cs="Arial"/>
                <w:b/>
              </w:rPr>
              <w:t>, Equality and Diversity Lead</w:t>
            </w:r>
          </w:p>
        </w:tc>
      </w:tr>
      <w:tr w:rsidR="00B50C2A" w:rsidRPr="00676D4B" w:rsidTr="00903F5A">
        <w:tc>
          <w:tcPr>
            <w:tcW w:w="2659" w:type="dxa"/>
            <w:shd w:val="clear" w:color="auto" w:fill="auto"/>
          </w:tcPr>
          <w:p w:rsidR="00B50C2A" w:rsidRPr="00B15AFB" w:rsidRDefault="00B50C2A" w:rsidP="00903F5A">
            <w:pPr>
              <w:rPr>
                <w:rFonts w:ascii="Arial" w:hAnsi="Arial" w:cs="Arial"/>
                <w:b/>
              </w:rPr>
            </w:pPr>
            <w:r w:rsidRPr="00B15AFB">
              <w:rPr>
                <w:rFonts w:ascii="Arial" w:hAnsi="Arial" w:cs="Arial"/>
                <w:b/>
              </w:rPr>
              <w:t>Executive Lead (if different from above)</w:t>
            </w:r>
          </w:p>
        </w:tc>
        <w:tc>
          <w:tcPr>
            <w:tcW w:w="6357" w:type="dxa"/>
          </w:tcPr>
          <w:p w:rsidR="00B50C2A" w:rsidRPr="00676D4B" w:rsidRDefault="006A7597" w:rsidP="00903F5A">
            <w:pPr>
              <w:rPr>
                <w:rFonts w:ascii="Arial" w:hAnsi="Arial" w:cs="Arial"/>
                <w:b/>
              </w:rPr>
            </w:pPr>
            <w:r>
              <w:rPr>
                <w:rFonts w:ascii="Arial" w:hAnsi="Arial" w:cs="Arial"/>
                <w:b/>
              </w:rPr>
              <w:t>Lynne Shaw</w:t>
            </w:r>
            <w:r w:rsidR="00903F5A">
              <w:rPr>
                <w:rFonts w:ascii="Arial" w:hAnsi="Arial" w:cs="Arial"/>
                <w:b/>
              </w:rPr>
              <w:t>, Executive Director of Workforce and OD</w:t>
            </w:r>
          </w:p>
        </w:tc>
      </w:tr>
    </w:tbl>
    <w:p w:rsidR="00B50C2A" w:rsidRPr="00626BF6" w:rsidRDefault="00B50C2A" w:rsidP="00903F5A">
      <w:pPr>
        <w:spacing w:after="0" w:line="240" w:lineRule="auto"/>
      </w:pPr>
      <w:r w:rsidRPr="00626BF6">
        <w:t xml:space="preserve"> </w:t>
      </w:r>
    </w:p>
    <w:tbl>
      <w:tblPr>
        <w:tblStyle w:val="TableGrid"/>
        <w:tblW w:w="0" w:type="auto"/>
        <w:tblLook w:val="04A0" w:firstRow="1" w:lastRow="0" w:firstColumn="1" w:lastColumn="0" w:noHBand="0" w:noVBand="1"/>
      </w:tblPr>
      <w:tblGrid>
        <w:gridCol w:w="4155"/>
        <w:gridCol w:w="529"/>
        <w:gridCol w:w="3793"/>
        <w:gridCol w:w="539"/>
      </w:tblGrid>
      <w:tr w:rsidR="00B50C2A" w:rsidRPr="00E35E1E" w:rsidTr="00903F5A">
        <w:tc>
          <w:tcPr>
            <w:tcW w:w="9776" w:type="dxa"/>
            <w:gridSpan w:val="4"/>
            <w:shd w:val="clear" w:color="auto" w:fill="auto"/>
          </w:tcPr>
          <w:p w:rsidR="00B50C2A" w:rsidRPr="00E35E1E" w:rsidRDefault="00B50C2A" w:rsidP="00903F5A">
            <w:pPr>
              <w:rPr>
                <w:rFonts w:ascii="Arial" w:hAnsi="Arial" w:cs="Arial"/>
                <w:b/>
              </w:rPr>
            </w:pPr>
            <w:r w:rsidRPr="00E35E1E">
              <w:rPr>
                <w:rFonts w:ascii="Arial" w:hAnsi="Arial" w:cs="Arial"/>
                <w:b/>
              </w:rPr>
              <w:t>Strategic ambitions this paper supports (please check the appropriate box)</w:t>
            </w:r>
          </w:p>
          <w:p w:rsidR="00B50C2A" w:rsidRPr="00E35E1E" w:rsidRDefault="00B50C2A" w:rsidP="00903F5A">
            <w:pPr>
              <w:rPr>
                <w:rFonts w:ascii="Arial" w:hAnsi="Arial" w:cs="Arial"/>
                <w:b/>
              </w:rPr>
            </w:pPr>
          </w:p>
        </w:tc>
      </w:tr>
      <w:tr w:rsidR="00B50C2A" w:rsidRPr="00FF1140" w:rsidTr="00903F5A">
        <w:tc>
          <w:tcPr>
            <w:tcW w:w="4531" w:type="dxa"/>
          </w:tcPr>
          <w:p w:rsidR="00B50C2A" w:rsidRPr="00FF1140" w:rsidRDefault="00B50C2A" w:rsidP="00AA49C8">
            <w:pPr>
              <w:rPr>
                <w:rFonts w:ascii="Arial" w:hAnsi="Arial" w:cs="Arial"/>
                <w:sz w:val="20"/>
              </w:rPr>
            </w:pPr>
            <w:r w:rsidRPr="00FF1140">
              <w:rPr>
                <w:rFonts w:ascii="Arial" w:hAnsi="Arial" w:cs="Arial"/>
                <w:sz w:val="20"/>
              </w:rPr>
              <w:t>Work</w:t>
            </w:r>
            <w:r>
              <w:rPr>
                <w:rFonts w:ascii="Arial" w:hAnsi="Arial" w:cs="Arial"/>
                <w:sz w:val="20"/>
              </w:rPr>
              <w:t xml:space="preserve"> with service users and carers to</w:t>
            </w:r>
            <w:r w:rsidRPr="00FF1140">
              <w:rPr>
                <w:rFonts w:ascii="Arial" w:hAnsi="Arial" w:cs="Arial"/>
                <w:sz w:val="20"/>
              </w:rPr>
              <w:t xml:space="preserve"> provid</w:t>
            </w:r>
            <w:r>
              <w:rPr>
                <w:rFonts w:ascii="Arial" w:hAnsi="Arial" w:cs="Arial"/>
                <w:sz w:val="20"/>
              </w:rPr>
              <w:t>e excellent care and</w:t>
            </w:r>
            <w:r w:rsidRPr="00FF1140">
              <w:rPr>
                <w:rFonts w:ascii="Arial" w:hAnsi="Arial" w:cs="Arial"/>
                <w:sz w:val="20"/>
              </w:rPr>
              <w:t xml:space="preserve"> health and wellbeing</w:t>
            </w:r>
          </w:p>
        </w:tc>
        <w:tc>
          <w:tcPr>
            <w:tcW w:w="567" w:type="dxa"/>
          </w:tcPr>
          <w:p w:rsidR="00B50C2A" w:rsidRPr="00FF1140" w:rsidRDefault="00B50C2A" w:rsidP="00903F5A">
            <w:pPr>
              <w:rPr>
                <w:rFonts w:ascii="Arial" w:hAnsi="Arial" w:cs="Arial"/>
                <w:sz w:val="20"/>
              </w:rPr>
            </w:pPr>
          </w:p>
        </w:tc>
        <w:tc>
          <w:tcPr>
            <w:tcW w:w="4111" w:type="dxa"/>
          </w:tcPr>
          <w:p w:rsidR="00B50C2A" w:rsidRPr="00FF1140" w:rsidRDefault="00B50C2A" w:rsidP="00903F5A">
            <w:pPr>
              <w:rPr>
                <w:rFonts w:ascii="Arial" w:hAnsi="Arial" w:cs="Arial"/>
                <w:sz w:val="20"/>
              </w:rPr>
            </w:pPr>
            <w:r>
              <w:rPr>
                <w:rFonts w:ascii="Arial" w:hAnsi="Arial" w:cs="Arial"/>
                <w:sz w:val="20"/>
              </w:rPr>
              <w:t xml:space="preserve">Work together to </w:t>
            </w:r>
            <w:r w:rsidRPr="00FF1140">
              <w:rPr>
                <w:rFonts w:ascii="Arial" w:hAnsi="Arial" w:cs="Arial"/>
                <w:sz w:val="20"/>
              </w:rPr>
              <w:t>promote prevention, early intervention and resilience</w:t>
            </w:r>
          </w:p>
          <w:p w:rsidR="00B50C2A" w:rsidRPr="00FF1140" w:rsidRDefault="00B50C2A" w:rsidP="00903F5A">
            <w:pPr>
              <w:rPr>
                <w:rFonts w:ascii="Arial" w:hAnsi="Arial" w:cs="Arial"/>
                <w:sz w:val="20"/>
              </w:rPr>
            </w:pPr>
          </w:p>
        </w:tc>
        <w:tc>
          <w:tcPr>
            <w:tcW w:w="567" w:type="dxa"/>
          </w:tcPr>
          <w:p w:rsidR="00B50C2A" w:rsidRPr="00FF1140" w:rsidRDefault="00B50C2A" w:rsidP="00903F5A">
            <w:pPr>
              <w:rPr>
                <w:rFonts w:ascii="Arial" w:hAnsi="Arial" w:cs="Arial"/>
                <w:sz w:val="20"/>
              </w:rPr>
            </w:pPr>
          </w:p>
        </w:tc>
      </w:tr>
      <w:tr w:rsidR="00B50C2A" w:rsidRPr="00FF1140" w:rsidTr="00903F5A">
        <w:tc>
          <w:tcPr>
            <w:tcW w:w="4531" w:type="dxa"/>
          </w:tcPr>
          <w:p w:rsidR="00B50C2A" w:rsidRPr="00FF1140" w:rsidRDefault="00B50C2A" w:rsidP="00AA49C8">
            <w:pPr>
              <w:rPr>
                <w:rFonts w:ascii="Arial" w:hAnsi="Arial" w:cs="Arial"/>
                <w:sz w:val="20"/>
              </w:rPr>
            </w:pPr>
            <w:r>
              <w:rPr>
                <w:rFonts w:ascii="Arial" w:hAnsi="Arial" w:cs="Arial"/>
                <w:sz w:val="20"/>
              </w:rPr>
              <w:t xml:space="preserve">To achieve </w:t>
            </w:r>
            <w:r w:rsidRPr="00FF1140">
              <w:rPr>
                <w:rFonts w:ascii="Arial" w:hAnsi="Arial" w:cs="Arial"/>
                <w:sz w:val="20"/>
              </w:rPr>
              <w:t>“no health without mental health” and</w:t>
            </w:r>
            <w:r>
              <w:rPr>
                <w:rFonts w:ascii="Arial" w:hAnsi="Arial" w:cs="Arial"/>
                <w:sz w:val="20"/>
              </w:rPr>
              <w:t xml:space="preserve"> “joined up” services</w:t>
            </w:r>
          </w:p>
        </w:tc>
        <w:tc>
          <w:tcPr>
            <w:tcW w:w="567" w:type="dxa"/>
          </w:tcPr>
          <w:p w:rsidR="00B50C2A" w:rsidRPr="00FF1140" w:rsidRDefault="00B50C2A" w:rsidP="00903F5A">
            <w:pPr>
              <w:rPr>
                <w:rFonts w:ascii="Arial" w:hAnsi="Arial" w:cs="Arial"/>
                <w:sz w:val="20"/>
              </w:rPr>
            </w:pPr>
          </w:p>
        </w:tc>
        <w:tc>
          <w:tcPr>
            <w:tcW w:w="4111" w:type="dxa"/>
          </w:tcPr>
          <w:p w:rsidR="00B50C2A" w:rsidRPr="00FF1140" w:rsidRDefault="00B50C2A" w:rsidP="00AA49C8">
            <w:pPr>
              <w:rPr>
                <w:rFonts w:ascii="Arial" w:hAnsi="Arial" w:cs="Arial"/>
                <w:sz w:val="20"/>
              </w:rPr>
            </w:pPr>
            <w:r>
              <w:rPr>
                <w:rFonts w:ascii="Arial" w:hAnsi="Arial" w:cs="Arial"/>
                <w:sz w:val="20"/>
              </w:rPr>
              <w:t xml:space="preserve">Sustainable </w:t>
            </w:r>
            <w:r w:rsidRPr="00FF1140">
              <w:rPr>
                <w:rFonts w:ascii="Arial" w:hAnsi="Arial" w:cs="Arial"/>
                <w:sz w:val="20"/>
              </w:rPr>
              <w:t>mental health and disability services deliver</w:t>
            </w:r>
            <w:r>
              <w:rPr>
                <w:rFonts w:ascii="Arial" w:hAnsi="Arial" w:cs="Arial"/>
                <w:sz w:val="20"/>
              </w:rPr>
              <w:t>ing</w:t>
            </w:r>
            <w:r w:rsidRPr="00FF1140">
              <w:rPr>
                <w:rFonts w:ascii="Arial" w:hAnsi="Arial" w:cs="Arial"/>
                <w:sz w:val="20"/>
              </w:rPr>
              <w:t xml:space="preserve"> real value </w:t>
            </w:r>
          </w:p>
        </w:tc>
        <w:tc>
          <w:tcPr>
            <w:tcW w:w="567" w:type="dxa"/>
          </w:tcPr>
          <w:p w:rsidR="00B50C2A" w:rsidRPr="00FF1140" w:rsidRDefault="00B50C2A" w:rsidP="00903F5A">
            <w:pPr>
              <w:rPr>
                <w:rFonts w:ascii="Arial" w:hAnsi="Arial" w:cs="Arial"/>
                <w:sz w:val="20"/>
              </w:rPr>
            </w:pPr>
          </w:p>
        </w:tc>
      </w:tr>
      <w:tr w:rsidR="00B50C2A" w:rsidRPr="00FF1140" w:rsidTr="00903F5A">
        <w:tc>
          <w:tcPr>
            <w:tcW w:w="4531" w:type="dxa"/>
          </w:tcPr>
          <w:p w:rsidR="00B50C2A" w:rsidRPr="00FF1140" w:rsidRDefault="00B50C2A" w:rsidP="00AA49C8">
            <w:pPr>
              <w:rPr>
                <w:rFonts w:ascii="Arial" w:hAnsi="Arial" w:cs="Arial"/>
                <w:sz w:val="20"/>
              </w:rPr>
            </w:pPr>
            <w:r>
              <w:rPr>
                <w:rFonts w:ascii="Arial" w:hAnsi="Arial" w:cs="Arial"/>
                <w:sz w:val="20"/>
              </w:rPr>
              <w:t>To</w:t>
            </w:r>
            <w:r w:rsidRPr="00FF1140">
              <w:rPr>
                <w:rFonts w:ascii="Arial" w:hAnsi="Arial" w:cs="Arial"/>
                <w:sz w:val="20"/>
              </w:rPr>
              <w:t xml:space="preserve"> be a centre of excellence for mental health and disability</w:t>
            </w:r>
          </w:p>
        </w:tc>
        <w:tc>
          <w:tcPr>
            <w:tcW w:w="567" w:type="dxa"/>
          </w:tcPr>
          <w:p w:rsidR="00B50C2A" w:rsidRPr="00FF1140" w:rsidRDefault="00B50C2A" w:rsidP="00903F5A">
            <w:pPr>
              <w:rPr>
                <w:rFonts w:ascii="Arial" w:hAnsi="Arial" w:cs="Arial"/>
                <w:sz w:val="20"/>
              </w:rPr>
            </w:pPr>
          </w:p>
        </w:tc>
        <w:tc>
          <w:tcPr>
            <w:tcW w:w="4111" w:type="dxa"/>
          </w:tcPr>
          <w:p w:rsidR="00B50C2A" w:rsidRPr="00FF1140" w:rsidRDefault="00B50C2A" w:rsidP="00903F5A">
            <w:pPr>
              <w:rPr>
                <w:rFonts w:ascii="Arial" w:hAnsi="Arial" w:cs="Arial"/>
                <w:sz w:val="20"/>
              </w:rPr>
            </w:pPr>
            <w:r w:rsidRPr="00FF1140">
              <w:rPr>
                <w:rFonts w:ascii="Arial" w:hAnsi="Arial" w:cs="Arial"/>
                <w:sz w:val="20"/>
              </w:rPr>
              <w:t xml:space="preserve">The Trust </w:t>
            </w:r>
            <w:r>
              <w:rPr>
                <w:rFonts w:ascii="Arial" w:hAnsi="Arial" w:cs="Arial"/>
                <w:sz w:val="20"/>
              </w:rPr>
              <w:t>to</w:t>
            </w:r>
            <w:r w:rsidRPr="00FF1140">
              <w:rPr>
                <w:rFonts w:ascii="Arial" w:hAnsi="Arial" w:cs="Arial"/>
                <w:sz w:val="20"/>
              </w:rPr>
              <w:t xml:space="preserve"> be regarded as a great place to work</w:t>
            </w:r>
          </w:p>
        </w:tc>
        <w:tc>
          <w:tcPr>
            <w:tcW w:w="567" w:type="dxa"/>
            <w:shd w:val="clear" w:color="auto" w:fill="auto"/>
          </w:tcPr>
          <w:p w:rsidR="00B50C2A" w:rsidRDefault="00B50C2A" w:rsidP="00903F5A">
            <w:pPr>
              <w:rPr>
                <w:rFonts w:ascii="Arial" w:hAnsi="Arial" w:cs="Arial"/>
                <w:sz w:val="20"/>
              </w:rPr>
            </w:pPr>
          </w:p>
          <w:p w:rsidR="00903F5A" w:rsidRPr="00FF1140" w:rsidRDefault="00903F5A" w:rsidP="00903F5A">
            <w:pPr>
              <w:rPr>
                <w:rFonts w:ascii="Arial" w:hAnsi="Arial" w:cs="Arial"/>
                <w:sz w:val="20"/>
              </w:rPr>
            </w:pPr>
            <w:r>
              <w:rPr>
                <w:rFonts w:ascii="Arial" w:hAnsi="Arial" w:cs="Arial"/>
                <w:sz w:val="20"/>
              </w:rPr>
              <w:t>x</w:t>
            </w:r>
          </w:p>
        </w:tc>
      </w:tr>
    </w:tbl>
    <w:p w:rsidR="00B50C2A" w:rsidRDefault="00B50C2A" w:rsidP="00903F5A">
      <w:pPr>
        <w:spacing w:after="0" w:line="240" w:lineRule="auto"/>
      </w:pPr>
    </w:p>
    <w:tbl>
      <w:tblPr>
        <w:tblStyle w:val="TableGrid"/>
        <w:tblW w:w="0" w:type="auto"/>
        <w:tblLook w:val="04A0" w:firstRow="1" w:lastRow="0" w:firstColumn="1" w:lastColumn="0" w:noHBand="0" w:noVBand="1"/>
      </w:tblPr>
      <w:tblGrid>
        <w:gridCol w:w="3121"/>
        <w:gridCol w:w="1245"/>
        <w:gridCol w:w="274"/>
        <w:gridCol w:w="3492"/>
        <w:gridCol w:w="884"/>
      </w:tblGrid>
      <w:tr w:rsidR="00B50C2A" w:rsidRPr="00FF1140" w:rsidTr="00903F5A">
        <w:tc>
          <w:tcPr>
            <w:tcW w:w="4410" w:type="dxa"/>
            <w:gridSpan w:val="2"/>
          </w:tcPr>
          <w:p w:rsidR="00B50C2A" w:rsidRPr="00E35E1E" w:rsidRDefault="00B50C2A" w:rsidP="00903F5A">
            <w:pPr>
              <w:rPr>
                <w:rFonts w:ascii="Arial" w:hAnsi="Arial" w:cs="Arial"/>
                <w:b/>
              </w:rPr>
            </w:pPr>
            <w:r w:rsidRPr="00E35E1E">
              <w:rPr>
                <w:rFonts w:ascii="Arial" w:hAnsi="Arial" w:cs="Arial"/>
                <w:b/>
              </w:rPr>
              <w:t>Board Sub-committee meetings where this item has been considered (specify date)</w:t>
            </w:r>
          </w:p>
        </w:tc>
        <w:tc>
          <w:tcPr>
            <w:tcW w:w="275" w:type="dxa"/>
            <w:tcBorders>
              <w:top w:val="nil"/>
              <w:bottom w:val="nil"/>
            </w:tcBorders>
          </w:tcPr>
          <w:p w:rsidR="00B50C2A" w:rsidRPr="00FF1140" w:rsidRDefault="00B50C2A" w:rsidP="00903F5A">
            <w:pPr>
              <w:rPr>
                <w:rFonts w:ascii="Arial" w:hAnsi="Arial" w:cs="Arial"/>
                <w:b/>
                <w:sz w:val="20"/>
              </w:rPr>
            </w:pPr>
          </w:p>
        </w:tc>
        <w:tc>
          <w:tcPr>
            <w:tcW w:w="4331" w:type="dxa"/>
            <w:gridSpan w:val="2"/>
          </w:tcPr>
          <w:p w:rsidR="00B50C2A" w:rsidRPr="00FF1140" w:rsidRDefault="00B50C2A" w:rsidP="00903F5A">
            <w:pPr>
              <w:rPr>
                <w:rFonts w:ascii="Arial" w:hAnsi="Arial" w:cs="Arial"/>
                <w:b/>
                <w:sz w:val="20"/>
              </w:rPr>
            </w:pPr>
            <w:r w:rsidRPr="00E35E1E">
              <w:rPr>
                <w:rFonts w:ascii="Arial" w:hAnsi="Arial" w:cs="Arial"/>
                <w:b/>
              </w:rPr>
              <w:t>Management Group meetings where this item has been considered (specify date)</w:t>
            </w:r>
          </w:p>
        </w:tc>
      </w:tr>
      <w:tr w:rsidR="00B50C2A" w:rsidRPr="00FF1140" w:rsidTr="00903F5A">
        <w:tc>
          <w:tcPr>
            <w:tcW w:w="3148" w:type="dxa"/>
          </w:tcPr>
          <w:p w:rsidR="00B50C2A" w:rsidRPr="00FF1140" w:rsidRDefault="00B50C2A" w:rsidP="00903F5A">
            <w:pPr>
              <w:rPr>
                <w:rFonts w:ascii="Arial" w:hAnsi="Arial" w:cs="Arial"/>
                <w:sz w:val="20"/>
              </w:rPr>
            </w:pPr>
            <w:r w:rsidRPr="00FF1140">
              <w:rPr>
                <w:rFonts w:ascii="Arial" w:hAnsi="Arial" w:cs="Arial"/>
                <w:sz w:val="20"/>
              </w:rPr>
              <w:t>Quality and Performance</w:t>
            </w:r>
          </w:p>
          <w:p w:rsidR="00B50C2A" w:rsidRPr="00FF1140" w:rsidRDefault="00B50C2A" w:rsidP="00903F5A">
            <w:pPr>
              <w:rPr>
                <w:rFonts w:ascii="Arial" w:hAnsi="Arial" w:cs="Arial"/>
                <w:sz w:val="20"/>
              </w:rPr>
            </w:pPr>
          </w:p>
        </w:tc>
        <w:tc>
          <w:tcPr>
            <w:tcW w:w="1262" w:type="dxa"/>
          </w:tcPr>
          <w:p w:rsidR="00B50C2A" w:rsidRPr="00FF1140" w:rsidRDefault="00B50C2A" w:rsidP="00903F5A">
            <w:pPr>
              <w:rPr>
                <w:rFonts w:ascii="Arial" w:hAnsi="Arial" w:cs="Arial"/>
                <w:sz w:val="20"/>
              </w:rPr>
            </w:pPr>
          </w:p>
        </w:tc>
        <w:tc>
          <w:tcPr>
            <w:tcW w:w="275" w:type="dxa"/>
            <w:tcBorders>
              <w:top w:val="nil"/>
              <w:bottom w:val="nil"/>
            </w:tcBorders>
          </w:tcPr>
          <w:p w:rsidR="00B50C2A" w:rsidRPr="00FF1140" w:rsidRDefault="00B50C2A" w:rsidP="00903F5A">
            <w:pPr>
              <w:rPr>
                <w:rFonts w:ascii="Arial" w:hAnsi="Arial" w:cs="Arial"/>
                <w:sz w:val="20"/>
              </w:rPr>
            </w:pPr>
          </w:p>
        </w:tc>
        <w:tc>
          <w:tcPr>
            <w:tcW w:w="3532" w:type="dxa"/>
          </w:tcPr>
          <w:p w:rsidR="00B50C2A" w:rsidRPr="00FF1140" w:rsidRDefault="00B50C2A" w:rsidP="00903F5A">
            <w:pPr>
              <w:rPr>
                <w:rFonts w:ascii="Arial" w:hAnsi="Arial" w:cs="Arial"/>
                <w:sz w:val="20"/>
              </w:rPr>
            </w:pPr>
            <w:r w:rsidRPr="00FF1140">
              <w:rPr>
                <w:rFonts w:ascii="Arial" w:hAnsi="Arial" w:cs="Arial"/>
                <w:sz w:val="20"/>
              </w:rPr>
              <w:t>Executive Team</w:t>
            </w:r>
          </w:p>
        </w:tc>
        <w:tc>
          <w:tcPr>
            <w:tcW w:w="799" w:type="dxa"/>
          </w:tcPr>
          <w:p w:rsidR="00B50C2A" w:rsidRPr="00FF1140" w:rsidRDefault="00B50C2A" w:rsidP="00903F5A">
            <w:pPr>
              <w:rPr>
                <w:rFonts w:ascii="Arial" w:hAnsi="Arial" w:cs="Arial"/>
                <w:sz w:val="20"/>
              </w:rPr>
            </w:pPr>
          </w:p>
        </w:tc>
      </w:tr>
      <w:tr w:rsidR="00B50C2A" w:rsidRPr="00FF1140" w:rsidTr="00903F5A">
        <w:tc>
          <w:tcPr>
            <w:tcW w:w="3148" w:type="dxa"/>
          </w:tcPr>
          <w:p w:rsidR="00B50C2A" w:rsidRPr="00FF1140" w:rsidRDefault="00B50C2A" w:rsidP="00903F5A">
            <w:pPr>
              <w:rPr>
                <w:rFonts w:ascii="Arial" w:hAnsi="Arial" w:cs="Arial"/>
                <w:sz w:val="20"/>
              </w:rPr>
            </w:pPr>
            <w:r>
              <w:rPr>
                <w:rFonts w:ascii="Arial" w:hAnsi="Arial" w:cs="Arial"/>
                <w:sz w:val="20"/>
              </w:rPr>
              <w:t>Audit</w:t>
            </w:r>
            <w:r w:rsidRPr="00FF1140">
              <w:rPr>
                <w:rFonts w:ascii="Arial" w:hAnsi="Arial" w:cs="Arial"/>
                <w:sz w:val="20"/>
              </w:rPr>
              <w:t xml:space="preserve"> </w:t>
            </w:r>
          </w:p>
          <w:p w:rsidR="00B50C2A" w:rsidRPr="00FF1140" w:rsidRDefault="00B50C2A" w:rsidP="00903F5A">
            <w:pPr>
              <w:rPr>
                <w:rFonts w:ascii="Arial" w:hAnsi="Arial" w:cs="Arial"/>
                <w:sz w:val="20"/>
              </w:rPr>
            </w:pPr>
          </w:p>
        </w:tc>
        <w:tc>
          <w:tcPr>
            <w:tcW w:w="1262" w:type="dxa"/>
            <w:tcBorders>
              <w:top w:val="nil"/>
            </w:tcBorders>
          </w:tcPr>
          <w:p w:rsidR="00B50C2A" w:rsidRPr="00FF1140" w:rsidRDefault="00B50C2A" w:rsidP="00903F5A">
            <w:pPr>
              <w:rPr>
                <w:rFonts w:ascii="Arial" w:hAnsi="Arial" w:cs="Arial"/>
                <w:sz w:val="20"/>
              </w:rPr>
            </w:pPr>
          </w:p>
        </w:tc>
        <w:tc>
          <w:tcPr>
            <w:tcW w:w="275" w:type="dxa"/>
            <w:tcBorders>
              <w:top w:val="nil"/>
              <w:bottom w:val="nil"/>
            </w:tcBorders>
          </w:tcPr>
          <w:p w:rsidR="00B50C2A" w:rsidRPr="00FF1140" w:rsidRDefault="00B50C2A" w:rsidP="00903F5A">
            <w:pPr>
              <w:rPr>
                <w:rFonts w:ascii="Arial" w:hAnsi="Arial" w:cs="Arial"/>
                <w:sz w:val="20"/>
              </w:rPr>
            </w:pPr>
          </w:p>
        </w:tc>
        <w:tc>
          <w:tcPr>
            <w:tcW w:w="3532" w:type="dxa"/>
          </w:tcPr>
          <w:p w:rsidR="00B50C2A" w:rsidRPr="00FF1140" w:rsidRDefault="00B50C2A" w:rsidP="00903F5A">
            <w:pPr>
              <w:rPr>
                <w:rFonts w:ascii="Arial" w:hAnsi="Arial" w:cs="Arial"/>
                <w:sz w:val="20"/>
              </w:rPr>
            </w:pPr>
            <w:r w:rsidRPr="00FF1140">
              <w:rPr>
                <w:rFonts w:ascii="Arial" w:hAnsi="Arial" w:cs="Arial"/>
                <w:sz w:val="20"/>
              </w:rPr>
              <w:t>Corporate Decisions Team (CDT)</w:t>
            </w:r>
          </w:p>
        </w:tc>
        <w:tc>
          <w:tcPr>
            <w:tcW w:w="799" w:type="dxa"/>
          </w:tcPr>
          <w:p w:rsidR="00B50C2A" w:rsidRPr="00FF1140" w:rsidRDefault="00B50C2A" w:rsidP="00903F5A">
            <w:pPr>
              <w:rPr>
                <w:rFonts w:ascii="Arial" w:hAnsi="Arial" w:cs="Arial"/>
                <w:sz w:val="20"/>
              </w:rPr>
            </w:pPr>
          </w:p>
        </w:tc>
      </w:tr>
      <w:tr w:rsidR="00B50C2A" w:rsidRPr="00FF1140" w:rsidTr="00903F5A">
        <w:tc>
          <w:tcPr>
            <w:tcW w:w="3148" w:type="dxa"/>
          </w:tcPr>
          <w:p w:rsidR="00B50C2A" w:rsidRPr="00FF1140" w:rsidRDefault="00B50C2A" w:rsidP="00903F5A">
            <w:pPr>
              <w:rPr>
                <w:rFonts w:ascii="Arial" w:hAnsi="Arial" w:cs="Arial"/>
                <w:sz w:val="20"/>
              </w:rPr>
            </w:pPr>
            <w:r w:rsidRPr="00FF1140">
              <w:rPr>
                <w:rFonts w:ascii="Arial" w:hAnsi="Arial" w:cs="Arial"/>
                <w:sz w:val="20"/>
              </w:rPr>
              <w:t>Mental Health Legislation</w:t>
            </w:r>
          </w:p>
          <w:p w:rsidR="00B50C2A" w:rsidRPr="00FF1140" w:rsidRDefault="00B50C2A" w:rsidP="00903F5A">
            <w:pPr>
              <w:rPr>
                <w:rFonts w:ascii="Arial" w:hAnsi="Arial" w:cs="Arial"/>
                <w:sz w:val="20"/>
              </w:rPr>
            </w:pPr>
          </w:p>
        </w:tc>
        <w:tc>
          <w:tcPr>
            <w:tcW w:w="1262" w:type="dxa"/>
          </w:tcPr>
          <w:p w:rsidR="00B50C2A" w:rsidRPr="00FF1140" w:rsidRDefault="00B50C2A" w:rsidP="00903F5A">
            <w:pPr>
              <w:rPr>
                <w:rFonts w:ascii="Arial" w:hAnsi="Arial" w:cs="Arial"/>
                <w:sz w:val="20"/>
              </w:rPr>
            </w:pPr>
          </w:p>
        </w:tc>
        <w:tc>
          <w:tcPr>
            <w:tcW w:w="275" w:type="dxa"/>
            <w:tcBorders>
              <w:top w:val="nil"/>
              <w:bottom w:val="nil"/>
            </w:tcBorders>
          </w:tcPr>
          <w:p w:rsidR="00B50C2A" w:rsidRPr="00FF1140" w:rsidRDefault="00B50C2A" w:rsidP="00903F5A">
            <w:pPr>
              <w:rPr>
                <w:rFonts w:ascii="Arial" w:hAnsi="Arial" w:cs="Arial"/>
                <w:sz w:val="20"/>
              </w:rPr>
            </w:pPr>
          </w:p>
        </w:tc>
        <w:tc>
          <w:tcPr>
            <w:tcW w:w="3532" w:type="dxa"/>
          </w:tcPr>
          <w:p w:rsidR="00B50C2A" w:rsidRPr="00FF1140" w:rsidRDefault="00B50C2A" w:rsidP="00903F5A">
            <w:pPr>
              <w:rPr>
                <w:rFonts w:ascii="Arial" w:hAnsi="Arial" w:cs="Arial"/>
                <w:sz w:val="20"/>
              </w:rPr>
            </w:pPr>
            <w:r w:rsidRPr="00FF1140">
              <w:rPr>
                <w:rFonts w:ascii="Arial" w:hAnsi="Arial" w:cs="Arial"/>
                <w:sz w:val="20"/>
              </w:rPr>
              <w:t>CDT – Quality</w:t>
            </w:r>
          </w:p>
        </w:tc>
        <w:tc>
          <w:tcPr>
            <w:tcW w:w="799" w:type="dxa"/>
          </w:tcPr>
          <w:p w:rsidR="00B50C2A" w:rsidRPr="00FF1140" w:rsidRDefault="00B50C2A" w:rsidP="00903F5A">
            <w:pPr>
              <w:rPr>
                <w:rFonts w:ascii="Arial" w:hAnsi="Arial" w:cs="Arial"/>
                <w:sz w:val="20"/>
              </w:rPr>
            </w:pPr>
          </w:p>
        </w:tc>
      </w:tr>
      <w:tr w:rsidR="00B50C2A" w:rsidRPr="00FF1140" w:rsidTr="00903F5A">
        <w:tc>
          <w:tcPr>
            <w:tcW w:w="3148" w:type="dxa"/>
          </w:tcPr>
          <w:p w:rsidR="00B50C2A" w:rsidRPr="00FF1140" w:rsidRDefault="00B50C2A" w:rsidP="00903F5A">
            <w:pPr>
              <w:rPr>
                <w:rFonts w:ascii="Arial" w:hAnsi="Arial" w:cs="Arial"/>
                <w:sz w:val="20"/>
              </w:rPr>
            </w:pPr>
            <w:r w:rsidRPr="00FF1140">
              <w:rPr>
                <w:rFonts w:ascii="Arial" w:hAnsi="Arial" w:cs="Arial"/>
                <w:sz w:val="20"/>
              </w:rPr>
              <w:t>Remuneration Committee</w:t>
            </w:r>
          </w:p>
          <w:p w:rsidR="00B50C2A" w:rsidRPr="00FF1140" w:rsidRDefault="00B50C2A" w:rsidP="00903F5A">
            <w:pPr>
              <w:rPr>
                <w:rFonts w:ascii="Arial" w:hAnsi="Arial" w:cs="Arial"/>
                <w:sz w:val="20"/>
              </w:rPr>
            </w:pPr>
          </w:p>
        </w:tc>
        <w:tc>
          <w:tcPr>
            <w:tcW w:w="1262" w:type="dxa"/>
          </w:tcPr>
          <w:p w:rsidR="00B50C2A" w:rsidRPr="00FF1140" w:rsidRDefault="00B50C2A" w:rsidP="00903F5A">
            <w:pPr>
              <w:rPr>
                <w:rFonts w:ascii="Arial" w:hAnsi="Arial" w:cs="Arial"/>
                <w:sz w:val="20"/>
              </w:rPr>
            </w:pPr>
          </w:p>
        </w:tc>
        <w:tc>
          <w:tcPr>
            <w:tcW w:w="275" w:type="dxa"/>
            <w:tcBorders>
              <w:top w:val="nil"/>
              <w:bottom w:val="nil"/>
            </w:tcBorders>
          </w:tcPr>
          <w:p w:rsidR="00B50C2A" w:rsidRPr="00FF1140" w:rsidRDefault="00B50C2A" w:rsidP="00903F5A">
            <w:pPr>
              <w:rPr>
                <w:rFonts w:ascii="Arial" w:hAnsi="Arial" w:cs="Arial"/>
                <w:sz w:val="20"/>
              </w:rPr>
            </w:pPr>
          </w:p>
        </w:tc>
        <w:tc>
          <w:tcPr>
            <w:tcW w:w="3532" w:type="dxa"/>
          </w:tcPr>
          <w:p w:rsidR="00B50C2A" w:rsidRPr="00FF1140" w:rsidRDefault="00B50C2A" w:rsidP="00903F5A">
            <w:pPr>
              <w:rPr>
                <w:rFonts w:ascii="Arial" w:hAnsi="Arial" w:cs="Arial"/>
                <w:sz w:val="20"/>
              </w:rPr>
            </w:pPr>
            <w:r w:rsidRPr="00FF1140">
              <w:rPr>
                <w:rFonts w:ascii="Arial" w:hAnsi="Arial" w:cs="Arial"/>
                <w:sz w:val="20"/>
              </w:rPr>
              <w:t>CDT – Business</w:t>
            </w:r>
          </w:p>
        </w:tc>
        <w:tc>
          <w:tcPr>
            <w:tcW w:w="799" w:type="dxa"/>
          </w:tcPr>
          <w:p w:rsidR="00B50C2A" w:rsidRPr="00FF1140" w:rsidRDefault="00B50C2A" w:rsidP="00903F5A">
            <w:pPr>
              <w:rPr>
                <w:rFonts w:ascii="Arial" w:hAnsi="Arial" w:cs="Arial"/>
                <w:sz w:val="20"/>
              </w:rPr>
            </w:pPr>
          </w:p>
        </w:tc>
      </w:tr>
      <w:tr w:rsidR="00B50C2A" w:rsidRPr="00FF1140" w:rsidTr="00903F5A">
        <w:tc>
          <w:tcPr>
            <w:tcW w:w="3148" w:type="dxa"/>
          </w:tcPr>
          <w:p w:rsidR="00B50C2A" w:rsidRPr="00FF1140" w:rsidRDefault="00B50C2A" w:rsidP="00903F5A">
            <w:pPr>
              <w:rPr>
                <w:rFonts w:ascii="Arial" w:hAnsi="Arial" w:cs="Arial"/>
                <w:sz w:val="20"/>
              </w:rPr>
            </w:pPr>
            <w:r w:rsidRPr="00FF1140">
              <w:rPr>
                <w:rFonts w:ascii="Arial" w:hAnsi="Arial" w:cs="Arial"/>
                <w:sz w:val="20"/>
              </w:rPr>
              <w:t>Resource and Business Assurance</w:t>
            </w:r>
          </w:p>
        </w:tc>
        <w:tc>
          <w:tcPr>
            <w:tcW w:w="1262" w:type="dxa"/>
          </w:tcPr>
          <w:p w:rsidR="00B50C2A" w:rsidRPr="00FF1140" w:rsidRDefault="00B50C2A" w:rsidP="00903F5A">
            <w:pPr>
              <w:rPr>
                <w:rFonts w:ascii="Arial" w:hAnsi="Arial" w:cs="Arial"/>
                <w:sz w:val="20"/>
              </w:rPr>
            </w:pPr>
          </w:p>
        </w:tc>
        <w:tc>
          <w:tcPr>
            <w:tcW w:w="275" w:type="dxa"/>
            <w:tcBorders>
              <w:top w:val="nil"/>
              <w:bottom w:val="nil"/>
            </w:tcBorders>
          </w:tcPr>
          <w:p w:rsidR="00B50C2A" w:rsidRPr="00FF1140" w:rsidRDefault="00B50C2A" w:rsidP="00903F5A">
            <w:pPr>
              <w:rPr>
                <w:rFonts w:ascii="Arial" w:hAnsi="Arial" w:cs="Arial"/>
                <w:sz w:val="20"/>
              </w:rPr>
            </w:pPr>
          </w:p>
        </w:tc>
        <w:tc>
          <w:tcPr>
            <w:tcW w:w="3532" w:type="dxa"/>
          </w:tcPr>
          <w:p w:rsidR="00B50C2A" w:rsidRPr="00FF1140" w:rsidRDefault="00B50C2A" w:rsidP="00903F5A">
            <w:pPr>
              <w:rPr>
                <w:rFonts w:ascii="Arial" w:hAnsi="Arial" w:cs="Arial"/>
                <w:sz w:val="20"/>
              </w:rPr>
            </w:pPr>
            <w:r w:rsidRPr="00FF1140">
              <w:rPr>
                <w:rFonts w:ascii="Arial" w:hAnsi="Arial" w:cs="Arial"/>
                <w:sz w:val="20"/>
              </w:rPr>
              <w:t>CDT – Workforce</w:t>
            </w:r>
          </w:p>
          <w:p w:rsidR="00B50C2A" w:rsidRPr="00FF1140" w:rsidRDefault="00B50C2A" w:rsidP="00903F5A">
            <w:pPr>
              <w:rPr>
                <w:rFonts w:ascii="Arial" w:hAnsi="Arial" w:cs="Arial"/>
                <w:sz w:val="20"/>
              </w:rPr>
            </w:pPr>
          </w:p>
        </w:tc>
        <w:tc>
          <w:tcPr>
            <w:tcW w:w="799" w:type="dxa"/>
            <w:shd w:val="clear" w:color="auto" w:fill="auto"/>
          </w:tcPr>
          <w:p w:rsidR="00903F5A" w:rsidRPr="00FF1140" w:rsidRDefault="00903F5A" w:rsidP="00903F5A">
            <w:pPr>
              <w:rPr>
                <w:rFonts w:ascii="Arial" w:hAnsi="Arial" w:cs="Arial"/>
                <w:sz w:val="20"/>
              </w:rPr>
            </w:pPr>
            <w:r>
              <w:rPr>
                <w:rFonts w:ascii="Arial" w:hAnsi="Arial" w:cs="Arial"/>
                <w:sz w:val="20"/>
              </w:rPr>
              <w:t>17.8.20</w:t>
            </w:r>
          </w:p>
        </w:tc>
      </w:tr>
      <w:tr w:rsidR="00B50C2A" w:rsidRPr="00FF1140" w:rsidTr="00903F5A">
        <w:tc>
          <w:tcPr>
            <w:tcW w:w="3148" w:type="dxa"/>
          </w:tcPr>
          <w:p w:rsidR="00B50C2A" w:rsidRPr="00FF1140" w:rsidRDefault="00B50C2A" w:rsidP="00903F5A">
            <w:pPr>
              <w:rPr>
                <w:rFonts w:ascii="Arial" w:hAnsi="Arial" w:cs="Arial"/>
                <w:sz w:val="20"/>
              </w:rPr>
            </w:pPr>
            <w:r>
              <w:rPr>
                <w:rFonts w:ascii="Arial" w:hAnsi="Arial" w:cs="Arial"/>
                <w:sz w:val="20"/>
              </w:rPr>
              <w:t>Charitable Funds Committee</w:t>
            </w:r>
          </w:p>
        </w:tc>
        <w:tc>
          <w:tcPr>
            <w:tcW w:w="1262" w:type="dxa"/>
          </w:tcPr>
          <w:p w:rsidR="00B50C2A" w:rsidRPr="00FF1140" w:rsidRDefault="00B50C2A" w:rsidP="00903F5A">
            <w:pPr>
              <w:rPr>
                <w:rFonts w:ascii="Arial" w:hAnsi="Arial" w:cs="Arial"/>
                <w:sz w:val="20"/>
              </w:rPr>
            </w:pPr>
          </w:p>
        </w:tc>
        <w:tc>
          <w:tcPr>
            <w:tcW w:w="275" w:type="dxa"/>
            <w:tcBorders>
              <w:top w:val="nil"/>
              <w:bottom w:val="nil"/>
            </w:tcBorders>
          </w:tcPr>
          <w:p w:rsidR="00B50C2A" w:rsidRPr="00FF1140" w:rsidRDefault="00B50C2A" w:rsidP="00903F5A">
            <w:pPr>
              <w:rPr>
                <w:rFonts w:ascii="Arial" w:hAnsi="Arial" w:cs="Arial"/>
                <w:sz w:val="20"/>
              </w:rPr>
            </w:pPr>
          </w:p>
        </w:tc>
        <w:tc>
          <w:tcPr>
            <w:tcW w:w="3532" w:type="dxa"/>
          </w:tcPr>
          <w:p w:rsidR="00B50C2A" w:rsidRPr="00FF1140" w:rsidRDefault="00B50C2A" w:rsidP="00903F5A">
            <w:pPr>
              <w:rPr>
                <w:rFonts w:ascii="Arial" w:hAnsi="Arial" w:cs="Arial"/>
                <w:sz w:val="20"/>
              </w:rPr>
            </w:pPr>
            <w:r w:rsidRPr="00FF1140">
              <w:rPr>
                <w:rFonts w:ascii="Arial" w:hAnsi="Arial" w:cs="Arial"/>
                <w:sz w:val="20"/>
              </w:rPr>
              <w:t>CDT – Climate</w:t>
            </w:r>
          </w:p>
          <w:p w:rsidR="00B50C2A" w:rsidRPr="00FF1140" w:rsidRDefault="00B50C2A" w:rsidP="00903F5A">
            <w:pPr>
              <w:rPr>
                <w:rFonts w:ascii="Arial" w:hAnsi="Arial" w:cs="Arial"/>
                <w:sz w:val="20"/>
              </w:rPr>
            </w:pPr>
          </w:p>
        </w:tc>
        <w:tc>
          <w:tcPr>
            <w:tcW w:w="799" w:type="dxa"/>
          </w:tcPr>
          <w:p w:rsidR="00B50C2A" w:rsidRPr="00FF1140" w:rsidRDefault="00B50C2A" w:rsidP="00903F5A">
            <w:pPr>
              <w:rPr>
                <w:rFonts w:ascii="Arial" w:hAnsi="Arial" w:cs="Arial"/>
                <w:sz w:val="20"/>
              </w:rPr>
            </w:pPr>
          </w:p>
        </w:tc>
      </w:tr>
      <w:tr w:rsidR="00B50C2A" w:rsidRPr="00FF1140" w:rsidTr="00903F5A">
        <w:tc>
          <w:tcPr>
            <w:tcW w:w="3148" w:type="dxa"/>
          </w:tcPr>
          <w:p w:rsidR="00B50C2A" w:rsidRDefault="00B50C2A" w:rsidP="00903F5A">
            <w:pPr>
              <w:rPr>
                <w:rFonts w:ascii="Arial" w:hAnsi="Arial" w:cs="Arial"/>
                <w:sz w:val="20"/>
              </w:rPr>
            </w:pPr>
            <w:r>
              <w:rPr>
                <w:rFonts w:ascii="Arial" w:hAnsi="Arial" w:cs="Arial"/>
                <w:sz w:val="20"/>
              </w:rPr>
              <w:t>CEDAR Programme Board</w:t>
            </w:r>
          </w:p>
        </w:tc>
        <w:tc>
          <w:tcPr>
            <w:tcW w:w="1262" w:type="dxa"/>
          </w:tcPr>
          <w:p w:rsidR="00B50C2A" w:rsidRPr="00FF1140" w:rsidRDefault="00B50C2A" w:rsidP="00903F5A">
            <w:pPr>
              <w:rPr>
                <w:rFonts w:ascii="Arial" w:hAnsi="Arial" w:cs="Arial"/>
                <w:sz w:val="20"/>
              </w:rPr>
            </w:pPr>
          </w:p>
        </w:tc>
        <w:tc>
          <w:tcPr>
            <w:tcW w:w="275" w:type="dxa"/>
            <w:tcBorders>
              <w:top w:val="nil"/>
              <w:bottom w:val="nil"/>
            </w:tcBorders>
          </w:tcPr>
          <w:p w:rsidR="00B50C2A" w:rsidRPr="00FF1140" w:rsidRDefault="00B50C2A" w:rsidP="00903F5A">
            <w:pPr>
              <w:rPr>
                <w:rFonts w:ascii="Arial" w:hAnsi="Arial" w:cs="Arial"/>
                <w:sz w:val="20"/>
              </w:rPr>
            </w:pPr>
          </w:p>
        </w:tc>
        <w:tc>
          <w:tcPr>
            <w:tcW w:w="3532" w:type="dxa"/>
          </w:tcPr>
          <w:p w:rsidR="00B50C2A" w:rsidRDefault="00B50C2A" w:rsidP="00903F5A">
            <w:pPr>
              <w:rPr>
                <w:rFonts w:ascii="Arial" w:hAnsi="Arial" w:cs="Arial"/>
                <w:sz w:val="20"/>
              </w:rPr>
            </w:pPr>
            <w:r>
              <w:rPr>
                <w:rFonts w:ascii="Arial" w:hAnsi="Arial" w:cs="Arial"/>
                <w:sz w:val="20"/>
              </w:rPr>
              <w:t>CDT – Risk</w:t>
            </w:r>
          </w:p>
          <w:p w:rsidR="00B50C2A" w:rsidRPr="00FF1140" w:rsidRDefault="00B50C2A" w:rsidP="00903F5A">
            <w:pPr>
              <w:rPr>
                <w:rFonts w:ascii="Arial" w:hAnsi="Arial" w:cs="Arial"/>
                <w:sz w:val="20"/>
              </w:rPr>
            </w:pPr>
          </w:p>
        </w:tc>
        <w:tc>
          <w:tcPr>
            <w:tcW w:w="799" w:type="dxa"/>
          </w:tcPr>
          <w:p w:rsidR="00B50C2A" w:rsidRPr="00FF1140" w:rsidRDefault="00B50C2A" w:rsidP="00903F5A">
            <w:pPr>
              <w:rPr>
                <w:rFonts w:ascii="Arial" w:hAnsi="Arial" w:cs="Arial"/>
                <w:sz w:val="20"/>
              </w:rPr>
            </w:pPr>
          </w:p>
        </w:tc>
      </w:tr>
      <w:tr w:rsidR="00B50C2A" w:rsidRPr="00FF1140" w:rsidTr="00903F5A">
        <w:tc>
          <w:tcPr>
            <w:tcW w:w="3148" w:type="dxa"/>
          </w:tcPr>
          <w:p w:rsidR="00B50C2A" w:rsidRPr="00FF1140" w:rsidRDefault="00B50C2A" w:rsidP="00903F5A">
            <w:pPr>
              <w:rPr>
                <w:rFonts w:ascii="Arial" w:hAnsi="Arial" w:cs="Arial"/>
                <w:sz w:val="20"/>
              </w:rPr>
            </w:pPr>
            <w:r>
              <w:rPr>
                <w:rFonts w:ascii="Arial" w:hAnsi="Arial" w:cs="Arial"/>
                <w:sz w:val="20"/>
              </w:rPr>
              <w:t>Other/external (please specify)</w:t>
            </w:r>
          </w:p>
        </w:tc>
        <w:tc>
          <w:tcPr>
            <w:tcW w:w="1262" w:type="dxa"/>
          </w:tcPr>
          <w:p w:rsidR="00B50C2A" w:rsidRPr="00FF1140" w:rsidRDefault="00B50C2A" w:rsidP="00903F5A">
            <w:pPr>
              <w:rPr>
                <w:rFonts w:ascii="Arial" w:hAnsi="Arial" w:cs="Arial"/>
                <w:sz w:val="20"/>
              </w:rPr>
            </w:pPr>
          </w:p>
        </w:tc>
        <w:tc>
          <w:tcPr>
            <w:tcW w:w="275" w:type="dxa"/>
            <w:tcBorders>
              <w:top w:val="nil"/>
              <w:bottom w:val="nil"/>
            </w:tcBorders>
          </w:tcPr>
          <w:p w:rsidR="00B50C2A" w:rsidRPr="00FF1140" w:rsidRDefault="00B50C2A" w:rsidP="00903F5A">
            <w:pPr>
              <w:rPr>
                <w:rFonts w:ascii="Arial" w:hAnsi="Arial" w:cs="Arial"/>
                <w:sz w:val="20"/>
              </w:rPr>
            </w:pPr>
          </w:p>
        </w:tc>
        <w:tc>
          <w:tcPr>
            <w:tcW w:w="3532" w:type="dxa"/>
          </w:tcPr>
          <w:p w:rsidR="00B50C2A" w:rsidRDefault="00B50C2A" w:rsidP="00903F5A">
            <w:pPr>
              <w:rPr>
                <w:rFonts w:ascii="Arial" w:hAnsi="Arial" w:cs="Arial"/>
                <w:sz w:val="20"/>
              </w:rPr>
            </w:pPr>
            <w:r w:rsidRPr="00FF1140">
              <w:rPr>
                <w:rFonts w:ascii="Arial" w:hAnsi="Arial" w:cs="Arial"/>
                <w:sz w:val="20"/>
              </w:rPr>
              <w:t>Business Delivery Group (BDG)</w:t>
            </w:r>
          </w:p>
          <w:p w:rsidR="00B50C2A" w:rsidRPr="00FF1140" w:rsidRDefault="00B50C2A" w:rsidP="00903F5A">
            <w:pPr>
              <w:rPr>
                <w:rFonts w:ascii="Arial" w:hAnsi="Arial" w:cs="Arial"/>
                <w:sz w:val="20"/>
              </w:rPr>
            </w:pPr>
          </w:p>
        </w:tc>
        <w:tc>
          <w:tcPr>
            <w:tcW w:w="799" w:type="dxa"/>
          </w:tcPr>
          <w:p w:rsidR="00B50C2A" w:rsidRPr="00FF1140" w:rsidRDefault="00B50C2A" w:rsidP="00903F5A">
            <w:pPr>
              <w:rPr>
                <w:rFonts w:ascii="Arial" w:hAnsi="Arial" w:cs="Arial"/>
                <w:sz w:val="20"/>
              </w:rPr>
            </w:pPr>
          </w:p>
        </w:tc>
      </w:tr>
    </w:tbl>
    <w:p w:rsidR="00B50C2A" w:rsidRPr="00626BF6" w:rsidRDefault="00B50C2A" w:rsidP="00903F5A">
      <w:pPr>
        <w:spacing w:after="0" w:line="240" w:lineRule="auto"/>
      </w:pPr>
    </w:p>
    <w:tbl>
      <w:tblPr>
        <w:tblStyle w:val="TableGrid"/>
        <w:tblW w:w="0" w:type="auto"/>
        <w:tblLook w:val="04A0" w:firstRow="1" w:lastRow="0" w:firstColumn="1" w:lastColumn="0" w:noHBand="0" w:noVBand="1"/>
      </w:tblPr>
      <w:tblGrid>
        <w:gridCol w:w="3378"/>
        <w:gridCol w:w="656"/>
        <w:gridCol w:w="4347"/>
        <w:gridCol w:w="635"/>
      </w:tblGrid>
      <w:tr w:rsidR="00B50C2A" w:rsidRPr="00E35E1E" w:rsidTr="00903F5A">
        <w:tc>
          <w:tcPr>
            <w:tcW w:w="9776" w:type="dxa"/>
            <w:gridSpan w:val="4"/>
            <w:shd w:val="clear" w:color="auto" w:fill="auto"/>
          </w:tcPr>
          <w:p w:rsidR="00B50C2A" w:rsidRPr="00E35E1E" w:rsidRDefault="00B50C2A" w:rsidP="00903F5A">
            <w:pPr>
              <w:rPr>
                <w:rFonts w:ascii="Arial" w:hAnsi="Arial" w:cs="Arial"/>
              </w:rPr>
            </w:pPr>
            <w:r w:rsidRPr="00E35E1E">
              <w:rPr>
                <w:rFonts w:ascii="Arial" w:hAnsi="Arial" w:cs="Arial"/>
                <w:b/>
              </w:rPr>
              <w:t xml:space="preserve">Does the report impact on any of the following areas </w:t>
            </w:r>
            <w:r w:rsidRPr="00E35E1E">
              <w:rPr>
                <w:rFonts w:ascii="Arial" w:hAnsi="Arial" w:cs="Arial"/>
                <w:b/>
                <w:i/>
              </w:rPr>
              <w:t>(please check the box and provide detail in the body of the report)</w:t>
            </w:r>
          </w:p>
        </w:tc>
      </w:tr>
      <w:tr w:rsidR="00B50C2A" w:rsidRPr="00676D4B" w:rsidTr="00903F5A">
        <w:tc>
          <w:tcPr>
            <w:tcW w:w="3681" w:type="dxa"/>
          </w:tcPr>
          <w:p w:rsidR="00B50C2A" w:rsidRPr="00676D4B" w:rsidRDefault="00B50C2A" w:rsidP="00903F5A">
            <w:pPr>
              <w:rPr>
                <w:rFonts w:ascii="Arial" w:hAnsi="Arial" w:cs="Arial"/>
              </w:rPr>
            </w:pPr>
            <w:r w:rsidRPr="00676D4B">
              <w:rPr>
                <w:rFonts w:ascii="Arial" w:hAnsi="Arial" w:cs="Arial"/>
              </w:rPr>
              <w:t>Eq</w:t>
            </w:r>
            <w:r>
              <w:rPr>
                <w:rFonts w:ascii="Arial" w:hAnsi="Arial" w:cs="Arial"/>
              </w:rPr>
              <w:t>uality, diversity and or disability</w:t>
            </w:r>
          </w:p>
        </w:tc>
        <w:tc>
          <w:tcPr>
            <w:tcW w:w="709" w:type="dxa"/>
            <w:shd w:val="clear" w:color="auto" w:fill="auto"/>
          </w:tcPr>
          <w:p w:rsidR="00B50C2A" w:rsidRPr="00676D4B" w:rsidRDefault="00903F5A" w:rsidP="00903F5A">
            <w:pPr>
              <w:rPr>
                <w:rFonts w:ascii="Arial" w:hAnsi="Arial" w:cs="Arial"/>
              </w:rPr>
            </w:pPr>
            <w:r>
              <w:rPr>
                <w:rFonts w:ascii="Arial" w:hAnsi="Arial" w:cs="Arial"/>
              </w:rPr>
              <w:t>X</w:t>
            </w:r>
          </w:p>
        </w:tc>
        <w:tc>
          <w:tcPr>
            <w:tcW w:w="4677" w:type="dxa"/>
          </w:tcPr>
          <w:p w:rsidR="00B50C2A" w:rsidRPr="00676D4B" w:rsidRDefault="00B50C2A" w:rsidP="00903F5A">
            <w:pPr>
              <w:rPr>
                <w:rFonts w:ascii="Arial" w:hAnsi="Arial" w:cs="Arial"/>
              </w:rPr>
            </w:pPr>
            <w:r>
              <w:rPr>
                <w:rFonts w:ascii="Arial" w:hAnsi="Arial" w:cs="Arial"/>
              </w:rPr>
              <w:t>Reputational</w:t>
            </w:r>
          </w:p>
        </w:tc>
        <w:tc>
          <w:tcPr>
            <w:tcW w:w="709" w:type="dxa"/>
          </w:tcPr>
          <w:p w:rsidR="00B50C2A" w:rsidRPr="00676D4B" w:rsidRDefault="00B50C2A" w:rsidP="00903F5A">
            <w:pPr>
              <w:rPr>
                <w:rFonts w:ascii="Arial" w:hAnsi="Arial" w:cs="Arial"/>
              </w:rPr>
            </w:pPr>
          </w:p>
        </w:tc>
      </w:tr>
      <w:tr w:rsidR="00B50C2A" w:rsidRPr="00676D4B" w:rsidTr="00903F5A">
        <w:tc>
          <w:tcPr>
            <w:tcW w:w="3681" w:type="dxa"/>
          </w:tcPr>
          <w:p w:rsidR="00B50C2A" w:rsidRPr="00676D4B" w:rsidRDefault="00B50C2A" w:rsidP="00903F5A">
            <w:pPr>
              <w:rPr>
                <w:rFonts w:ascii="Arial" w:hAnsi="Arial" w:cs="Arial"/>
              </w:rPr>
            </w:pPr>
            <w:r w:rsidRPr="00676D4B">
              <w:rPr>
                <w:rFonts w:ascii="Arial" w:hAnsi="Arial" w:cs="Arial"/>
              </w:rPr>
              <w:t>Workforce</w:t>
            </w:r>
          </w:p>
        </w:tc>
        <w:tc>
          <w:tcPr>
            <w:tcW w:w="709" w:type="dxa"/>
            <w:shd w:val="clear" w:color="auto" w:fill="auto"/>
          </w:tcPr>
          <w:p w:rsidR="00B50C2A" w:rsidRPr="00676D4B" w:rsidRDefault="00903F5A" w:rsidP="00903F5A">
            <w:pPr>
              <w:rPr>
                <w:rFonts w:ascii="Arial" w:hAnsi="Arial" w:cs="Arial"/>
              </w:rPr>
            </w:pPr>
            <w:r>
              <w:rPr>
                <w:rFonts w:ascii="Arial" w:hAnsi="Arial" w:cs="Arial"/>
              </w:rPr>
              <w:t>X</w:t>
            </w:r>
          </w:p>
        </w:tc>
        <w:tc>
          <w:tcPr>
            <w:tcW w:w="4677" w:type="dxa"/>
          </w:tcPr>
          <w:p w:rsidR="00B50C2A" w:rsidRPr="00676D4B" w:rsidRDefault="00B50C2A" w:rsidP="00903F5A">
            <w:pPr>
              <w:rPr>
                <w:rFonts w:ascii="Arial" w:hAnsi="Arial" w:cs="Arial"/>
              </w:rPr>
            </w:pPr>
            <w:r>
              <w:rPr>
                <w:rFonts w:ascii="Arial" w:hAnsi="Arial" w:cs="Arial"/>
              </w:rPr>
              <w:t xml:space="preserve">Environmental </w:t>
            </w:r>
          </w:p>
        </w:tc>
        <w:tc>
          <w:tcPr>
            <w:tcW w:w="709" w:type="dxa"/>
          </w:tcPr>
          <w:p w:rsidR="00B50C2A" w:rsidRPr="00676D4B" w:rsidRDefault="00B50C2A" w:rsidP="00903F5A">
            <w:pPr>
              <w:rPr>
                <w:rFonts w:ascii="Arial" w:hAnsi="Arial" w:cs="Arial"/>
              </w:rPr>
            </w:pPr>
          </w:p>
        </w:tc>
      </w:tr>
      <w:tr w:rsidR="00B50C2A" w:rsidRPr="00676D4B" w:rsidTr="00903F5A">
        <w:tc>
          <w:tcPr>
            <w:tcW w:w="3681" w:type="dxa"/>
          </w:tcPr>
          <w:p w:rsidR="00B50C2A" w:rsidRPr="00676D4B" w:rsidRDefault="00B50C2A" w:rsidP="00903F5A">
            <w:pPr>
              <w:rPr>
                <w:rFonts w:ascii="Arial" w:hAnsi="Arial" w:cs="Arial"/>
              </w:rPr>
            </w:pPr>
            <w:r w:rsidRPr="00676D4B">
              <w:rPr>
                <w:rFonts w:ascii="Arial" w:hAnsi="Arial" w:cs="Arial"/>
              </w:rPr>
              <w:t>Financial</w:t>
            </w:r>
            <w:r>
              <w:rPr>
                <w:rFonts w:ascii="Arial" w:hAnsi="Arial" w:cs="Arial"/>
              </w:rPr>
              <w:t>/value for money</w:t>
            </w:r>
          </w:p>
        </w:tc>
        <w:tc>
          <w:tcPr>
            <w:tcW w:w="709" w:type="dxa"/>
          </w:tcPr>
          <w:p w:rsidR="00B50C2A" w:rsidRPr="00676D4B" w:rsidRDefault="00B50C2A" w:rsidP="00903F5A">
            <w:pPr>
              <w:rPr>
                <w:rFonts w:ascii="Arial" w:hAnsi="Arial" w:cs="Arial"/>
              </w:rPr>
            </w:pPr>
          </w:p>
        </w:tc>
        <w:tc>
          <w:tcPr>
            <w:tcW w:w="4677" w:type="dxa"/>
          </w:tcPr>
          <w:p w:rsidR="00B50C2A" w:rsidRPr="00676D4B" w:rsidRDefault="00B50C2A" w:rsidP="00903F5A">
            <w:pPr>
              <w:rPr>
                <w:rFonts w:ascii="Arial" w:hAnsi="Arial" w:cs="Arial"/>
              </w:rPr>
            </w:pPr>
            <w:r>
              <w:rPr>
                <w:rFonts w:ascii="Arial" w:hAnsi="Arial" w:cs="Arial"/>
              </w:rPr>
              <w:t>Estates and facilities</w:t>
            </w:r>
          </w:p>
        </w:tc>
        <w:tc>
          <w:tcPr>
            <w:tcW w:w="709" w:type="dxa"/>
          </w:tcPr>
          <w:p w:rsidR="00B50C2A" w:rsidRPr="00676D4B" w:rsidRDefault="00B50C2A" w:rsidP="00903F5A">
            <w:pPr>
              <w:rPr>
                <w:rFonts w:ascii="Arial" w:hAnsi="Arial" w:cs="Arial"/>
              </w:rPr>
            </w:pPr>
          </w:p>
        </w:tc>
      </w:tr>
      <w:tr w:rsidR="00B50C2A" w:rsidRPr="00676D4B" w:rsidTr="00903F5A">
        <w:tc>
          <w:tcPr>
            <w:tcW w:w="3681" w:type="dxa"/>
          </w:tcPr>
          <w:p w:rsidR="00B50C2A" w:rsidRPr="00676D4B" w:rsidRDefault="00B50C2A" w:rsidP="00903F5A">
            <w:pPr>
              <w:rPr>
                <w:rFonts w:ascii="Arial" w:hAnsi="Arial" w:cs="Arial"/>
              </w:rPr>
            </w:pPr>
            <w:r>
              <w:rPr>
                <w:rFonts w:ascii="Arial" w:hAnsi="Arial" w:cs="Arial"/>
              </w:rPr>
              <w:t>Commercial</w:t>
            </w:r>
          </w:p>
        </w:tc>
        <w:tc>
          <w:tcPr>
            <w:tcW w:w="709" w:type="dxa"/>
          </w:tcPr>
          <w:p w:rsidR="00B50C2A" w:rsidRPr="00676D4B" w:rsidRDefault="00B50C2A" w:rsidP="00903F5A">
            <w:pPr>
              <w:rPr>
                <w:rFonts w:ascii="Arial" w:hAnsi="Arial" w:cs="Arial"/>
              </w:rPr>
            </w:pPr>
          </w:p>
        </w:tc>
        <w:tc>
          <w:tcPr>
            <w:tcW w:w="4677" w:type="dxa"/>
          </w:tcPr>
          <w:p w:rsidR="00B50C2A" w:rsidRDefault="00B50C2A" w:rsidP="00903F5A">
            <w:pPr>
              <w:rPr>
                <w:rFonts w:ascii="Arial" w:hAnsi="Arial" w:cs="Arial"/>
              </w:rPr>
            </w:pPr>
            <w:r>
              <w:rPr>
                <w:rFonts w:ascii="Arial" w:hAnsi="Arial" w:cs="Arial"/>
              </w:rPr>
              <w:t>Compliance/Regulatory</w:t>
            </w:r>
          </w:p>
        </w:tc>
        <w:tc>
          <w:tcPr>
            <w:tcW w:w="709" w:type="dxa"/>
          </w:tcPr>
          <w:p w:rsidR="00B50C2A" w:rsidRPr="00676D4B" w:rsidRDefault="00B50C2A" w:rsidP="00903F5A">
            <w:pPr>
              <w:rPr>
                <w:rFonts w:ascii="Arial" w:hAnsi="Arial" w:cs="Arial"/>
              </w:rPr>
            </w:pPr>
          </w:p>
        </w:tc>
      </w:tr>
      <w:tr w:rsidR="00B50C2A" w:rsidRPr="00676D4B" w:rsidTr="00903F5A">
        <w:tc>
          <w:tcPr>
            <w:tcW w:w="3681" w:type="dxa"/>
          </w:tcPr>
          <w:p w:rsidR="00B50C2A" w:rsidRPr="00676D4B" w:rsidRDefault="00B50C2A" w:rsidP="00903F5A">
            <w:pPr>
              <w:rPr>
                <w:rFonts w:ascii="Arial" w:hAnsi="Arial" w:cs="Arial"/>
              </w:rPr>
            </w:pPr>
            <w:r w:rsidRPr="00676D4B">
              <w:rPr>
                <w:rFonts w:ascii="Arial" w:hAnsi="Arial" w:cs="Arial"/>
              </w:rPr>
              <w:t>Q</w:t>
            </w:r>
            <w:r>
              <w:rPr>
                <w:rFonts w:ascii="Arial" w:hAnsi="Arial" w:cs="Arial"/>
              </w:rPr>
              <w:t>uality, safety, experience and effectiveness</w:t>
            </w:r>
          </w:p>
        </w:tc>
        <w:tc>
          <w:tcPr>
            <w:tcW w:w="709" w:type="dxa"/>
          </w:tcPr>
          <w:p w:rsidR="00B50C2A" w:rsidRPr="00676D4B" w:rsidRDefault="00B50C2A" w:rsidP="00903F5A">
            <w:pPr>
              <w:rPr>
                <w:rFonts w:ascii="Arial" w:hAnsi="Arial" w:cs="Arial"/>
              </w:rPr>
            </w:pPr>
          </w:p>
        </w:tc>
        <w:tc>
          <w:tcPr>
            <w:tcW w:w="4677" w:type="dxa"/>
          </w:tcPr>
          <w:p w:rsidR="00B50C2A" w:rsidRPr="00676D4B" w:rsidRDefault="00B50C2A" w:rsidP="00903F5A">
            <w:pPr>
              <w:rPr>
                <w:rFonts w:ascii="Arial" w:hAnsi="Arial" w:cs="Arial"/>
              </w:rPr>
            </w:pPr>
            <w:r w:rsidRPr="00E35E1E">
              <w:rPr>
                <w:rFonts w:ascii="Arial" w:hAnsi="Arial" w:cs="Arial"/>
              </w:rPr>
              <w:t>Service user, carer and stakeholder involvement</w:t>
            </w:r>
          </w:p>
        </w:tc>
        <w:tc>
          <w:tcPr>
            <w:tcW w:w="709" w:type="dxa"/>
          </w:tcPr>
          <w:p w:rsidR="00B50C2A" w:rsidRPr="00676D4B" w:rsidRDefault="00B50C2A" w:rsidP="00903F5A">
            <w:pPr>
              <w:rPr>
                <w:rFonts w:ascii="Arial" w:hAnsi="Arial" w:cs="Arial"/>
              </w:rPr>
            </w:pPr>
          </w:p>
        </w:tc>
      </w:tr>
    </w:tbl>
    <w:p w:rsidR="00B50C2A" w:rsidRPr="00626BF6" w:rsidRDefault="00B50C2A" w:rsidP="00903F5A">
      <w:pPr>
        <w:spacing w:after="0" w:line="240" w:lineRule="auto"/>
      </w:pPr>
    </w:p>
    <w:tbl>
      <w:tblPr>
        <w:tblStyle w:val="TableGrid"/>
        <w:tblW w:w="0" w:type="auto"/>
        <w:tblLook w:val="04A0" w:firstRow="1" w:lastRow="0" w:firstColumn="1" w:lastColumn="0" w:noHBand="0" w:noVBand="1"/>
      </w:tblPr>
      <w:tblGrid>
        <w:gridCol w:w="9016"/>
      </w:tblGrid>
      <w:tr w:rsidR="00B50C2A" w:rsidRPr="00E35E1E" w:rsidTr="00903F5A">
        <w:tc>
          <w:tcPr>
            <w:tcW w:w="9913" w:type="dxa"/>
            <w:shd w:val="clear" w:color="auto" w:fill="auto"/>
          </w:tcPr>
          <w:p w:rsidR="00B50C2A" w:rsidRPr="00E35E1E" w:rsidRDefault="00B50C2A" w:rsidP="00903F5A">
            <w:pPr>
              <w:rPr>
                <w:rFonts w:ascii="Arial" w:hAnsi="Arial" w:cs="Arial"/>
                <w:sz w:val="24"/>
              </w:rPr>
            </w:pPr>
            <w:r w:rsidRPr="00E35E1E">
              <w:rPr>
                <w:rFonts w:ascii="Arial" w:hAnsi="Arial" w:cs="Arial"/>
                <w:b/>
                <w:sz w:val="24"/>
              </w:rPr>
              <w:t>Board Assurance Framework/Corporate Risk Register risks this paper relates to</w:t>
            </w:r>
          </w:p>
        </w:tc>
      </w:tr>
      <w:tr w:rsidR="00B50C2A" w:rsidTr="00903F5A">
        <w:tc>
          <w:tcPr>
            <w:tcW w:w="9913" w:type="dxa"/>
          </w:tcPr>
          <w:p w:rsidR="00B50C2A" w:rsidRDefault="00B50C2A" w:rsidP="00903F5A">
            <w:pPr>
              <w:rPr>
                <w:rFonts w:ascii="Arial" w:hAnsi="Arial" w:cs="Arial"/>
                <w:sz w:val="24"/>
              </w:rPr>
            </w:pPr>
          </w:p>
        </w:tc>
      </w:tr>
    </w:tbl>
    <w:p w:rsidR="00B50C2A" w:rsidRDefault="00B50C2A" w:rsidP="00903F5A">
      <w:pPr>
        <w:pStyle w:val="Default"/>
        <w:rPr>
          <w:b/>
          <w:bCs/>
          <w:sz w:val="23"/>
          <w:szCs w:val="23"/>
        </w:rPr>
      </w:pPr>
    </w:p>
    <w:p w:rsidR="00B50C2A" w:rsidRPr="003D6F05" w:rsidRDefault="00B50C2A" w:rsidP="00903F5A">
      <w:pPr>
        <w:pStyle w:val="Default"/>
        <w:jc w:val="center"/>
      </w:pPr>
      <w:r>
        <w:rPr>
          <w:b/>
          <w:bCs/>
        </w:rPr>
        <w:lastRenderedPageBreak/>
        <w:t xml:space="preserve">Workforce Race Equality Standard and Workforce Disability Equality Standard </w:t>
      </w:r>
      <w:r w:rsidR="00842C54">
        <w:rPr>
          <w:b/>
          <w:bCs/>
        </w:rPr>
        <w:t xml:space="preserve"> </w:t>
      </w:r>
    </w:p>
    <w:p w:rsidR="00B50C2A" w:rsidRPr="003D6F05" w:rsidRDefault="00842C54" w:rsidP="00903F5A">
      <w:pPr>
        <w:pStyle w:val="Default"/>
        <w:jc w:val="center"/>
      </w:pPr>
      <w:r>
        <w:rPr>
          <w:b/>
          <w:bCs/>
        </w:rPr>
        <w:t>Trust Board</w:t>
      </w:r>
      <w:r w:rsidR="00903F5A">
        <w:rPr>
          <w:b/>
          <w:bCs/>
        </w:rPr>
        <w:t xml:space="preserve"> of Directors</w:t>
      </w:r>
    </w:p>
    <w:p w:rsidR="00B50C2A" w:rsidRPr="003D6F05" w:rsidRDefault="00842C54" w:rsidP="00903F5A">
      <w:pPr>
        <w:pStyle w:val="Default"/>
        <w:jc w:val="center"/>
      </w:pPr>
      <w:r>
        <w:rPr>
          <w:b/>
          <w:bCs/>
        </w:rPr>
        <w:t>2</w:t>
      </w:r>
      <w:r w:rsidR="00903F5A">
        <w:rPr>
          <w:b/>
          <w:bCs/>
        </w:rPr>
        <w:t xml:space="preserve"> September 2020</w:t>
      </w:r>
    </w:p>
    <w:p w:rsidR="00B50C2A" w:rsidRPr="003D6F05" w:rsidRDefault="00B50C2A" w:rsidP="00903F5A">
      <w:pPr>
        <w:pStyle w:val="Default"/>
        <w:rPr>
          <w:b/>
          <w:bCs/>
        </w:rPr>
      </w:pPr>
    </w:p>
    <w:p w:rsidR="00B50C2A" w:rsidRPr="003D6F05" w:rsidRDefault="00B50C2A" w:rsidP="00903F5A">
      <w:pPr>
        <w:pStyle w:val="Default"/>
      </w:pPr>
      <w:r w:rsidRPr="003D6F05">
        <w:rPr>
          <w:b/>
          <w:bCs/>
        </w:rPr>
        <w:t xml:space="preserve">1. </w:t>
      </w:r>
      <w:r w:rsidRPr="003D6F05">
        <w:rPr>
          <w:b/>
          <w:bCs/>
        </w:rPr>
        <w:tab/>
        <w:t xml:space="preserve">Executive Summary </w:t>
      </w:r>
    </w:p>
    <w:p w:rsidR="00B50C2A" w:rsidRDefault="00B50C2A" w:rsidP="00903F5A">
      <w:pPr>
        <w:pStyle w:val="Default"/>
      </w:pPr>
    </w:p>
    <w:p w:rsidR="00842C54" w:rsidRPr="00842C54" w:rsidRDefault="00842C54" w:rsidP="00842C54">
      <w:pPr>
        <w:spacing w:after="0" w:line="240" w:lineRule="auto"/>
        <w:rPr>
          <w:rFonts w:eastAsia="Times New Roman"/>
        </w:rPr>
      </w:pPr>
      <w:r w:rsidRPr="00842C54">
        <w:rPr>
          <w:rFonts w:eastAsia="Times New Roman"/>
        </w:rPr>
        <w:t xml:space="preserve">The NHS Equality and Diversity Council (EDC) </w:t>
      </w:r>
      <w:r>
        <w:rPr>
          <w:rFonts w:eastAsia="Times New Roman"/>
        </w:rPr>
        <w:t xml:space="preserve">has implemented two </w:t>
      </w:r>
      <w:r w:rsidRPr="00842C54">
        <w:rPr>
          <w:rFonts w:eastAsia="Times New Roman"/>
        </w:rPr>
        <w:t>measures to improve equality across the NHS into the Standard Contract, from April 2015 the Workforc</w:t>
      </w:r>
      <w:r>
        <w:rPr>
          <w:rFonts w:eastAsia="Times New Roman"/>
        </w:rPr>
        <w:t xml:space="preserve">e Race Equality Standard (WRES) and from 2019 </w:t>
      </w:r>
      <w:r w:rsidRPr="00842C54">
        <w:rPr>
          <w:rFonts w:eastAsia="Times New Roman"/>
        </w:rPr>
        <w:t>Workforce Disability Equality Standard (WDES</w:t>
      </w:r>
      <w:r>
        <w:rPr>
          <w:rFonts w:eastAsia="Times New Roman"/>
        </w:rPr>
        <w:t>). Both standards</w:t>
      </w:r>
      <w:r w:rsidRPr="00842C54">
        <w:rPr>
          <w:rFonts w:eastAsia="Times New Roman"/>
        </w:rPr>
        <w:t xml:space="preserve"> support positive change for existing employees, and enable a more inclusive environment for </w:t>
      </w:r>
      <w:r>
        <w:rPr>
          <w:rFonts w:eastAsia="Times New Roman"/>
        </w:rPr>
        <w:t>BAME and D</w:t>
      </w:r>
      <w:r w:rsidRPr="00842C54">
        <w:rPr>
          <w:rFonts w:eastAsia="Times New Roman"/>
        </w:rPr>
        <w:t xml:space="preserve">isabled people working in the NHS. </w:t>
      </w:r>
      <w:r>
        <w:rPr>
          <w:rFonts w:eastAsia="Times New Roman"/>
        </w:rPr>
        <w:t xml:space="preserve">This year’s submission of data coincides with the release of the NHS People Plan. Where actions are proposed </w:t>
      </w:r>
      <w:r w:rsidR="0069115E">
        <w:rPr>
          <w:rFonts w:eastAsia="Times New Roman"/>
        </w:rPr>
        <w:t xml:space="preserve">they will be linked wherever possible to actions that are required under the People Plan. </w:t>
      </w:r>
    </w:p>
    <w:p w:rsidR="00842C54" w:rsidRDefault="00842C54" w:rsidP="00903F5A">
      <w:pPr>
        <w:pStyle w:val="Default"/>
        <w:rPr>
          <w:b/>
          <w:bCs/>
        </w:rPr>
      </w:pPr>
    </w:p>
    <w:p w:rsidR="00B50C2A" w:rsidRDefault="00B50C2A" w:rsidP="00903F5A">
      <w:pPr>
        <w:pStyle w:val="Default"/>
        <w:rPr>
          <w:b/>
          <w:bCs/>
        </w:rPr>
      </w:pPr>
      <w:r>
        <w:rPr>
          <w:b/>
          <w:bCs/>
        </w:rPr>
        <w:t>2</w:t>
      </w:r>
      <w:r w:rsidRPr="003D6F05">
        <w:rPr>
          <w:b/>
          <w:bCs/>
        </w:rPr>
        <w:t xml:space="preserve">. Risks and mitigations associated with the report </w:t>
      </w:r>
    </w:p>
    <w:p w:rsidR="00B50C2A" w:rsidRPr="003D6F05" w:rsidRDefault="00B50C2A" w:rsidP="00903F5A">
      <w:pPr>
        <w:pStyle w:val="Default"/>
      </w:pPr>
    </w:p>
    <w:p w:rsidR="008412EE" w:rsidRPr="008412EE" w:rsidRDefault="008412EE" w:rsidP="00903F5A">
      <w:pPr>
        <w:pStyle w:val="Default"/>
      </w:pPr>
      <w:r w:rsidRPr="008412EE">
        <w:t>There are specific risks of Race Discrimination and Disability Discrimination under the Equality Act if policies and practices are not in line with legislation.</w:t>
      </w:r>
    </w:p>
    <w:p w:rsidR="008412EE" w:rsidRPr="008412EE" w:rsidRDefault="008412EE" w:rsidP="00903F5A">
      <w:pPr>
        <w:pStyle w:val="Default"/>
      </w:pPr>
    </w:p>
    <w:p w:rsidR="008412EE" w:rsidRPr="008412EE" w:rsidRDefault="008412EE" w:rsidP="008412EE">
      <w:pPr>
        <w:pStyle w:val="Default"/>
      </w:pPr>
      <w:r w:rsidRPr="008412EE">
        <w:t xml:space="preserve">There are reputational risks to the Trust if legislation and best practice is not followed which may have a detrimental </w:t>
      </w:r>
      <w:r>
        <w:t>e</w:t>
      </w:r>
      <w:r w:rsidRPr="008412EE">
        <w:t>ffect on attraction and retention</w:t>
      </w:r>
      <w:r>
        <w:t xml:space="preserve"> of staff</w:t>
      </w:r>
      <w:r w:rsidRPr="008412EE">
        <w:t xml:space="preserve">.  </w:t>
      </w:r>
    </w:p>
    <w:p w:rsidR="00B50C2A" w:rsidRPr="003D6F05" w:rsidRDefault="00B50C2A" w:rsidP="00903F5A">
      <w:pPr>
        <w:pStyle w:val="Default"/>
      </w:pPr>
    </w:p>
    <w:p w:rsidR="00B50C2A" w:rsidRPr="003D6F05" w:rsidRDefault="00B50C2A" w:rsidP="00903F5A">
      <w:pPr>
        <w:pStyle w:val="Default"/>
      </w:pPr>
      <w:r>
        <w:rPr>
          <w:b/>
          <w:bCs/>
        </w:rPr>
        <w:t>3</w:t>
      </w:r>
      <w:r w:rsidRPr="003D6F05">
        <w:rPr>
          <w:b/>
          <w:bCs/>
        </w:rPr>
        <w:t xml:space="preserve">. Recommendation/summary </w:t>
      </w:r>
    </w:p>
    <w:p w:rsidR="00B50C2A" w:rsidRDefault="00B50C2A" w:rsidP="00903F5A">
      <w:pPr>
        <w:pStyle w:val="Default"/>
      </w:pPr>
    </w:p>
    <w:p w:rsidR="001F0D86" w:rsidRPr="008412EE" w:rsidRDefault="001F0D86" w:rsidP="001F0D86">
      <w:r w:rsidRPr="008412EE">
        <w:t xml:space="preserve">The Board </w:t>
      </w:r>
      <w:r w:rsidR="000C7AE7" w:rsidRPr="008412EE">
        <w:t xml:space="preserve">is </w:t>
      </w:r>
      <w:r w:rsidRPr="008412EE">
        <w:t>asked to consider approval to the following. Many of the proposed actions relate to the NHS People Plan and as such relate equally to address WRES and WDES issues.</w:t>
      </w:r>
    </w:p>
    <w:p w:rsidR="001F0D86" w:rsidRPr="008412EE" w:rsidRDefault="008412EE" w:rsidP="001F0D86">
      <w:pPr>
        <w:pStyle w:val="ListParagraph"/>
        <w:numPr>
          <w:ilvl w:val="0"/>
          <w:numId w:val="13"/>
        </w:numPr>
      </w:pPr>
      <w:r>
        <w:t>O</w:t>
      </w:r>
      <w:r w:rsidR="001F0D86" w:rsidRPr="008412EE">
        <w:t xml:space="preserve">verhaul of recruitment and promotion practices </w:t>
      </w:r>
      <w:r w:rsidR="00E070E9">
        <w:t xml:space="preserve">for all levels of post </w:t>
      </w:r>
      <w:r w:rsidR="001F0D86" w:rsidRPr="008412EE">
        <w:t xml:space="preserve">to </w:t>
      </w:r>
      <w:r>
        <w:t>ensure</w:t>
      </w:r>
      <w:r w:rsidR="001F0D86" w:rsidRPr="008412EE">
        <w:t xml:space="preserve"> that staffing reflects the diversity of the community and regional and national labour markets.</w:t>
      </w:r>
    </w:p>
    <w:p w:rsidR="001F0D86" w:rsidRPr="008412EE" w:rsidRDefault="008412EE" w:rsidP="001F0D86">
      <w:pPr>
        <w:pStyle w:val="ListParagraph"/>
        <w:numPr>
          <w:ilvl w:val="0"/>
          <w:numId w:val="13"/>
        </w:numPr>
      </w:pPr>
      <w:r>
        <w:t>A</w:t>
      </w:r>
      <w:r w:rsidR="001F0D86" w:rsidRPr="008412EE">
        <w:t xml:space="preserve">dopt NHSEI toolkits </w:t>
      </w:r>
      <w:r>
        <w:t xml:space="preserve">when available </w:t>
      </w:r>
      <w:r w:rsidR="001F0D86" w:rsidRPr="008412EE">
        <w:t>to meet the action of eliminating the ethnicity gap when entering formal disciplinary processes.</w:t>
      </w:r>
    </w:p>
    <w:p w:rsidR="008412EE" w:rsidRDefault="008412EE" w:rsidP="00C73125">
      <w:pPr>
        <w:pStyle w:val="ListParagraph"/>
        <w:numPr>
          <w:ilvl w:val="0"/>
          <w:numId w:val="13"/>
        </w:numPr>
      </w:pPr>
      <w:r>
        <w:t>A</w:t>
      </w:r>
      <w:r w:rsidR="001F0D86" w:rsidRPr="008412EE">
        <w:t xml:space="preserve">dopt </w:t>
      </w:r>
      <w:r>
        <w:t xml:space="preserve">the </w:t>
      </w:r>
      <w:r w:rsidR="001F0D86" w:rsidRPr="008412EE">
        <w:t>NHSEI toolkit on civility and respect for all</w:t>
      </w:r>
      <w:r>
        <w:t>.</w:t>
      </w:r>
    </w:p>
    <w:p w:rsidR="001F0D86" w:rsidRDefault="001F0D86" w:rsidP="00C73125">
      <w:pPr>
        <w:pStyle w:val="ListParagraph"/>
        <w:numPr>
          <w:ilvl w:val="0"/>
          <w:numId w:val="13"/>
        </w:numPr>
      </w:pPr>
      <w:r w:rsidRPr="008412EE">
        <w:t>Adopt the principle of the Social Model of Disability by the Trust.</w:t>
      </w:r>
    </w:p>
    <w:p w:rsidR="008412EE" w:rsidRDefault="008412EE" w:rsidP="00C73125">
      <w:pPr>
        <w:pStyle w:val="ListParagraph"/>
        <w:numPr>
          <w:ilvl w:val="0"/>
          <w:numId w:val="13"/>
        </w:numPr>
      </w:pPr>
      <w:r>
        <w:t xml:space="preserve">Review and cleanse all data to ensure staff disability </w:t>
      </w:r>
      <w:r w:rsidR="00E070E9">
        <w:t xml:space="preserve">and CPD </w:t>
      </w:r>
      <w:r>
        <w:t>is recorded appropriately.</w:t>
      </w:r>
    </w:p>
    <w:p w:rsidR="00E070E9" w:rsidRDefault="00E070E9" w:rsidP="00C73125">
      <w:pPr>
        <w:pStyle w:val="ListParagraph"/>
        <w:numPr>
          <w:ilvl w:val="0"/>
          <w:numId w:val="13"/>
        </w:numPr>
      </w:pPr>
      <w:r>
        <w:t>Further develop the role of the Cultural Ambassador.</w:t>
      </w:r>
    </w:p>
    <w:p w:rsidR="00E070E9" w:rsidRDefault="00E070E9" w:rsidP="00C73125">
      <w:pPr>
        <w:pStyle w:val="ListParagraph"/>
        <w:numPr>
          <w:ilvl w:val="0"/>
          <w:numId w:val="13"/>
        </w:numPr>
      </w:pPr>
      <w:r>
        <w:t>Consider positive action w</w:t>
      </w:r>
      <w:r w:rsidR="00C221FD">
        <w:t>h</w:t>
      </w:r>
      <w:r>
        <w:t>ere it is felt appropriate.</w:t>
      </w:r>
    </w:p>
    <w:p w:rsidR="009678D2" w:rsidRDefault="009678D2" w:rsidP="009678D2">
      <w:pPr>
        <w:pStyle w:val="ListParagraph"/>
        <w:ind w:left="360"/>
      </w:pPr>
      <w:r>
        <w:t xml:space="preserve"> </w:t>
      </w:r>
    </w:p>
    <w:p w:rsidR="008412EE" w:rsidRPr="008412EE" w:rsidRDefault="008412EE" w:rsidP="008412EE">
      <w:pPr>
        <w:pStyle w:val="ListParagraph"/>
        <w:ind w:left="360"/>
      </w:pPr>
    </w:p>
    <w:p w:rsidR="001F0D86" w:rsidRDefault="001F0D86" w:rsidP="001F0D86">
      <w:r>
        <w:t>Christopher Rowlands</w:t>
      </w:r>
      <w:r>
        <w:tab/>
      </w:r>
      <w:r>
        <w:tab/>
      </w:r>
      <w:r>
        <w:tab/>
      </w:r>
      <w:r>
        <w:tab/>
        <w:t>Lynne Shaw</w:t>
      </w:r>
    </w:p>
    <w:p w:rsidR="006A7597" w:rsidRDefault="001F0D86" w:rsidP="00BE236B">
      <w:pPr>
        <w:ind w:left="5040" w:hanging="5040"/>
      </w:pPr>
      <w:r>
        <w:t>Equality, Diversity and Inclusion Lead</w:t>
      </w:r>
      <w:r>
        <w:tab/>
        <w:t>Exec</w:t>
      </w:r>
      <w:r w:rsidR="00BE236B">
        <w:t>utive Director</w:t>
      </w:r>
      <w:r>
        <w:t xml:space="preserve"> Workforce and </w:t>
      </w:r>
      <w:r w:rsidR="00BE236B">
        <w:t>Organisational Development</w:t>
      </w:r>
    </w:p>
    <w:p w:rsidR="000A6392" w:rsidRDefault="006A7597">
      <w:r>
        <w:t>August 2020</w:t>
      </w:r>
      <w:r w:rsidR="001F0D86">
        <w:tab/>
      </w:r>
    </w:p>
    <w:p w:rsidR="001B0AD8" w:rsidRPr="000A6392" w:rsidRDefault="00E070E9">
      <w:r>
        <w:rPr>
          <w:b/>
        </w:rPr>
        <w:lastRenderedPageBreak/>
        <w:t>W</w:t>
      </w:r>
      <w:r w:rsidR="001B0AD8">
        <w:rPr>
          <w:b/>
        </w:rPr>
        <w:t>orkforce Race Equality Standard (WRES)</w:t>
      </w:r>
    </w:p>
    <w:p w:rsidR="001B0AD8" w:rsidRDefault="00AA57D6">
      <w:r w:rsidRPr="00AA57D6">
        <w:t xml:space="preserve">The figures </w:t>
      </w:r>
      <w:r w:rsidR="00244FB0">
        <w:t xml:space="preserve">contained within this document </w:t>
      </w:r>
      <w:r w:rsidRPr="00AA57D6">
        <w:t xml:space="preserve">are a snapshot as of 31 March 2020 and as such do not reflect the significant amount of work that has </w:t>
      </w:r>
      <w:r w:rsidR="00931A56">
        <w:t>been under</w:t>
      </w:r>
      <w:r w:rsidRPr="00AA57D6">
        <w:t xml:space="preserve">taken since </w:t>
      </w:r>
      <w:r w:rsidR="00244FB0">
        <w:t xml:space="preserve">that date </w:t>
      </w:r>
      <w:r w:rsidRPr="00AA57D6">
        <w:t>to reduce the unknown ethnicity figures for our staff.</w:t>
      </w:r>
      <w:r w:rsidR="00244FB0">
        <w:t xml:space="preserve">  It should be noted that t</w:t>
      </w:r>
      <w:r w:rsidR="00244FB0" w:rsidRPr="00AA57D6">
        <w:t>hese figures do not include NTW Solutions.</w:t>
      </w:r>
    </w:p>
    <w:p w:rsidR="000A6392" w:rsidRPr="00AA57D6" w:rsidRDefault="000A6392">
      <w:r>
        <w:t xml:space="preserve">Please see </w:t>
      </w:r>
      <w:r w:rsidR="000C7AE7">
        <w:t>A</w:t>
      </w:r>
      <w:r>
        <w:t>ppendix 1 for WRES data tables.</w:t>
      </w:r>
    </w:p>
    <w:p w:rsidR="000A6392" w:rsidRPr="00930E52" w:rsidRDefault="00EB38F5" w:rsidP="00930E52">
      <w:pPr>
        <w:ind w:left="720" w:hanging="720"/>
        <w:rPr>
          <w:b/>
        </w:rPr>
      </w:pPr>
      <w:r w:rsidRPr="00930E52">
        <w:rPr>
          <w:b/>
        </w:rPr>
        <w:t>(1)</w:t>
      </w:r>
      <w:r w:rsidRPr="00930E52">
        <w:rPr>
          <w:b/>
        </w:rPr>
        <w:tab/>
        <w:t>Percentage of staff in each of the A</w:t>
      </w:r>
      <w:r w:rsidR="00BE236B" w:rsidRPr="00930E52">
        <w:rPr>
          <w:b/>
        </w:rPr>
        <w:t xml:space="preserve">genda </w:t>
      </w:r>
      <w:r w:rsidRPr="00930E52">
        <w:rPr>
          <w:b/>
        </w:rPr>
        <w:t>f</w:t>
      </w:r>
      <w:r w:rsidR="00BE236B" w:rsidRPr="00930E52">
        <w:rPr>
          <w:b/>
        </w:rPr>
        <w:t xml:space="preserve">or </w:t>
      </w:r>
      <w:r w:rsidRPr="00930E52">
        <w:rPr>
          <w:b/>
        </w:rPr>
        <w:t>C</w:t>
      </w:r>
      <w:r w:rsidR="00BE236B" w:rsidRPr="00930E52">
        <w:rPr>
          <w:b/>
        </w:rPr>
        <w:t>hange</w:t>
      </w:r>
      <w:r w:rsidRPr="00930E52">
        <w:rPr>
          <w:b/>
        </w:rPr>
        <w:t xml:space="preserve"> Bands 1-9 and V</w:t>
      </w:r>
      <w:r w:rsidR="00BE236B" w:rsidRPr="00930E52">
        <w:rPr>
          <w:b/>
        </w:rPr>
        <w:t xml:space="preserve">ery </w:t>
      </w:r>
      <w:r w:rsidRPr="00930E52">
        <w:rPr>
          <w:b/>
        </w:rPr>
        <w:t>S</w:t>
      </w:r>
      <w:r w:rsidR="00BE236B" w:rsidRPr="00930E52">
        <w:rPr>
          <w:b/>
        </w:rPr>
        <w:t xml:space="preserve">enior </w:t>
      </w:r>
      <w:r w:rsidRPr="00930E52">
        <w:rPr>
          <w:b/>
        </w:rPr>
        <w:t>M</w:t>
      </w:r>
      <w:r w:rsidR="00BE236B" w:rsidRPr="00930E52">
        <w:rPr>
          <w:b/>
        </w:rPr>
        <w:t>anagers</w:t>
      </w:r>
      <w:r w:rsidRPr="00930E52">
        <w:rPr>
          <w:b/>
        </w:rPr>
        <w:t xml:space="preserve"> (including executive Board members) compared with the percentage of staff in the overall workforce. Note: Organisations should undertake this calculation separately for non-clinical and for clinical staff</w:t>
      </w:r>
      <w:r w:rsidR="00BE236B" w:rsidRPr="00930E52">
        <w:rPr>
          <w:b/>
        </w:rPr>
        <w:t xml:space="preserve"> </w:t>
      </w:r>
    </w:p>
    <w:p w:rsidR="006602A3" w:rsidRDefault="00BE236B" w:rsidP="000A6392">
      <w:r>
        <w:t xml:space="preserve">At the audit date there were 315 </w:t>
      </w:r>
      <w:r w:rsidR="006602A3">
        <w:t>BAME staff</w:t>
      </w:r>
      <w:r w:rsidR="00244FB0">
        <w:t xml:space="preserve"> employed by the Trust</w:t>
      </w:r>
      <w:r>
        <w:t>. Th</w:t>
      </w:r>
      <w:r w:rsidR="000A6392">
        <w:t>ese</w:t>
      </w:r>
      <w:r>
        <w:t xml:space="preserve"> </w:t>
      </w:r>
      <w:r w:rsidR="000A6392">
        <w:t>staff ma</w:t>
      </w:r>
      <w:r w:rsidR="00244FB0">
        <w:t>de</w:t>
      </w:r>
      <w:r w:rsidR="000A6392">
        <w:t xml:space="preserve"> up</w:t>
      </w:r>
      <w:r>
        <w:t xml:space="preserve"> </w:t>
      </w:r>
      <w:r w:rsidR="006602A3">
        <w:t xml:space="preserve">5% of our overall workforce. Although it should be noted that this average is inflated by the inclusion of medical staff. If we exclude medical staff the average is 3.5%. The latest available </w:t>
      </w:r>
      <w:r>
        <w:t>Office for National St</w:t>
      </w:r>
      <w:r w:rsidR="006602A3">
        <w:t xml:space="preserve">atistics </w:t>
      </w:r>
      <w:r>
        <w:t xml:space="preserve">population figures </w:t>
      </w:r>
      <w:r w:rsidR="006602A3">
        <w:t>across the region put the BAME population at 6.4%. This points to an under-representation from the BAME population in our workforce.</w:t>
      </w:r>
    </w:p>
    <w:p w:rsidR="000A6392" w:rsidRDefault="000A6392" w:rsidP="000A6392">
      <w:r>
        <w:t>There are disparities between BAME and White staff in their distribution across the pay bands for both non-clinical and clinical roles. Only with the data for Doctors do we see a greater likelihood for BAME staff to be employed at higher grades.</w:t>
      </w:r>
    </w:p>
    <w:p w:rsidR="00287FD8" w:rsidRPr="00AA252B" w:rsidRDefault="00287FD8" w:rsidP="00287FD8">
      <w:pPr>
        <w:pStyle w:val="ListParagraph"/>
        <w:numPr>
          <w:ilvl w:val="0"/>
          <w:numId w:val="2"/>
        </w:numPr>
      </w:pPr>
      <w:r>
        <w:t xml:space="preserve">For non-clinical roles </w:t>
      </w:r>
      <w:r w:rsidRPr="00AA252B">
        <w:t>BAME staff are predominately in the lower pay bands. 90% of BAME staff are in Band 5 jobs or lower. This compares to 76% for White staff.</w:t>
      </w:r>
    </w:p>
    <w:p w:rsidR="008D7869" w:rsidRDefault="00287FD8" w:rsidP="008D7869">
      <w:pPr>
        <w:pStyle w:val="ListParagraph"/>
        <w:numPr>
          <w:ilvl w:val="0"/>
          <w:numId w:val="2"/>
        </w:numPr>
      </w:pPr>
      <w:r>
        <w:t>For clinical roles BAME staff are predominately in the lower pay bands. 69% of BAME staff are in Band 5 jobs or lower. This compares to 51% for White staff.</w:t>
      </w:r>
    </w:p>
    <w:p w:rsidR="00287FD8" w:rsidRDefault="00287FD8" w:rsidP="00287FD8">
      <w:pPr>
        <w:pStyle w:val="ListParagraph"/>
        <w:numPr>
          <w:ilvl w:val="0"/>
          <w:numId w:val="2"/>
        </w:numPr>
      </w:pPr>
      <w:r>
        <w:t>25% of BAME clinical staff are in Band 6/7 jobs. This compares to 41% of White staff.</w:t>
      </w:r>
    </w:p>
    <w:p w:rsidR="00287FD8" w:rsidRDefault="00287FD8" w:rsidP="00287FD8">
      <w:pPr>
        <w:pStyle w:val="ListParagraph"/>
        <w:numPr>
          <w:ilvl w:val="0"/>
          <w:numId w:val="2"/>
        </w:numPr>
      </w:pPr>
      <w:r>
        <w:t>6% of BAME clinical staff are in Band 8a-d jobs. This compares to 7% for White staff.</w:t>
      </w:r>
    </w:p>
    <w:p w:rsidR="006602A3" w:rsidRDefault="006602A3" w:rsidP="00287FD8">
      <w:pPr>
        <w:pStyle w:val="ListParagraph"/>
        <w:numPr>
          <w:ilvl w:val="0"/>
          <w:numId w:val="2"/>
        </w:numPr>
      </w:pPr>
      <w:r>
        <w:t>BAME staff make up 26.5% of the medical workforce.</w:t>
      </w:r>
    </w:p>
    <w:p w:rsidR="006602A3" w:rsidRDefault="006602A3" w:rsidP="00287FD8">
      <w:pPr>
        <w:pStyle w:val="ListParagraph"/>
        <w:numPr>
          <w:ilvl w:val="0"/>
          <w:numId w:val="2"/>
        </w:numPr>
      </w:pPr>
      <w:r>
        <w:t>64% of BAME doctors are at Consultant grade. This compares with 52% of White doctors.</w:t>
      </w:r>
    </w:p>
    <w:p w:rsidR="00EB38F5" w:rsidRPr="006602A3" w:rsidRDefault="006602A3" w:rsidP="00EB38F5">
      <w:pPr>
        <w:rPr>
          <w:b/>
        </w:rPr>
      </w:pPr>
      <w:r w:rsidRPr="006602A3">
        <w:rPr>
          <w:b/>
        </w:rPr>
        <w:t>Recommendations</w:t>
      </w:r>
    </w:p>
    <w:p w:rsidR="00D652FB" w:rsidRDefault="00D652FB" w:rsidP="00D652FB">
      <w:r>
        <w:t>It is recommended that the following actions are taken:</w:t>
      </w:r>
    </w:p>
    <w:p w:rsidR="00EB38F5" w:rsidRDefault="00EB38F5" w:rsidP="00D652FB">
      <w:pPr>
        <w:pStyle w:val="ListParagraph"/>
        <w:numPr>
          <w:ilvl w:val="0"/>
          <w:numId w:val="19"/>
        </w:numPr>
      </w:pPr>
      <w:proofErr w:type="gramStart"/>
      <w:r>
        <w:t>a</w:t>
      </w:r>
      <w:proofErr w:type="gramEnd"/>
      <w:r>
        <w:t xml:space="preserve"> review of our recruitment procedures in line with NHS People Plan actions for both external and internal appointments to ensure that bias is removed from the process. We also need to do this in line with the Model Employer targets given to us for WRES in late 2019.</w:t>
      </w:r>
    </w:p>
    <w:p w:rsidR="00EB38F5" w:rsidRDefault="00B222DA" w:rsidP="001F7262">
      <w:pPr>
        <w:pStyle w:val="ListParagraph"/>
        <w:numPr>
          <w:ilvl w:val="0"/>
          <w:numId w:val="2"/>
        </w:numPr>
      </w:pPr>
      <w:proofErr w:type="gramStart"/>
      <w:r>
        <w:t>w</w:t>
      </w:r>
      <w:r w:rsidR="002726E0">
        <w:t>e</w:t>
      </w:r>
      <w:proofErr w:type="gramEnd"/>
      <w:r w:rsidR="002726E0">
        <w:t xml:space="preserve"> take</w:t>
      </w:r>
      <w:r w:rsidR="00EB38F5">
        <w:t xml:space="preserve"> positive action to attract the BAME applicants to non-clinical roles. </w:t>
      </w:r>
    </w:p>
    <w:p w:rsidR="00EB38F5" w:rsidRDefault="00D652FB" w:rsidP="00EB38F5">
      <w:pPr>
        <w:pStyle w:val="ListParagraph"/>
        <w:numPr>
          <w:ilvl w:val="0"/>
          <w:numId w:val="2"/>
        </w:numPr>
      </w:pPr>
      <w:proofErr w:type="gramStart"/>
      <w:r>
        <w:t>w</w:t>
      </w:r>
      <w:r w:rsidR="00EB38F5">
        <w:t>e</w:t>
      </w:r>
      <w:proofErr w:type="gramEnd"/>
      <w:r w:rsidR="00EB38F5">
        <w:t xml:space="preserve"> take positive action to address the glass ceiling at Band 5 for BAME staff in clinical roles. Positive action can take many forms, </w:t>
      </w:r>
      <w:proofErr w:type="spellStart"/>
      <w:r w:rsidR="002726E0">
        <w:t>eg</w:t>
      </w:r>
      <w:proofErr w:type="spellEnd"/>
      <w:r w:rsidR="002726E0">
        <w:t>, o</w:t>
      </w:r>
      <w:r w:rsidR="00EB38F5">
        <w:t>ffering coaching, mentoring</w:t>
      </w:r>
      <w:r w:rsidR="00EB38F5" w:rsidRPr="003F5EED">
        <w:t xml:space="preserve"> and development opportunities</w:t>
      </w:r>
      <w:r w:rsidR="00EB38F5">
        <w:t xml:space="preserve"> to BAME staff</w:t>
      </w:r>
      <w:r w:rsidR="002726E0">
        <w:t>.</w:t>
      </w:r>
    </w:p>
    <w:p w:rsidR="000A6392" w:rsidRDefault="00EB38F5" w:rsidP="006602A3">
      <w:pPr>
        <w:pStyle w:val="ListParagraph"/>
        <w:numPr>
          <w:ilvl w:val="0"/>
          <w:numId w:val="2"/>
        </w:numPr>
      </w:pPr>
      <w:r>
        <w:lastRenderedPageBreak/>
        <w:t xml:space="preserve">Analysis of the distribution of staff by ethnicity </w:t>
      </w:r>
      <w:r w:rsidR="00D652FB">
        <w:t>to</w:t>
      </w:r>
      <w:r>
        <w:t xml:space="preserve"> be scrutinised at CDT</w:t>
      </w:r>
      <w:r w:rsidR="00D652FB">
        <w:t xml:space="preserve">-Workforce </w:t>
      </w:r>
      <w:r>
        <w:t>on a regular basis</w:t>
      </w:r>
    </w:p>
    <w:p w:rsidR="006602A3" w:rsidRPr="00930E52" w:rsidRDefault="005C7B81" w:rsidP="00930E52">
      <w:pPr>
        <w:ind w:left="720" w:hanging="720"/>
        <w:rPr>
          <w:b/>
        </w:rPr>
      </w:pPr>
      <w:r w:rsidRPr="00930E52">
        <w:rPr>
          <w:b/>
        </w:rPr>
        <w:t>(2)</w:t>
      </w:r>
      <w:r w:rsidRPr="00930E52">
        <w:rPr>
          <w:b/>
        </w:rPr>
        <w:tab/>
        <w:t>Relative likelihood of staff being appointed from shortlisting across all posts</w:t>
      </w:r>
    </w:p>
    <w:p w:rsidR="00930E52" w:rsidRDefault="000A6392" w:rsidP="00930E52">
      <w:pPr>
        <w:pStyle w:val="ListParagraph"/>
        <w:numPr>
          <w:ilvl w:val="0"/>
          <w:numId w:val="15"/>
        </w:numPr>
      </w:pPr>
      <w:r>
        <w:t>1</w:t>
      </w:r>
      <w:r w:rsidR="00D652FB">
        <w:t>,</w:t>
      </w:r>
      <w:r>
        <w:t>072 BAME applicants were shortlisted. Of those shortlisted 70 were appointed.</w:t>
      </w:r>
    </w:p>
    <w:p w:rsidR="00930E52" w:rsidRDefault="00930E52" w:rsidP="00930E52">
      <w:pPr>
        <w:pStyle w:val="ListParagraph"/>
        <w:numPr>
          <w:ilvl w:val="0"/>
          <w:numId w:val="15"/>
        </w:numPr>
      </w:pPr>
      <w:r>
        <w:t>5</w:t>
      </w:r>
      <w:r w:rsidR="00D652FB">
        <w:t>,</w:t>
      </w:r>
      <w:r>
        <w:t>354 White applicants were shortlisted. Of those shortlisted 1</w:t>
      </w:r>
      <w:r w:rsidR="002726E0">
        <w:t>,</w:t>
      </w:r>
      <w:r>
        <w:t>0</w:t>
      </w:r>
      <w:r w:rsidR="002726E0">
        <w:t>18</w:t>
      </w:r>
      <w:r>
        <w:t xml:space="preserve"> were appointed.</w:t>
      </w:r>
    </w:p>
    <w:p w:rsidR="00384064" w:rsidRDefault="00384064" w:rsidP="00930E52">
      <w:pPr>
        <w:pStyle w:val="ListParagraph"/>
        <w:numPr>
          <w:ilvl w:val="0"/>
          <w:numId w:val="15"/>
        </w:numPr>
      </w:pPr>
      <w:r>
        <w:t>White job applicants are nearly 3 times more likely to be appointed from shortlisting compare</w:t>
      </w:r>
      <w:r w:rsidR="00D652FB">
        <w:t>d</w:t>
      </w:r>
      <w:r>
        <w:t xml:space="preserve"> to BAME applicants.</w:t>
      </w:r>
    </w:p>
    <w:p w:rsidR="008D7869" w:rsidRDefault="008D7869" w:rsidP="008D7869">
      <w:pPr>
        <w:rPr>
          <w:b/>
        </w:rPr>
      </w:pPr>
      <w:r w:rsidRPr="003A0E97">
        <w:rPr>
          <w:b/>
        </w:rPr>
        <w:t>Recommendation</w:t>
      </w:r>
      <w:r w:rsidR="002726E0">
        <w:rPr>
          <w:b/>
        </w:rPr>
        <w:t>s</w:t>
      </w:r>
    </w:p>
    <w:p w:rsidR="00D652FB" w:rsidRPr="00D652FB" w:rsidRDefault="00D652FB" w:rsidP="008D7869">
      <w:r w:rsidRPr="00D652FB">
        <w:t>It is recommended the following actions are taken:</w:t>
      </w:r>
    </w:p>
    <w:p w:rsidR="00D652FB" w:rsidRDefault="002726E0" w:rsidP="00215DE3">
      <w:pPr>
        <w:pStyle w:val="ListParagraph"/>
        <w:numPr>
          <w:ilvl w:val="0"/>
          <w:numId w:val="4"/>
        </w:numPr>
        <w:ind w:left="426" w:hanging="426"/>
      </w:pPr>
      <w:proofErr w:type="gramStart"/>
      <w:r>
        <w:t>a</w:t>
      </w:r>
      <w:proofErr w:type="gramEnd"/>
      <w:r>
        <w:t xml:space="preserve"> review of our recruitment </w:t>
      </w:r>
      <w:r>
        <w:t xml:space="preserve">and promotion </w:t>
      </w:r>
      <w:r>
        <w:t xml:space="preserve">procedures in line with NHS People </w:t>
      </w:r>
      <w:r>
        <w:t xml:space="preserve">Plan </w:t>
      </w:r>
      <w:r w:rsidR="00D652FB">
        <w:t xml:space="preserve">to ensure </w:t>
      </w:r>
      <w:r w:rsidR="008D7869">
        <w:t>that staffing reflects the diversity of the community and regional and national labour markets.</w:t>
      </w:r>
      <w:r w:rsidR="00930E52">
        <w:t xml:space="preserve"> This will need to consider equality and diversity training beyond the statutory requirement for recruitment panel </w:t>
      </w:r>
      <w:r>
        <w:t>members.</w:t>
      </w:r>
    </w:p>
    <w:p w:rsidR="002878F6" w:rsidRDefault="002726E0" w:rsidP="002726E0">
      <w:pPr>
        <w:pStyle w:val="ListParagraph"/>
        <w:numPr>
          <w:ilvl w:val="0"/>
          <w:numId w:val="4"/>
        </w:numPr>
        <w:ind w:left="426" w:hanging="426"/>
      </w:pPr>
      <w:proofErr w:type="gramStart"/>
      <w:r>
        <w:t>p</w:t>
      </w:r>
      <w:r w:rsidR="002878F6">
        <w:t>ositive</w:t>
      </w:r>
      <w:proofErr w:type="gramEnd"/>
      <w:r w:rsidR="002878F6">
        <w:t xml:space="preserve"> action</w:t>
      </w:r>
      <w:r w:rsidR="005758C1">
        <w:t xml:space="preserve"> </w:t>
      </w:r>
      <w:r w:rsidR="002878F6">
        <w:t xml:space="preserve">to encourage applications and coaching of existing BAME staff looking to progress in their careers. Best practice has been identified from the WRES National Report and will be used to develop our approach to </w:t>
      </w:r>
      <w:proofErr w:type="gramStart"/>
      <w:r w:rsidR="002878F6">
        <w:t>meet</w:t>
      </w:r>
      <w:proofErr w:type="gramEnd"/>
      <w:r w:rsidR="002878F6">
        <w:t xml:space="preserve"> this NHS People Plan action.</w:t>
      </w:r>
    </w:p>
    <w:p w:rsidR="008D7869" w:rsidRPr="002878F6" w:rsidRDefault="008D7869" w:rsidP="002878F6">
      <w:pPr>
        <w:ind w:left="720" w:hanging="720"/>
        <w:rPr>
          <w:b/>
        </w:rPr>
      </w:pPr>
      <w:r w:rsidRPr="002878F6">
        <w:rPr>
          <w:b/>
        </w:rPr>
        <w:t>(3)</w:t>
      </w:r>
      <w:r w:rsidRPr="002878F6">
        <w:rPr>
          <w:b/>
        </w:rPr>
        <w:tab/>
        <w:t>Relative likelihood of staff entering the formal disciplinary process, as measured by entry into a formal disciplinary investigation</w:t>
      </w:r>
    </w:p>
    <w:p w:rsidR="008D7869" w:rsidRDefault="008D7869" w:rsidP="002726E0">
      <w:pPr>
        <w:pStyle w:val="ListParagraph"/>
        <w:numPr>
          <w:ilvl w:val="0"/>
          <w:numId w:val="4"/>
        </w:numPr>
        <w:ind w:left="426" w:hanging="426"/>
      </w:pPr>
      <w:r>
        <w:t>From a position of almost parity in 2019, we have reverted back to the trend we have seen in previous years where a BAME member of staff is two and a half times more likely to enter the formal disciplinary process compared to a White member of staff.</w:t>
      </w:r>
    </w:p>
    <w:p w:rsidR="008D7869" w:rsidRDefault="008D7869" w:rsidP="008D7869">
      <w:pPr>
        <w:rPr>
          <w:b/>
        </w:rPr>
      </w:pPr>
      <w:r w:rsidRPr="003A0E97">
        <w:rPr>
          <w:b/>
        </w:rPr>
        <w:t>Recommendations</w:t>
      </w:r>
    </w:p>
    <w:p w:rsidR="00D652FB" w:rsidRPr="00D652FB" w:rsidRDefault="00D652FB" w:rsidP="008D7869">
      <w:r w:rsidRPr="00D652FB">
        <w:t>It is recommended the following actions are taken:</w:t>
      </w:r>
    </w:p>
    <w:p w:rsidR="008D7869" w:rsidRDefault="00390BBC" w:rsidP="00390BBC">
      <w:pPr>
        <w:pStyle w:val="ListParagraph"/>
        <w:numPr>
          <w:ilvl w:val="0"/>
          <w:numId w:val="4"/>
        </w:numPr>
        <w:ind w:left="426" w:hanging="426"/>
      </w:pPr>
      <w:proofErr w:type="gramStart"/>
      <w:r>
        <w:t>e</w:t>
      </w:r>
      <w:r w:rsidR="003A0E97">
        <w:t>arly</w:t>
      </w:r>
      <w:proofErr w:type="gramEnd"/>
      <w:r w:rsidR="003A0E97">
        <w:t xml:space="preserve"> evidence suggests that the Cultural Ambassador role introduced this year will have a positive impact on the above figures. For the impact of the role to be fully realised we need to involve the Cultural Ambassador from </w:t>
      </w:r>
      <w:r w:rsidR="00931A56">
        <w:t xml:space="preserve">the </w:t>
      </w:r>
      <w:r w:rsidR="003A0E97">
        <w:t xml:space="preserve">start of a fact find process to ideally remove the need for a formal procedure. </w:t>
      </w:r>
    </w:p>
    <w:p w:rsidR="003A0E97" w:rsidRDefault="00174B92" w:rsidP="00390BBC">
      <w:pPr>
        <w:pStyle w:val="ListParagraph"/>
        <w:numPr>
          <w:ilvl w:val="0"/>
          <w:numId w:val="4"/>
        </w:numPr>
        <w:ind w:left="426" w:hanging="426"/>
      </w:pPr>
      <w:proofErr w:type="gramStart"/>
      <w:r>
        <w:t>to</w:t>
      </w:r>
      <w:proofErr w:type="gramEnd"/>
      <w:r>
        <w:t xml:space="preserve"> attract </w:t>
      </w:r>
      <w:r w:rsidR="00390BBC">
        <w:t xml:space="preserve">and train </w:t>
      </w:r>
      <w:r w:rsidR="003A0E97">
        <w:t>more Cultural Ambassadors.</w:t>
      </w:r>
    </w:p>
    <w:p w:rsidR="003A0E97" w:rsidRDefault="00390BBC" w:rsidP="00390BBC">
      <w:pPr>
        <w:pStyle w:val="ListParagraph"/>
        <w:numPr>
          <w:ilvl w:val="0"/>
          <w:numId w:val="4"/>
        </w:numPr>
        <w:ind w:left="426" w:hanging="426"/>
      </w:pPr>
      <w:proofErr w:type="gramStart"/>
      <w:r>
        <w:t>i</w:t>
      </w:r>
      <w:r w:rsidR="003A0E97">
        <w:t>n</w:t>
      </w:r>
      <w:proofErr w:type="gramEnd"/>
      <w:r w:rsidR="003A0E97">
        <w:t xml:space="preserve"> line with the NHS People Plan we should adopt NHSEI toolkits upon their introduction to </w:t>
      </w:r>
      <w:r>
        <w:t xml:space="preserve">support this area of action.  </w:t>
      </w:r>
    </w:p>
    <w:p w:rsidR="003A0E97" w:rsidRPr="00675287" w:rsidRDefault="003A0E97" w:rsidP="003A0E97">
      <w:pPr>
        <w:rPr>
          <w:b/>
        </w:rPr>
      </w:pPr>
      <w:r w:rsidRPr="00675287">
        <w:rPr>
          <w:b/>
        </w:rPr>
        <w:t>(4)</w:t>
      </w:r>
      <w:r w:rsidRPr="00675287">
        <w:rPr>
          <w:b/>
        </w:rPr>
        <w:tab/>
        <w:t>Relative likelihood of staff accessing non-mandatory training and CPD</w:t>
      </w:r>
    </w:p>
    <w:p w:rsidR="004A3A61" w:rsidRDefault="004A3A61" w:rsidP="00174B92">
      <w:pPr>
        <w:pStyle w:val="ListParagraph"/>
        <w:numPr>
          <w:ilvl w:val="0"/>
          <w:numId w:val="5"/>
        </w:numPr>
      </w:pPr>
      <w:r>
        <w:t xml:space="preserve">The data shows that BAME staff are </w:t>
      </w:r>
      <w:r w:rsidR="00675287">
        <w:t xml:space="preserve">1.5 times </w:t>
      </w:r>
      <w:r>
        <w:t>more likely than White staff to access non mandatory training.</w:t>
      </w:r>
      <w:r w:rsidR="002878F6">
        <w:t xml:space="preserve"> This is a reversal </w:t>
      </w:r>
      <w:r w:rsidR="00675287">
        <w:t>on the 2019</w:t>
      </w:r>
      <w:r w:rsidR="00390BBC">
        <w:t xml:space="preserve"> figures</w:t>
      </w:r>
      <w:r w:rsidR="00675287">
        <w:t>, where White staff were 2.4 times more likely than BAME staff to access non-mandatory training.</w:t>
      </w:r>
      <w:r w:rsidR="00174B92">
        <w:t xml:space="preserve"> </w:t>
      </w:r>
    </w:p>
    <w:p w:rsidR="00675287" w:rsidRDefault="004A3A61" w:rsidP="00433E12">
      <w:pPr>
        <w:pStyle w:val="ListParagraph"/>
        <w:numPr>
          <w:ilvl w:val="0"/>
          <w:numId w:val="5"/>
        </w:numPr>
      </w:pPr>
      <w:r>
        <w:lastRenderedPageBreak/>
        <w:t>In the WRES annual report NHS England noted that o</w:t>
      </w:r>
      <w:r w:rsidRPr="004A3A61">
        <w:t>rganisations are still not keeping accurate and up-to-date records o</w:t>
      </w:r>
      <w:r w:rsidR="00931A56">
        <w:t>f</w:t>
      </w:r>
      <w:r w:rsidRPr="004A3A61">
        <w:t xml:space="preserve"> non-mandatory training. However, this indicator is still a useful proxy for understanding the level of fairness by which staff are treated when it comes</w:t>
      </w:r>
      <w:r w:rsidR="00390BBC">
        <w:t xml:space="preserve"> to</w:t>
      </w:r>
      <w:r w:rsidRPr="004A3A61">
        <w:t xml:space="preserve"> non–mandatory training and CPD</w:t>
      </w:r>
      <w:r>
        <w:t xml:space="preserve">. </w:t>
      </w:r>
    </w:p>
    <w:p w:rsidR="00675287" w:rsidRDefault="00675287" w:rsidP="00675287">
      <w:pPr>
        <w:rPr>
          <w:b/>
        </w:rPr>
      </w:pPr>
      <w:r w:rsidRPr="00675287">
        <w:rPr>
          <w:b/>
        </w:rPr>
        <w:t>Recommendation</w:t>
      </w:r>
    </w:p>
    <w:p w:rsidR="00174B92" w:rsidRPr="00174B92" w:rsidRDefault="00174B92" w:rsidP="00675287">
      <w:r w:rsidRPr="00174B92">
        <w:t xml:space="preserve">It is recommended that the following </w:t>
      </w:r>
      <w:r w:rsidR="00390BBC">
        <w:t xml:space="preserve">action is </w:t>
      </w:r>
      <w:r w:rsidRPr="00174B92">
        <w:t>taken:</w:t>
      </w:r>
    </w:p>
    <w:p w:rsidR="00433E12" w:rsidRPr="00390BBC" w:rsidRDefault="00390BBC" w:rsidP="00174B92">
      <w:pPr>
        <w:pStyle w:val="ListParagraph"/>
        <w:numPr>
          <w:ilvl w:val="0"/>
          <w:numId w:val="21"/>
        </w:numPr>
      </w:pPr>
      <w:r>
        <w:t xml:space="preserve">Review of process to ensure that </w:t>
      </w:r>
      <w:r w:rsidR="00931A56">
        <w:t xml:space="preserve">all </w:t>
      </w:r>
      <w:r>
        <w:t xml:space="preserve">CPD information is captured in the Electronic </w:t>
      </w:r>
      <w:r w:rsidR="00BD62A5" w:rsidRPr="00390BBC">
        <w:t xml:space="preserve"> Staff Record</w:t>
      </w:r>
    </w:p>
    <w:p w:rsidR="00433E12" w:rsidRDefault="00A27531" w:rsidP="00433E12">
      <w:pPr>
        <w:rPr>
          <w:b/>
        </w:rPr>
      </w:pPr>
      <w:r>
        <w:rPr>
          <w:b/>
        </w:rPr>
        <w:t xml:space="preserve">(5-8) </w:t>
      </w:r>
      <w:r>
        <w:rPr>
          <w:b/>
        </w:rPr>
        <w:tab/>
      </w:r>
      <w:r w:rsidR="00433E12" w:rsidRPr="003C6717">
        <w:rPr>
          <w:b/>
        </w:rPr>
        <w:t>Staff Survey Metrics</w:t>
      </w:r>
    </w:p>
    <w:p w:rsidR="00675287" w:rsidRDefault="00675287" w:rsidP="00433E12">
      <w:r>
        <w:t xml:space="preserve">The WRES submission contains 4 metrics that are based on staff survey questions. </w:t>
      </w:r>
    </w:p>
    <w:p w:rsidR="00675287" w:rsidRDefault="00675287" w:rsidP="00675287">
      <w:pPr>
        <w:pStyle w:val="ListParagraph"/>
        <w:numPr>
          <w:ilvl w:val="0"/>
          <w:numId w:val="16"/>
        </w:numPr>
      </w:pPr>
      <w:r>
        <w:t>2 on bullying harassment or abuse – patient/staff</w:t>
      </w:r>
    </w:p>
    <w:p w:rsidR="00675287" w:rsidRDefault="00675287" w:rsidP="00675287">
      <w:pPr>
        <w:pStyle w:val="ListParagraph"/>
        <w:numPr>
          <w:ilvl w:val="0"/>
          <w:numId w:val="16"/>
        </w:numPr>
      </w:pPr>
      <w:r>
        <w:t xml:space="preserve">1 on the belief that the Trust provides equal opportunities </w:t>
      </w:r>
    </w:p>
    <w:p w:rsidR="00675287" w:rsidRPr="00675287" w:rsidRDefault="00675287" w:rsidP="00675287">
      <w:pPr>
        <w:pStyle w:val="ListParagraph"/>
        <w:numPr>
          <w:ilvl w:val="0"/>
          <w:numId w:val="16"/>
        </w:numPr>
      </w:pPr>
      <w:r>
        <w:t>1 on experiencing discrimination from managers.</w:t>
      </w:r>
    </w:p>
    <w:p w:rsidR="003C6717" w:rsidRDefault="00174B92" w:rsidP="00784E39">
      <w:r>
        <w:t xml:space="preserve">These metrics were discussed </w:t>
      </w:r>
      <w:r w:rsidR="00784E39">
        <w:t xml:space="preserve">at the March Trust Board. </w:t>
      </w:r>
      <w:r w:rsidR="00390BBC">
        <w:t xml:space="preserve">The </w:t>
      </w:r>
      <w:r w:rsidR="00784E39">
        <w:t>data for BAME staff show</w:t>
      </w:r>
      <w:r w:rsidR="00390BBC">
        <w:t>s</w:t>
      </w:r>
      <w:r w:rsidR="00784E39">
        <w:t xml:space="preserve"> that results are typically average by comparison with other Mental Health and Learning Disability Trusts</w:t>
      </w:r>
      <w:r w:rsidR="00390BBC">
        <w:t xml:space="preserve">.  However, </w:t>
      </w:r>
      <w:r w:rsidR="00A27531">
        <w:t>when compared against the results for White staff a</w:t>
      </w:r>
      <w:r w:rsidR="003C6717">
        <w:t>ll of these metrics show a gap between the experience of BAME and White staff</w:t>
      </w:r>
      <w:r w:rsidR="00390BBC">
        <w:t xml:space="preserve">.  </w:t>
      </w:r>
      <w:r w:rsidR="003C6717">
        <w:t xml:space="preserve"> </w:t>
      </w:r>
    </w:p>
    <w:p w:rsidR="003C6717" w:rsidRDefault="003C6717" w:rsidP="003C6717">
      <w:pPr>
        <w:rPr>
          <w:b/>
        </w:rPr>
      </w:pPr>
      <w:r w:rsidRPr="00AA7025">
        <w:rPr>
          <w:b/>
        </w:rPr>
        <w:t>Recommendations</w:t>
      </w:r>
    </w:p>
    <w:p w:rsidR="00174B92" w:rsidRPr="00174B92" w:rsidRDefault="00174B92" w:rsidP="003C6717">
      <w:r w:rsidRPr="00174B92">
        <w:t>It is recommended that the following actions are taken:</w:t>
      </w:r>
    </w:p>
    <w:p w:rsidR="00390BBC" w:rsidRDefault="00931A56" w:rsidP="00AA7025">
      <w:pPr>
        <w:pStyle w:val="ListParagraph"/>
        <w:numPr>
          <w:ilvl w:val="0"/>
          <w:numId w:val="6"/>
        </w:numPr>
      </w:pPr>
      <w:proofErr w:type="gramStart"/>
      <w:r>
        <w:t>i</w:t>
      </w:r>
      <w:r w:rsidR="00AA7025">
        <w:t>n</w:t>
      </w:r>
      <w:proofErr w:type="gramEnd"/>
      <w:r w:rsidR="00AA7025">
        <w:t xml:space="preserve"> line with the NHS People Plan we </w:t>
      </w:r>
      <w:r w:rsidR="000D0654">
        <w:t>develop plans</w:t>
      </w:r>
      <w:r w:rsidR="00AA7025">
        <w:t xml:space="preserve"> to prevent and tackle bullying, harassment and abuse against staff and create a c</w:t>
      </w:r>
      <w:r w:rsidR="00390BBC">
        <w:t>ulture of civility and respect.</w:t>
      </w:r>
    </w:p>
    <w:p w:rsidR="00017BEB" w:rsidRDefault="00390BBC" w:rsidP="00AA7025">
      <w:pPr>
        <w:pStyle w:val="ListParagraph"/>
        <w:numPr>
          <w:ilvl w:val="0"/>
          <w:numId w:val="6"/>
        </w:numPr>
      </w:pPr>
      <w:r>
        <w:t>N</w:t>
      </w:r>
      <w:r w:rsidR="00AA7025">
        <w:t>HSEI is launching a toolkit on civility and respect for all</w:t>
      </w:r>
      <w:r>
        <w:t xml:space="preserve"> and once published this should be </w:t>
      </w:r>
      <w:r w:rsidR="00AA7025">
        <w:t>implemented at the earliest possible opportunity.</w:t>
      </w:r>
      <w:r w:rsidR="000D0654">
        <w:t xml:space="preserve"> We should also work with our Staff Network on these developments.</w:t>
      </w:r>
    </w:p>
    <w:p w:rsidR="00DB1C9E" w:rsidRDefault="00931A56" w:rsidP="005758C1">
      <w:pPr>
        <w:pStyle w:val="ListParagraph"/>
        <w:numPr>
          <w:ilvl w:val="0"/>
          <w:numId w:val="6"/>
        </w:numPr>
      </w:pPr>
      <w:proofErr w:type="gramStart"/>
      <w:r>
        <w:t>o</w:t>
      </w:r>
      <w:r w:rsidR="00924F12">
        <w:t>verhaul</w:t>
      </w:r>
      <w:proofErr w:type="gramEnd"/>
      <w:r w:rsidR="00924F12">
        <w:t xml:space="preserve"> recruitment and promotion practices </w:t>
      </w:r>
      <w:r w:rsidR="00174B92">
        <w:t>as outlined above.</w:t>
      </w:r>
    </w:p>
    <w:p w:rsidR="000D0654" w:rsidRPr="002E057C" w:rsidRDefault="000D0654" w:rsidP="002E057C">
      <w:pPr>
        <w:ind w:left="720" w:hanging="720"/>
        <w:rPr>
          <w:b/>
        </w:rPr>
      </w:pPr>
      <w:r w:rsidRPr="002E057C">
        <w:rPr>
          <w:b/>
        </w:rPr>
        <w:t>(9)</w:t>
      </w:r>
      <w:r w:rsidRPr="002E057C">
        <w:rPr>
          <w:b/>
        </w:rPr>
        <w:tab/>
        <w:t>Percentage difference between the organisations’ Board voting membership and its overall workforce. Note: Only voting members of the Board should be included when considering this indicator. For this indicator, compare the difference for White and BME staff</w:t>
      </w:r>
    </w:p>
    <w:p w:rsidR="000D0654" w:rsidRDefault="000D0654" w:rsidP="002E057C">
      <w:pPr>
        <w:pStyle w:val="ListParagraph"/>
        <w:numPr>
          <w:ilvl w:val="0"/>
          <w:numId w:val="7"/>
        </w:numPr>
      </w:pPr>
      <w:r>
        <w:t>The Board is more representative of the population than the overall workfo</w:t>
      </w:r>
      <w:r w:rsidR="007B46E1">
        <w:t>rce.</w:t>
      </w:r>
      <w:r w:rsidR="00A27531">
        <w:t xml:space="preserve"> BAME representation is at 7%, compared to the overall figure of 5% for the Trust.</w:t>
      </w:r>
      <w:r w:rsidR="002E057C">
        <w:t xml:space="preserve"> In the National 2019 WRES Report, the p</w:t>
      </w:r>
      <w:r w:rsidR="002E057C" w:rsidRPr="002E057C">
        <w:t>roportion of B</w:t>
      </w:r>
      <w:r w:rsidR="002E057C">
        <w:t>A</w:t>
      </w:r>
      <w:r w:rsidR="002E057C" w:rsidRPr="002E057C">
        <w:t xml:space="preserve">ME </w:t>
      </w:r>
      <w:r w:rsidR="00174B92">
        <w:t>B</w:t>
      </w:r>
      <w:r w:rsidR="002E057C" w:rsidRPr="002E057C">
        <w:t xml:space="preserve">oard members </w:t>
      </w:r>
      <w:r w:rsidR="002E057C">
        <w:t>for Mental Health Trusts was 11.9%.</w:t>
      </w:r>
      <w:r w:rsidR="004D601A">
        <w:t xml:space="preserve"> Across the North East the average for BAME representation at Board level was 5.8%.</w:t>
      </w:r>
    </w:p>
    <w:p w:rsidR="004D601A" w:rsidRDefault="004D601A" w:rsidP="004D601A">
      <w:pPr>
        <w:rPr>
          <w:b/>
        </w:rPr>
      </w:pPr>
      <w:r>
        <w:rPr>
          <w:b/>
        </w:rPr>
        <w:t>Recommendation</w:t>
      </w:r>
    </w:p>
    <w:p w:rsidR="00174B92" w:rsidRPr="00174B92" w:rsidRDefault="00174B92" w:rsidP="004D601A">
      <w:r w:rsidRPr="00174B92">
        <w:t>It is recommended that the following action is taken:</w:t>
      </w:r>
    </w:p>
    <w:p w:rsidR="004D601A" w:rsidRDefault="00390BBC" w:rsidP="001F7262">
      <w:pPr>
        <w:pStyle w:val="ListParagraph"/>
        <w:numPr>
          <w:ilvl w:val="0"/>
          <w:numId w:val="7"/>
        </w:numPr>
      </w:pPr>
      <w:proofErr w:type="gramStart"/>
      <w:r>
        <w:t>t</w:t>
      </w:r>
      <w:r w:rsidR="00174B92">
        <w:t>hat</w:t>
      </w:r>
      <w:proofErr w:type="gramEnd"/>
      <w:r w:rsidR="00174B92">
        <w:t xml:space="preserve"> a review of Board level recruitment practices is undertaken.  </w:t>
      </w:r>
    </w:p>
    <w:p w:rsidR="00E070E9" w:rsidRDefault="00E070E9" w:rsidP="00E070E9">
      <w:pPr>
        <w:pStyle w:val="ListParagraph"/>
        <w:ind w:left="360"/>
      </w:pPr>
    </w:p>
    <w:p w:rsidR="007B46E1" w:rsidRPr="006B0607" w:rsidRDefault="006B0607" w:rsidP="006B0607">
      <w:pPr>
        <w:pStyle w:val="ListParagraph"/>
        <w:ind w:left="0"/>
        <w:rPr>
          <w:b/>
        </w:rPr>
      </w:pPr>
      <w:r w:rsidRPr="006B0607">
        <w:rPr>
          <w:b/>
        </w:rPr>
        <w:t>Workforce Disability Equality Standard (WDES)</w:t>
      </w:r>
    </w:p>
    <w:p w:rsidR="004D601A" w:rsidRDefault="004D601A" w:rsidP="004D601A">
      <w:r w:rsidRPr="004D601A">
        <w:t xml:space="preserve">Please see </w:t>
      </w:r>
      <w:r w:rsidR="00931A56">
        <w:t>A</w:t>
      </w:r>
      <w:r w:rsidRPr="004D601A">
        <w:t xml:space="preserve">ppendix </w:t>
      </w:r>
      <w:r>
        <w:t>2</w:t>
      </w:r>
      <w:r w:rsidRPr="004D601A">
        <w:t xml:space="preserve"> for W</w:t>
      </w:r>
      <w:r>
        <w:t>D</w:t>
      </w:r>
      <w:r w:rsidRPr="004D601A">
        <w:t>ES data tables.</w:t>
      </w:r>
    </w:p>
    <w:p w:rsidR="001C2B8C" w:rsidRDefault="006B0607" w:rsidP="001C2B8C">
      <w:pPr>
        <w:ind w:left="720" w:hanging="720"/>
      </w:pPr>
      <w:r w:rsidRPr="004D601A">
        <w:rPr>
          <w:b/>
        </w:rPr>
        <w:t>(1)</w:t>
      </w:r>
      <w:r w:rsidRPr="004D601A">
        <w:rPr>
          <w:b/>
        </w:rPr>
        <w:tab/>
        <w:t xml:space="preserve">Percentage of staff in </w:t>
      </w:r>
      <w:proofErr w:type="spellStart"/>
      <w:r w:rsidRPr="004D601A">
        <w:rPr>
          <w:b/>
        </w:rPr>
        <w:t>AfC</w:t>
      </w:r>
      <w:proofErr w:type="spellEnd"/>
      <w:r w:rsidRPr="004D601A">
        <w:rPr>
          <w:b/>
        </w:rPr>
        <w:t xml:space="preserve"> pay-bands or medical and dental subgroups and very senior managers (including Executive Board members) compared with the percentage of</w:t>
      </w:r>
      <w:r w:rsidR="004D601A">
        <w:rPr>
          <w:b/>
        </w:rPr>
        <w:t xml:space="preserve"> staff in the overall workforce</w:t>
      </w:r>
    </w:p>
    <w:p w:rsidR="00174B92" w:rsidRDefault="00174B92" w:rsidP="001F7262">
      <w:pPr>
        <w:pStyle w:val="ListParagraph"/>
        <w:numPr>
          <w:ilvl w:val="0"/>
          <w:numId w:val="8"/>
        </w:numPr>
      </w:pPr>
      <w:r>
        <w:t>According to the information held in ESR, t</w:t>
      </w:r>
      <w:r w:rsidR="004D601A">
        <w:t xml:space="preserve">here are 341 </w:t>
      </w:r>
      <w:r w:rsidR="00E76019">
        <w:t>Disabled Staff</w:t>
      </w:r>
      <w:r w:rsidR="004D601A">
        <w:t xml:space="preserve"> employed by the Trust, they make up</w:t>
      </w:r>
      <w:r w:rsidR="00E76019">
        <w:t xml:space="preserve"> 5% of the Trust workforce. This figure is considerably lower than </w:t>
      </w:r>
      <w:r>
        <w:t xml:space="preserve">the figure identified </w:t>
      </w:r>
      <w:r w:rsidR="00E76019">
        <w:t xml:space="preserve">through the </w:t>
      </w:r>
      <w:r>
        <w:t xml:space="preserve">NHS </w:t>
      </w:r>
      <w:r w:rsidR="00E76019">
        <w:t>Staff Survey, where regularly up to 20% of our workforce state that they live with a long term condition. The most recent figures for the disabled population of the North East states that 22% of the population meets the criteria for disability as defined by the Equality Act.</w:t>
      </w:r>
      <w:r w:rsidR="004E7392">
        <w:t xml:space="preserve"> </w:t>
      </w:r>
    </w:p>
    <w:p w:rsidR="00E76019" w:rsidRDefault="009A66F7" w:rsidP="001F7262">
      <w:pPr>
        <w:pStyle w:val="ListParagraph"/>
        <w:numPr>
          <w:ilvl w:val="0"/>
          <w:numId w:val="8"/>
        </w:numPr>
      </w:pPr>
      <w:r>
        <w:t>Disabled staff make up 5.9% of our non-clinical workforce.</w:t>
      </w:r>
    </w:p>
    <w:p w:rsidR="009A66F7" w:rsidRDefault="009A66F7" w:rsidP="00E76019">
      <w:pPr>
        <w:pStyle w:val="ListParagraph"/>
        <w:numPr>
          <w:ilvl w:val="0"/>
          <w:numId w:val="8"/>
        </w:numPr>
      </w:pPr>
      <w:r>
        <w:t>80% of Disabled staff in non-clinical roles</w:t>
      </w:r>
      <w:r w:rsidR="004E7392">
        <w:t>,</w:t>
      </w:r>
      <w:r>
        <w:t xml:space="preserve"> are in roles that are Band 5 or below. This compares with 81% for non-disabled staff.</w:t>
      </w:r>
    </w:p>
    <w:p w:rsidR="009A66F7" w:rsidRDefault="009A66F7" w:rsidP="00E76019">
      <w:pPr>
        <w:pStyle w:val="ListParagraph"/>
        <w:numPr>
          <w:ilvl w:val="0"/>
          <w:numId w:val="8"/>
        </w:numPr>
      </w:pPr>
      <w:r>
        <w:t xml:space="preserve">4.9% of Disabled staff are in Bands 8a-d compared with 5.2% of </w:t>
      </w:r>
      <w:r w:rsidR="004E7392">
        <w:t>non-disabled staff.</w:t>
      </w:r>
    </w:p>
    <w:p w:rsidR="004E7392" w:rsidRDefault="004E7392" w:rsidP="00E76019">
      <w:pPr>
        <w:pStyle w:val="ListParagraph"/>
        <w:numPr>
          <w:ilvl w:val="0"/>
          <w:numId w:val="8"/>
        </w:numPr>
      </w:pPr>
      <w:r>
        <w:t>Disabled staff make up 4.9% of our clinical workforce.</w:t>
      </w:r>
    </w:p>
    <w:p w:rsidR="004E7392" w:rsidRDefault="004E7392" w:rsidP="00E76019">
      <w:pPr>
        <w:pStyle w:val="ListParagraph"/>
        <w:numPr>
          <w:ilvl w:val="0"/>
          <w:numId w:val="8"/>
        </w:numPr>
      </w:pPr>
      <w:r>
        <w:t>55% of Disabled staff in clinical roles, are in roles that are Band 5 or below. This compares with 51% of the non-disabled workforce in clinical roles.</w:t>
      </w:r>
    </w:p>
    <w:p w:rsidR="004E7392" w:rsidRDefault="00770510" w:rsidP="00E76019">
      <w:pPr>
        <w:pStyle w:val="ListParagraph"/>
        <w:numPr>
          <w:ilvl w:val="0"/>
          <w:numId w:val="8"/>
        </w:numPr>
      </w:pPr>
      <w:r>
        <w:t>4% of Disabled staff in clinical roles are employed in Bands 8a-d. This compares with 8% of non-disabled staff.</w:t>
      </w:r>
    </w:p>
    <w:p w:rsidR="00770510" w:rsidRDefault="00770510" w:rsidP="00E76019">
      <w:pPr>
        <w:pStyle w:val="ListParagraph"/>
        <w:numPr>
          <w:ilvl w:val="0"/>
          <w:numId w:val="8"/>
        </w:numPr>
      </w:pPr>
      <w:r>
        <w:t>Disabled staff are 3.5% of the medical workforce.</w:t>
      </w:r>
    </w:p>
    <w:p w:rsidR="00770510" w:rsidRDefault="00770510" w:rsidP="00E76019">
      <w:pPr>
        <w:pStyle w:val="ListParagraph"/>
        <w:numPr>
          <w:ilvl w:val="0"/>
          <w:numId w:val="8"/>
        </w:numPr>
      </w:pPr>
      <w:r>
        <w:t>55% of Disabled Doctors are at Consultant grade. This compares with 60% for non-disabled Doctors at Consultant grade.</w:t>
      </w:r>
    </w:p>
    <w:p w:rsidR="006B0607" w:rsidRDefault="006B0607" w:rsidP="00793AC4">
      <w:pPr>
        <w:pStyle w:val="ListParagraph"/>
      </w:pPr>
    </w:p>
    <w:p w:rsidR="00770510" w:rsidRDefault="00770510" w:rsidP="00770510">
      <w:pPr>
        <w:pStyle w:val="ListParagraph"/>
        <w:ind w:left="0"/>
        <w:rPr>
          <w:b/>
        </w:rPr>
      </w:pPr>
      <w:r>
        <w:rPr>
          <w:b/>
        </w:rPr>
        <w:t>Recommendations</w:t>
      </w:r>
    </w:p>
    <w:p w:rsidR="00174B92" w:rsidRDefault="00174B92" w:rsidP="00770510">
      <w:pPr>
        <w:pStyle w:val="ListParagraph"/>
        <w:ind w:left="0"/>
        <w:rPr>
          <w:b/>
        </w:rPr>
      </w:pPr>
    </w:p>
    <w:p w:rsidR="00174B92" w:rsidRDefault="00174B92" w:rsidP="00770510">
      <w:pPr>
        <w:pStyle w:val="ListParagraph"/>
        <w:ind w:left="0"/>
      </w:pPr>
      <w:r w:rsidRPr="00174B92">
        <w:t>It is recommended that the following actions are taken:</w:t>
      </w:r>
    </w:p>
    <w:p w:rsidR="00BE0C32" w:rsidRPr="00174B92" w:rsidRDefault="00BE0C32" w:rsidP="00770510">
      <w:pPr>
        <w:pStyle w:val="ListParagraph"/>
        <w:ind w:left="0"/>
      </w:pPr>
    </w:p>
    <w:p w:rsidR="00770510" w:rsidRDefault="00F931A6" w:rsidP="00770510">
      <w:pPr>
        <w:pStyle w:val="ListParagraph"/>
        <w:numPr>
          <w:ilvl w:val="0"/>
          <w:numId w:val="10"/>
        </w:numPr>
      </w:pPr>
      <w:proofErr w:type="gramStart"/>
      <w:r>
        <w:t>t</w:t>
      </w:r>
      <w:r w:rsidR="00770510">
        <w:t>he</w:t>
      </w:r>
      <w:proofErr w:type="gramEnd"/>
      <w:r w:rsidR="00770510">
        <w:t xml:space="preserve"> findings suggest that there is not a bias against disabled people in terms of distribution across pay band in the Trust. However to be comfortable in making that </w:t>
      </w:r>
      <w:r w:rsidR="00EB1A9F">
        <w:t xml:space="preserve">statement, </w:t>
      </w:r>
      <w:r w:rsidR="00770510">
        <w:t>we need to close the gap of the 20% unknown data. It is recommended as a matter of urgency, using the same approach that we used to address unknown ethnicity data, that we write to all staff whose disability status is unknown</w:t>
      </w:r>
      <w:r w:rsidR="00EB1A9F">
        <w:t xml:space="preserve"> and update the</w:t>
      </w:r>
      <w:r>
        <w:t xml:space="preserve"> information in the system</w:t>
      </w:r>
      <w:r w:rsidR="00EB1A9F">
        <w:t>.</w:t>
      </w:r>
    </w:p>
    <w:p w:rsidR="00EB1A9F" w:rsidRDefault="00F931A6" w:rsidP="00770510">
      <w:pPr>
        <w:pStyle w:val="ListParagraph"/>
        <w:numPr>
          <w:ilvl w:val="0"/>
          <w:numId w:val="10"/>
        </w:numPr>
      </w:pPr>
      <w:proofErr w:type="gramStart"/>
      <w:r>
        <w:t>u</w:t>
      </w:r>
      <w:r w:rsidR="00EB1A9F">
        <w:t>pon</w:t>
      </w:r>
      <w:proofErr w:type="gramEnd"/>
      <w:r w:rsidR="00EB1A9F">
        <w:t xml:space="preserve"> receiving an update we should run this report again later this autumn to assess the true picture.</w:t>
      </w:r>
    </w:p>
    <w:p w:rsidR="00EB1A9F" w:rsidRDefault="00F931A6" w:rsidP="00770510">
      <w:pPr>
        <w:pStyle w:val="ListParagraph"/>
        <w:numPr>
          <w:ilvl w:val="0"/>
          <w:numId w:val="10"/>
        </w:numPr>
      </w:pPr>
      <w:proofErr w:type="gramStart"/>
      <w:r>
        <w:t>t</w:t>
      </w:r>
      <w:r w:rsidR="00EB1A9F">
        <w:t>o</w:t>
      </w:r>
      <w:proofErr w:type="gramEnd"/>
      <w:r w:rsidR="00EB1A9F">
        <w:t xml:space="preserve"> ensure that the over</w:t>
      </w:r>
      <w:r w:rsidR="0099274B">
        <w:t>haul</w:t>
      </w:r>
      <w:r w:rsidR="00EB1A9F">
        <w:t xml:space="preserve"> of the recruitment procedure as required by the NHS People Plan follows best practice for employing Disabled people</w:t>
      </w:r>
      <w:r w:rsidR="006D751C">
        <w:t>.</w:t>
      </w:r>
    </w:p>
    <w:p w:rsidR="00926B03" w:rsidRPr="00AD12DA" w:rsidRDefault="00926B03" w:rsidP="00926B03">
      <w:pPr>
        <w:ind w:left="720" w:hanging="720"/>
        <w:rPr>
          <w:b/>
        </w:rPr>
      </w:pPr>
      <w:r w:rsidRPr="00AD12DA">
        <w:rPr>
          <w:b/>
        </w:rPr>
        <w:t>(2)</w:t>
      </w:r>
      <w:r w:rsidRPr="00AD12DA">
        <w:rPr>
          <w:b/>
        </w:rPr>
        <w:tab/>
        <w:t>Relative likelihood of non-disabled staff compared to Disabled staff being appointed from shortlisting across all posts.</w:t>
      </w:r>
    </w:p>
    <w:p w:rsidR="00AD12DA" w:rsidRDefault="00AD12DA" w:rsidP="00926B03">
      <w:pPr>
        <w:pStyle w:val="ListParagraph"/>
        <w:numPr>
          <w:ilvl w:val="0"/>
          <w:numId w:val="10"/>
        </w:numPr>
      </w:pPr>
      <w:r>
        <w:t>447 Disabled applicants were shortlisted. Of those 70 (15.7%) were appointed.</w:t>
      </w:r>
    </w:p>
    <w:p w:rsidR="00AD12DA" w:rsidRDefault="00AD12DA" w:rsidP="00926B03">
      <w:pPr>
        <w:pStyle w:val="ListParagraph"/>
        <w:numPr>
          <w:ilvl w:val="0"/>
          <w:numId w:val="10"/>
        </w:numPr>
      </w:pPr>
      <w:r>
        <w:lastRenderedPageBreak/>
        <w:t>5</w:t>
      </w:r>
      <w:r w:rsidR="00F931A6">
        <w:t>,</w:t>
      </w:r>
      <w:r>
        <w:t>960 non-disabled applicants were shortlisted. Of those 970 (16.3%) were appointed.</w:t>
      </w:r>
    </w:p>
    <w:p w:rsidR="00926B03" w:rsidRDefault="0099274B" w:rsidP="00926B03">
      <w:pPr>
        <w:pStyle w:val="ListParagraph"/>
        <w:numPr>
          <w:ilvl w:val="0"/>
          <w:numId w:val="10"/>
        </w:numPr>
      </w:pPr>
      <w:r>
        <w:t>The recruitment of non-disabled staff to Disabled staff when expressed as a ratio is 1.03:1. In other words</w:t>
      </w:r>
      <w:r w:rsidR="00F931A6">
        <w:t>,</w:t>
      </w:r>
      <w:r>
        <w:t xml:space="preserve"> recruitment shows that the likelihood of appointment is similar for </w:t>
      </w:r>
      <w:r w:rsidR="00AD12DA">
        <w:t>di</w:t>
      </w:r>
      <w:r>
        <w:t>sabled and non-disabled applicants.</w:t>
      </w:r>
    </w:p>
    <w:p w:rsidR="0099274B" w:rsidRDefault="0099274B" w:rsidP="0099274B">
      <w:pPr>
        <w:rPr>
          <w:b/>
        </w:rPr>
      </w:pPr>
      <w:r>
        <w:rPr>
          <w:b/>
        </w:rPr>
        <w:t>Recommendation</w:t>
      </w:r>
    </w:p>
    <w:p w:rsidR="00BE0C32" w:rsidRPr="00BE0C32" w:rsidRDefault="00BE0C32" w:rsidP="0099274B">
      <w:r w:rsidRPr="00BE0C32">
        <w:t xml:space="preserve">It is recommended that the following </w:t>
      </w:r>
      <w:r w:rsidR="00F931A6">
        <w:t xml:space="preserve">actions </w:t>
      </w:r>
      <w:r w:rsidRPr="00BE0C32">
        <w:t>are taken:</w:t>
      </w:r>
    </w:p>
    <w:p w:rsidR="0099274B" w:rsidRPr="0099274B" w:rsidRDefault="0099274B" w:rsidP="0099274B">
      <w:pPr>
        <w:pStyle w:val="ListParagraph"/>
        <w:numPr>
          <w:ilvl w:val="0"/>
          <w:numId w:val="10"/>
        </w:numPr>
      </w:pPr>
      <w:proofErr w:type="gramStart"/>
      <w:r w:rsidRPr="0099274B">
        <w:t>the</w:t>
      </w:r>
      <w:proofErr w:type="gramEnd"/>
      <w:r w:rsidRPr="0099274B">
        <w:t xml:space="preserve"> overhaul of the recruitment procedure as required by the NHS People Plan follows best practice for employing Disabled people.</w:t>
      </w:r>
    </w:p>
    <w:p w:rsidR="0099274B" w:rsidRDefault="0099274B" w:rsidP="0099274B">
      <w:pPr>
        <w:pStyle w:val="ListParagraph"/>
        <w:numPr>
          <w:ilvl w:val="0"/>
          <w:numId w:val="10"/>
        </w:numPr>
      </w:pPr>
      <w:proofErr w:type="gramStart"/>
      <w:r>
        <w:t>the</w:t>
      </w:r>
      <w:proofErr w:type="gramEnd"/>
      <w:r>
        <w:t xml:space="preserve"> Disability Passport developed by our Staff Network is implemented this autumn and is promoted as part of recruitment.</w:t>
      </w:r>
    </w:p>
    <w:p w:rsidR="0099274B" w:rsidRPr="00AD12DA" w:rsidRDefault="0099274B" w:rsidP="0099274B">
      <w:pPr>
        <w:ind w:left="720" w:hanging="720"/>
        <w:rPr>
          <w:b/>
        </w:rPr>
      </w:pPr>
      <w:r w:rsidRPr="00AD12DA">
        <w:rPr>
          <w:b/>
        </w:rPr>
        <w:t>(3)</w:t>
      </w:r>
      <w:r w:rsidRPr="00AD12DA">
        <w:rPr>
          <w:b/>
        </w:rPr>
        <w:tab/>
        <w:t>Relative likelihood of Disabled staff compared to non-disabled staff entering the formal capability process, as measured by entry into the formal capability procedure.</w:t>
      </w:r>
    </w:p>
    <w:p w:rsidR="00AD12DA" w:rsidRDefault="00AD12DA" w:rsidP="00032AF9">
      <w:pPr>
        <w:pStyle w:val="ListParagraph"/>
        <w:numPr>
          <w:ilvl w:val="0"/>
          <w:numId w:val="10"/>
        </w:numPr>
      </w:pPr>
      <w:r>
        <w:t xml:space="preserve">17 out of our 341 Disabled staff entered the formal capability process in the last year. </w:t>
      </w:r>
    </w:p>
    <w:p w:rsidR="00AD12DA" w:rsidRPr="00AD12DA" w:rsidRDefault="00AD12DA" w:rsidP="00AD12DA">
      <w:pPr>
        <w:pStyle w:val="ListParagraph"/>
        <w:numPr>
          <w:ilvl w:val="0"/>
          <w:numId w:val="10"/>
        </w:numPr>
      </w:pPr>
      <w:r>
        <w:t xml:space="preserve">162 out of our 5064 non-disabled </w:t>
      </w:r>
      <w:r w:rsidRPr="00AD12DA">
        <w:t xml:space="preserve">staff entered the formal capability process in the last year. </w:t>
      </w:r>
    </w:p>
    <w:p w:rsidR="00383C06" w:rsidRDefault="00AD12DA" w:rsidP="00AD12DA">
      <w:pPr>
        <w:pStyle w:val="ListParagraph"/>
        <w:numPr>
          <w:ilvl w:val="0"/>
          <w:numId w:val="10"/>
        </w:numPr>
      </w:pPr>
      <w:r>
        <w:t>From the above figures a</w:t>
      </w:r>
      <w:r w:rsidR="00383C06">
        <w:t xml:space="preserve"> Disabled member of staff is 1.5 times more likely to enter the capability process compared with a non-disabled member of staff.</w:t>
      </w:r>
    </w:p>
    <w:p w:rsidR="00383C06" w:rsidRDefault="00383C06" w:rsidP="00383C06">
      <w:pPr>
        <w:rPr>
          <w:b/>
        </w:rPr>
      </w:pPr>
      <w:r>
        <w:rPr>
          <w:b/>
        </w:rPr>
        <w:t>Recommendations</w:t>
      </w:r>
    </w:p>
    <w:p w:rsidR="00BE0C32" w:rsidRPr="00BE0C32" w:rsidRDefault="00BE0C32" w:rsidP="00383C06">
      <w:r w:rsidRPr="00BE0C32">
        <w:t>It is recommended that the following actions are taken:</w:t>
      </w:r>
    </w:p>
    <w:p w:rsidR="00383C06" w:rsidRDefault="00383C06" w:rsidP="00383C06">
      <w:pPr>
        <w:pStyle w:val="ListParagraph"/>
        <w:numPr>
          <w:ilvl w:val="0"/>
          <w:numId w:val="11"/>
        </w:numPr>
      </w:pPr>
      <w:proofErr w:type="gramStart"/>
      <w:r>
        <w:t>a</w:t>
      </w:r>
      <w:proofErr w:type="gramEnd"/>
      <w:r>
        <w:t xml:space="preserve"> deep dive of all of these cases takes place to establish the reasons and whether anything by way of </w:t>
      </w:r>
      <w:r w:rsidR="007A3868">
        <w:t>reasonable adjustment would have averted them and to take action where findings suggest they are required.</w:t>
      </w:r>
    </w:p>
    <w:p w:rsidR="007A3868" w:rsidRDefault="007A3868" w:rsidP="00383C06">
      <w:pPr>
        <w:pStyle w:val="ListParagraph"/>
        <w:numPr>
          <w:ilvl w:val="0"/>
          <w:numId w:val="11"/>
        </w:numPr>
      </w:pPr>
      <w:r>
        <w:t>Disability passport to be introduced for staff autumn 2020.</w:t>
      </w:r>
    </w:p>
    <w:p w:rsidR="00DB1C9E" w:rsidRPr="005758C1" w:rsidRDefault="00F931A6" w:rsidP="005758C1">
      <w:pPr>
        <w:pStyle w:val="ListParagraph"/>
        <w:numPr>
          <w:ilvl w:val="0"/>
          <w:numId w:val="11"/>
        </w:numPr>
        <w:rPr>
          <w:b/>
        </w:rPr>
      </w:pPr>
      <w:r>
        <w:t>c</w:t>
      </w:r>
      <w:r w:rsidR="007A3868">
        <w:t>entral approach to reasonable adjustments to be introduced 2020/21</w:t>
      </w:r>
    </w:p>
    <w:p w:rsidR="005758C1" w:rsidRPr="005758C1" w:rsidRDefault="005758C1" w:rsidP="005758C1">
      <w:pPr>
        <w:pStyle w:val="ListParagraph"/>
        <w:rPr>
          <w:b/>
        </w:rPr>
      </w:pPr>
    </w:p>
    <w:p w:rsidR="006A283A" w:rsidRPr="006A283A" w:rsidRDefault="006A283A" w:rsidP="006A283A">
      <w:pPr>
        <w:rPr>
          <w:b/>
        </w:rPr>
      </w:pPr>
      <w:r w:rsidRPr="006A283A">
        <w:rPr>
          <w:b/>
        </w:rPr>
        <w:t>(</w:t>
      </w:r>
      <w:r>
        <w:rPr>
          <w:b/>
        </w:rPr>
        <w:t>4</w:t>
      </w:r>
      <w:r w:rsidRPr="006A283A">
        <w:rPr>
          <w:b/>
        </w:rPr>
        <w:t>-</w:t>
      </w:r>
      <w:r>
        <w:rPr>
          <w:b/>
        </w:rPr>
        <w:t>9</w:t>
      </w:r>
      <w:r w:rsidRPr="006A283A">
        <w:rPr>
          <w:b/>
        </w:rPr>
        <w:t xml:space="preserve">) </w:t>
      </w:r>
      <w:r w:rsidRPr="006A283A">
        <w:rPr>
          <w:b/>
        </w:rPr>
        <w:tab/>
        <w:t>Staff Survey Metrics</w:t>
      </w:r>
    </w:p>
    <w:p w:rsidR="006A283A" w:rsidRPr="006A283A" w:rsidRDefault="006A283A" w:rsidP="006A283A">
      <w:r w:rsidRPr="006A283A">
        <w:t>The W</w:t>
      </w:r>
      <w:r>
        <w:t>D</w:t>
      </w:r>
      <w:r w:rsidRPr="006A283A">
        <w:t xml:space="preserve">ES submission contains </w:t>
      </w:r>
      <w:r>
        <w:t xml:space="preserve">6 </w:t>
      </w:r>
      <w:r w:rsidRPr="006A283A">
        <w:t xml:space="preserve">metrics that are based on staff survey questions. </w:t>
      </w:r>
    </w:p>
    <w:p w:rsidR="006A283A" w:rsidRPr="006A283A" w:rsidRDefault="006A283A" w:rsidP="00302636">
      <w:pPr>
        <w:pStyle w:val="ListParagraph"/>
        <w:numPr>
          <w:ilvl w:val="0"/>
          <w:numId w:val="17"/>
        </w:numPr>
      </w:pPr>
      <w:r>
        <w:t>B</w:t>
      </w:r>
      <w:r w:rsidRPr="006A283A">
        <w:t>ullying harassment or abuse – patient/staff</w:t>
      </w:r>
      <w:r>
        <w:t>/managers</w:t>
      </w:r>
    </w:p>
    <w:p w:rsidR="00302636" w:rsidRDefault="006A283A" w:rsidP="00302636">
      <w:pPr>
        <w:pStyle w:val="ListParagraph"/>
        <w:numPr>
          <w:ilvl w:val="0"/>
          <w:numId w:val="17"/>
        </w:numPr>
      </w:pPr>
      <w:r>
        <w:t>T</w:t>
      </w:r>
      <w:r w:rsidRPr="006A283A">
        <w:t>he belief that the Trust provides equal opportunities</w:t>
      </w:r>
    </w:p>
    <w:p w:rsidR="006A283A" w:rsidRPr="006A283A" w:rsidRDefault="00302636" w:rsidP="00302636">
      <w:pPr>
        <w:pStyle w:val="ListParagraph"/>
        <w:numPr>
          <w:ilvl w:val="0"/>
          <w:numId w:val="17"/>
        </w:numPr>
      </w:pPr>
      <w:r>
        <w:t>Pressure t</w:t>
      </w:r>
      <w:r w:rsidR="00BE0C32">
        <w:t>o come to work when feeling ill</w:t>
      </w:r>
    </w:p>
    <w:p w:rsidR="006A283A" w:rsidRDefault="006A283A" w:rsidP="00302636">
      <w:pPr>
        <w:pStyle w:val="ListParagraph"/>
        <w:numPr>
          <w:ilvl w:val="0"/>
          <w:numId w:val="17"/>
        </w:numPr>
      </w:pPr>
      <w:r>
        <w:t>How valued people feel</w:t>
      </w:r>
    </w:p>
    <w:p w:rsidR="00302636" w:rsidRDefault="00302636" w:rsidP="00302636">
      <w:pPr>
        <w:pStyle w:val="ListParagraph"/>
        <w:numPr>
          <w:ilvl w:val="0"/>
          <w:numId w:val="17"/>
        </w:numPr>
      </w:pPr>
      <w:r>
        <w:t>Whether reasonable adjustments have been made</w:t>
      </w:r>
    </w:p>
    <w:p w:rsidR="00302636" w:rsidRPr="006A283A" w:rsidRDefault="00302636" w:rsidP="00302636">
      <w:pPr>
        <w:pStyle w:val="ListParagraph"/>
        <w:numPr>
          <w:ilvl w:val="0"/>
          <w:numId w:val="17"/>
        </w:numPr>
      </w:pPr>
      <w:r>
        <w:t>The engagement score for Disabled</w:t>
      </w:r>
      <w:r w:rsidR="00BE0C32">
        <w:t xml:space="preserve"> staff compared to non-disabled</w:t>
      </w:r>
    </w:p>
    <w:p w:rsidR="009859FE" w:rsidRPr="009D76C0" w:rsidRDefault="009D76C0" w:rsidP="009D76C0">
      <w:pPr>
        <w:ind w:left="720" w:hanging="720"/>
        <w:rPr>
          <w:b/>
        </w:rPr>
      </w:pPr>
      <w:r w:rsidRPr="009D76C0">
        <w:rPr>
          <w:b/>
        </w:rPr>
        <w:t>Findings</w:t>
      </w:r>
    </w:p>
    <w:p w:rsidR="009859FE" w:rsidRDefault="00302636" w:rsidP="009859FE">
      <w:pPr>
        <w:pStyle w:val="ListParagraph"/>
        <w:numPr>
          <w:ilvl w:val="0"/>
          <w:numId w:val="12"/>
        </w:numPr>
      </w:pPr>
      <w:r>
        <w:t xml:space="preserve">All figures for bullying and harassment by patients, staff or managers demonstrate </w:t>
      </w:r>
      <w:r w:rsidR="009859FE">
        <w:t xml:space="preserve">a </w:t>
      </w:r>
      <w:r>
        <w:t>worse</w:t>
      </w:r>
      <w:r w:rsidR="009859FE">
        <w:t xml:space="preserve"> experience </w:t>
      </w:r>
      <w:r>
        <w:t>for</w:t>
      </w:r>
      <w:r w:rsidR="009859FE">
        <w:t xml:space="preserve"> </w:t>
      </w:r>
      <w:r w:rsidR="00F931A6">
        <w:t>d</w:t>
      </w:r>
      <w:r w:rsidR="009859FE">
        <w:t xml:space="preserve">isabled </w:t>
      </w:r>
      <w:r>
        <w:t>compared to</w:t>
      </w:r>
      <w:r w:rsidR="009859FE">
        <w:t xml:space="preserve"> non-disabled staff.</w:t>
      </w:r>
      <w:r>
        <w:t xml:space="preserve"> </w:t>
      </w:r>
      <w:r>
        <w:lastRenderedPageBreak/>
        <w:t>Worryingly</w:t>
      </w:r>
      <w:r w:rsidR="00F931A6">
        <w:t>,</w:t>
      </w:r>
      <w:r>
        <w:t xml:space="preserve"> there was 9% point difference </w:t>
      </w:r>
      <w:r w:rsidR="009D76C0">
        <w:t xml:space="preserve">in reporting of incidents </w:t>
      </w:r>
      <w:r>
        <w:t xml:space="preserve">between non-disabled staff (74%) and Disabled staff (65%). </w:t>
      </w:r>
    </w:p>
    <w:p w:rsidR="009D76C0" w:rsidRDefault="009D76C0" w:rsidP="009859FE">
      <w:pPr>
        <w:pStyle w:val="ListParagraph"/>
        <w:numPr>
          <w:ilvl w:val="0"/>
          <w:numId w:val="12"/>
        </w:numPr>
      </w:pPr>
      <w:r>
        <w:t xml:space="preserve">92% of non-disabled staff thought that the Trust provides equal opportunities, compared with 86% of </w:t>
      </w:r>
      <w:r w:rsidR="00F931A6">
        <w:t>d</w:t>
      </w:r>
      <w:r>
        <w:t>isabled staff.</w:t>
      </w:r>
    </w:p>
    <w:p w:rsidR="009D76C0" w:rsidRDefault="009D76C0" w:rsidP="009859FE">
      <w:pPr>
        <w:pStyle w:val="ListParagraph"/>
        <w:numPr>
          <w:ilvl w:val="0"/>
          <w:numId w:val="12"/>
        </w:numPr>
      </w:pPr>
      <w:r>
        <w:t xml:space="preserve">23% of </w:t>
      </w:r>
      <w:r w:rsidR="00F931A6">
        <w:t>d</w:t>
      </w:r>
      <w:r>
        <w:t>isabled staff have felt pressure to come to work despite not feeling well, compared to 13% of non-disabled staff.</w:t>
      </w:r>
    </w:p>
    <w:p w:rsidR="009D76C0" w:rsidRDefault="009D76C0" w:rsidP="009859FE">
      <w:pPr>
        <w:pStyle w:val="ListParagraph"/>
        <w:numPr>
          <w:ilvl w:val="0"/>
          <w:numId w:val="12"/>
        </w:numPr>
      </w:pPr>
      <w:r>
        <w:t xml:space="preserve">43% of </w:t>
      </w:r>
      <w:r w:rsidR="00F931A6">
        <w:t>d</w:t>
      </w:r>
      <w:r>
        <w:t>isabled staff stated they felt valued, the figure for non-disabled was 55%.</w:t>
      </w:r>
    </w:p>
    <w:p w:rsidR="009D76C0" w:rsidRDefault="009D76C0" w:rsidP="009859FE">
      <w:pPr>
        <w:pStyle w:val="ListParagraph"/>
        <w:numPr>
          <w:ilvl w:val="0"/>
          <w:numId w:val="12"/>
        </w:numPr>
      </w:pPr>
      <w:r>
        <w:t xml:space="preserve">83% of </w:t>
      </w:r>
      <w:r w:rsidR="00F931A6">
        <w:t>d</w:t>
      </w:r>
      <w:r>
        <w:t>isabled staff stated that adequate reasonable adjustments had been made.</w:t>
      </w:r>
    </w:p>
    <w:p w:rsidR="005758C1" w:rsidRDefault="005758C1" w:rsidP="009859FE">
      <w:pPr>
        <w:pStyle w:val="ListParagraph"/>
        <w:numPr>
          <w:ilvl w:val="0"/>
          <w:numId w:val="12"/>
        </w:numPr>
      </w:pPr>
      <w:r>
        <w:t xml:space="preserve">The engagement score for </w:t>
      </w:r>
      <w:r w:rsidR="00F931A6">
        <w:t>d</w:t>
      </w:r>
      <w:r>
        <w:t>isabled staff is 6.8 (out of 10) compared with 7.1 for non-disabled staff.</w:t>
      </w:r>
    </w:p>
    <w:p w:rsidR="009859FE" w:rsidRDefault="009859FE" w:rsidP="009859FE">
      <w:pPr>
        <w:rPr>
          <w:b/>
        </w:rPr>
      </w:pPr>
      <w:r>
        <w:rPr>
          <w:b/>
        </w:rPr>
        <w:t>Recommendation</w:t>
      </w:r>
      <w:r w:rsidR="009D76C0">
        <w:rPr>
          <w:b/>
        </w:rPr>
        <w:t>s</w:t>
      </w:r>
    </w:p>
    <w:p w:rsidR="00BE0C32" w:rsidRPr="00C221FD" w:rsidRDefault="00BE0C32" w:rsidP="009859FE">
      <w:r w:rsidRPr="00C221FD">
        <w:t>It is recommended that the following actions are taken:</w:t>
      </w:r>
    </w:p>
    <w:p w:rsidR="009859FE" w:rsidRPr="00C221FD" w:rsidRDefault="009859FE" w:rsidP="00C221FD">
      <w:pPr>
        <w:pStyle w:val="ListParagraph"/>
        <w:numPr>
          <w:ilvl w:val="0"/>
          <w:numId w:val="27"/>
        </w:numPr>
        <w:rPr>
          <w:highlight w:val="yellow"/>
        </w:rPr>
      </w:pPr>
      <w:r w:rsidRPr="00C221FD">
        <w:t>In line with the NHS People Plan we develop plans to prevent and tackle bullying, harassment and abuse against staff and create a culture of civility</w:t>
      </w:r>
      <w:r w:rsidRPr="00E070E9">
        <w:t xml:space="preserve"> and respect. </w:t>
      </w:r>
      <w:r w:rsidR="00E070E9">
        <w:t>NHSEI is launching a toolkit on civility and respect for all and once published this should be implemented at the earliest possible opportunity.</w:t>
      </w:r>
    </w:p>
    <w:p w:rsidR="00377C05" w:rsidRDefault="00377C05" w:rsidP="00ED2BC7">
      <w:pPr>
        <w:pStyle w:val="ListParagraph"/>
        <w:numPr>
          <w:ilvl w:val="0"/>
          <w:numId w:val="12"/>
        </w:numPr>
      </w:pPr>
      <w:proofErr w:type="gramStart"/>
      <w:r>
        <w:t>a</w:t>
      </w:r>
      <w:r w:rsidR="004C1FE5">
        <w:t>doption</w:t>
      </w:r>
      <w:proofErr w:type="gramEnd"/>
      <w:r w:rsidR="004C1FE5">
        <w:t xml:space="preserve"> of the principle of the Social Model of Disability by the Trust</w:t>
      </w:r>
      <w:r w:rsidR="00465AEA">
        <w:t xml:space="preserve">. This sees Disability stemming from societal barriers rather than a person’s impairments. This will fundamentally shift how we address issues facing </w:t>
      </w:r>
      <w:r>
        <w:t>d</w:t>
      </w:r>
      <w:r w:rsidR="00465AEA">
        <w:t xml:space="preserve">isabled people within the Trust, focusing on </w:t>
      </w:r>
      <w:r>
        <w:t xml:space="preserve">ensuring </w:t>
      </w:r>
      <w:r w:rsidR="00465AEA">
        <w:t xml:space="preserve">that we have attitudes and environments that support </w:t>
      </w:r>
      <w:r>
        <w:t>d</w:t>
      </w:r>
      <w:r w:rsidR="00465AEA">
        <w:t xml:space="preserve">isabled employees. </w:t>
      </w:r>
      <w:r>
        <w:t xml:space="preserve"> </w:t>
      </w:r>
    </w:p>
    <w:p w:rsidR="004C1FE5" w:rsidRDefault="004C1FE5" w:rsidP="00ED2BC7">
      <w:pPr>
        <w:pStyle w:val="ListParagraph"/>
        <w:numPr>
          <w:ilvl w:val="0"/>
          <w:numId w:val="12"/>
        </w:numPr>
      </w:pPr>
      <w:r>
        <w:t>Disabled Staff Network to be involved in the Equality Analysis of the draft Sickness Absence policy</w:t>
      </w:r>
    </w:p>
    <w:p w:rsidR="004C1FE5" w:rsidRDefault="00377C05" w:rsidP="004C1FE5">
      <w:pPr>
        <w:pStyle w:val="ListParagraph"/>
        <w:numPr>
          <w:ilvl w:val="0"/>
          <w:numId w:val="12"/>
        </w:numPr>
      </w:pPr>
      <w:r>
        <w:t xml:space="preserve">implementation of </w:t>
      </w:r>
      <w:r w:rsidR="004C1FE5">
        <w:t>the Disability Passport</w:t>
      </w:r>
    </w:p>
    <w:p w:rsidR="00AA7E12" w:rsidRDefault="00377C05" w:rsidP="004C1FE5">
      <w:pPr>
        <w:pStyle w:val="ListParagraph"/>
        <w:numPr>
          <w:ilvl w:val="0"/>
          <w:numId w:val="12"/>
        </w:numPr>
      </w:pPr>
      <w:r>
        <w:t>i</w:t>
      </w:r>
      <w:r w:rsidR="00AA7E12">
        <w:t>ntroduction of the Central approach to</w:t>
      </w:r>
      <w:r w:rsidR="00BE0C32">
        <w:t xml:space="preserve"> reasonable adjustments 2020/21</w:t>
      </w:r>
    </w:p>
    <w:p w:rsidR="000308A7" w:rsidRDefault="00377C05" w:rsidP="004C1FE5">
      <w:pPr>
        <w:pStyle w:val="ListParagraph"/>
        <w:numPr>
          <w:ilvl w:val="0"/>
          <w:numId w:val="12"/>
        </w:numPr>
      </w:pPr>
      <w:r>
        <w:t>i</w:t>
      </w:r>
      <w:r w:rsidR="000308A7">
        <w:t>ntr</w:t>
      </w:r>
      <w:r w:rsidR="00BE0C32">
        <w:t>oduction of inclusive mentoring</w:t>
      </w:r>
    </w:p>
    <w:p w:rsidR="00AA7E12" w:rsidRDefault="00377C05" w:rsidP="00AA7E12">
      <w:pPr>
        <w:pStyle w:val="ListParagraph"/>
        <w:numPr>
          <w:ilvl w:val="0"/>
          <w:numId w:val="12"/>
        </w:numPr>
      </w:pPr>
      <w:r>
        <w:t>o</w:t>
      </w:r>
      <w:r w:rsidR="00ED0243">
        <w:t>verhaul of recruitment practic</w:t>
      </w:r>
      <w:r w:rsidR="00BE0C32">
        <w:t>es in line with NHS People Plan</w:t>
      </w:r>
    </w:p>
    <w:p w:rsidR="00377C05" w:rsidRDefault="00377C05" w:rsidP="00377C05">
      <w:pPr>
        <w:pStyle w:val="ListParagraph"/>
        <w:ind w:left="360"/>
      </w:pPr>
    </w:p>
    <w:p w:rsidR="00D147A1" w:rsidRPr="005758C1" w:rsidRDefault="00D147A1" w:rsidP="00A768B4">
      <w:pPr>
        <w:pStyle w:val="ListParagraph"/>
        <w:ind w:hanging="720"/>
        <w:rPr>
          <w:b/>
        </w:rPr>
      </w:pPr>
      <w:r w:rsidRPr="005758C1">
        <w:rPr>
          <w:b/>
        </w:rPr>
        <w:t>(10)</w:t>
      </w:r>
      <w:r w:rsidRPr="005758C1">
        <w:rPr>
          <w:b/>
        </w:rPr>
        <w:tab/>
        <w:t xml:space="preserve">Percentage difference between the organisation’s Board voting membership and its organisation’s overall workforce disaggregated </w:t>
      </w:r>
    </w:p>
    <w:p w:rsidR="00D147A1" w:rsidRPr="005758C1" w:rsidRDefault="00D147A1" w:rsidP="00D147A1">
      <w:pPr>
        <w:pStyle w:val="ListParagraph"/>
        <w:rPr>
          <w:b/>
        </w:rPr>
      </w:pPr>
      <w:r w:rsidRPr="005758C1">
        <w:rPr>
          <w:b/>
        </w:rPr>
        <w:t>•</w:t>
      </w:r>
      <w:r w:rsidRPr="005758C1">
        <w:rPr>
          <w:b/>
        </w:rPr>
        <w:tab/>
        <w:t>By voting membership of the Board</w:t>
      </w:r>
    </w:p>
    <w:p w:rsidR="00D147A1" w:rsidRPr="005758C1" w:rsidRDefault="00D147A1" w:rsidP="00D147A1">
      <w:pPr>
        <w:pStyle w:val="ListParagraph"/>
        <w:rPr>
          <w:b/>
        </w:rPr>
      </w:pPr>
      <w:r w:rsidRPr="005758C1">
        <w:rPr>
          <w:b/>
        </w:rPr>
        <w:t>•</w:t>
      </w:r>
      <w:r w:rsidRPr="005758C1">
        <w:rPr>
          <w:b/>
        </w:rPr>
        <w:tab/>
        <w:t>By Executive membership of the Board</w:t>
      </w:r>
    </w:p>
    <w:p w:rsidR="00D147A1" w:rsidRDefault="00D147A1" w:rsidP="00D147A1">
      <w:pPr>
        <w:pStyle w:val="ListParagraph"/>
      </w:pPr>
    </w:p>
    <w:p w:rsidR="00D147A1" w:rsidRDefault="005758C1" w:rsidP="00D147A1">
      <w:pPr>
        <w:pStyle w:val="ListParagraph"/>
        <w:numPr>
          <w:ilvl w:val="0"/>
          <w:numId w:val="13"/>
        </w:numPr>
      </w:pPr>
      <w:r>
        <w:t>5% of the Trust overall workforce is</w:t>
      </w:r>
      <w:r w:rsidR="00D147A1">
        <w:t xml:space="preserve"> 5% Total Board status is </w:t>
      </w:r>
      <w:r w:rsidR="00A768B4">
        <w:t>2</w:t>
      </w:r>
      <w:r w:rsidR="00C6311F">
        <w:t>1</w:t>
      </w:r>
      <w:r w:rsidR="00A768B4">
        <w:t xml:space="preserve">% </w:t>
      </w:r>
    </w:p>
    <w:p w:rsidR="00A768B4" w:rsidRDefault="005758C1" w:rsidP="00D147A1">
      <w:pPr>
        <w:pStyle w:val="ListParagraph"/>
        <w:numPr>
          <w:ilvl w:val="0"/>
          <w:numId w:val="13"/>
        </w:numPr>
      </w:pPr>
      <w:r>
        <w:t xml:space="preserve">17% of the </w:t>
      </w:r>
      <w:r w:rsidR="00A768B4">
        <w:t xml:space="preserve">Executive </w:t>
      </w:r>
      <w:r>
        <w:t>membership are disabled.</w:t>
      </w:r>
    </w:p>
    <w:p w:rsidR="00D147A1" w:rsidRDefault="00D147A1" w:rsidP="00D147A1">
      <w:pPr>
        <w:rPr>
          <w:b/>
        </w:rPr>
      </w:pPr>
      <w:r w:rsidRPr="00D147A1">
        <w:rPr>
          <w:b/>
        </w:rPr>
        <w:t>Recommendations</w:t>
      </w:r>
    </w:p>
    <w:p w:rsidR="00377C05" w:rsidRPr="00377C05" w:rsidRDefault="00377C05" w:rsidP="00D147A1">
      <w:r w:rsidRPr="00377C05">
        <w:t>It is recommended that the following action is taken:</w:t>
      </w:r>
    </w:p>
    <w:p w:rsidR="00D147A1" w:rsidRPr="00377C05" w:rsidRDefault="00BE0C32" w:rsidP="00377C05">
      <w:pPr>
        <w:pStyle w:val="ListParagraph"/>
        <w:numPr>
          <w:ilvl w:val="0"/>
          <w:numId w:val="22"/>
        </w:numPr>
        <w:rPr>
          <w:b/>
        </w:rPr>
      </w:pPr>
      <w:proofErr w:type="gramStart"/>
      <w:r>
        <w:t>consideration</w:t>
      </w:r>
      <w:proofErr w:type="gramEnd"/>
      <w:r>
        <w:t xml:space="preserve"> is given to </w:t>
      </w:r>
      <w:r w:rsidR="00D147A1" w:rsidRPr="00D147A1">
        <w:t xml:space="preserve">the </w:t>
      </w:r>
      <w:r w:rsidR="00D147A1">
        <w:t>D</w:t>
      </w:r>
      <w:r w:rsidR="00D147A1" w:rsidRPr="00D147A1">
        <w:t>isability status of Trust governors, and whether they are broadly representative of the local population.</w:t>
      </w:r>
    </w:p>
    <w:p w:rsidR="00F2508A" w:rsidRDefault="00F2508A" w:rsidP="00BB4AEE">
      <w:pPr>
        <w:ind w:left="5040" w:hanging="5040"/>
      </w:pPr>
    </w:p>
    <w:p w:rsidR="00F2508A" w:rsidRPr="00F2508A" w:rsidRDefault="00F2508A" w:rsidP="00BE0C32">
      <w:pPr>
        <w:ind w:left="7200"/>
        <w:rPr>
          <w:b/>
        </w:rPr>
      </w:pPr>
      <w:bookmarkStart w:id="0" w:name="_GoBack"/>
      <w:bookmarkEnd w:id="0"/>
      <w:r w:rsidRPr="00F2508A">
        <w:rPr>
          <w:b/>
        </w:rPr>
        <w:lastRenderedPageBreak/>
        <w:t xml:space="preserve">Appendix </w:t>
      </w:r>
      <w:r w:rsidR="00BE0C32">
        <w:rPr>
          <w:b/>
        </w:rPr>
        <w:t>1</w:t>
      </w:r>
    </w:p>
    <w:p w:rsidR="00F2508A" w:rsidRPr="00F2508A" w:rsidRDefault="00F2508A" w:rsidP="00F2508A">
      <w:pPr>
        <w:rPr>
          <w:b/>
        </w:rPr>
      </w:pPr>
      <w:r w:rsidRPr="00F2508A">
        <w:rPr>
          <w:b/>
        </w:rPr>
        <w:t>WRES Metrics</w:t>
      </w:r>
    </w:p>
    <w:p w:rsidR="00F2508A" w:rsidRPr="00F2508A" w:rsidRDefault="00F2508A" w:rsidP="00F2508A">
      <w:pPr>
        <w:ind w:left="720" w:hanging="720"/>
      </w:pPr>
      <w:r w:rsidRPr="00F2508A">
        <w:t>(1)</w:t>
      </w:r>
      <w:r w:rsidRPr="00F2508A">
        <w:tab/>
        <w:t xml:space="preserve">Percentage of staff in each of the </w:t>
      </w:r>
      <w:proofErr w:type="spellStart"/>
      <w:r w:rsidRPr="00F2508A">
        <w:t>AfC</w:t>
      </w:r>
      <w:proofErr w:type="spellEnd"/>
      <w:r w:rsidRPr="00F2508A">
        <w:t xml:space="preserve"> Bands 1-9 and VSM (including executive Board members) compared with the percentage of staff in the overall workforce. Note: Organisations should undertake this calculation separately for non-clinical and for clinical staff</w:t>
      </w:r>
    </w:p>
    <w:tbl>
      <w:tblPr>
        <w:tblW w:w="9660" w:type="dxa"/>
        <w:tblCellMar>
          <w:left w:w="0" w:type="dxa"/>
          <w:right w:w="0" w:type="dxa"/>
        </w:tblCellMar>
        <w:tblLook w:val="0420" w:firstRow="1" w:lastRow="0" w:firstColumn="0" w:lastColumn="0" w:noHBand="0" w:noVBand="1"/>
      </w:tblPr>
      <w:tblGrid>
        <w:gridCol w:w="1380"/>
        <w:gridCol w:w="1380"/>
        <w:gridCol w:w="1380"/>
        <w:gridCol w:w="1380"/>
        <w:gridCol w:w="1380"/>
        <w:gridCol w:w="1380"/>
        <w:gridCol w:w="1380"/>
      </w:tblGrid>
      <w:tr w:rsidR="00F2508A" w:rsidRPr="00F2508A" w:rsidTr="00903F5A">
        <w:trPr>
          <w:trHeight w:val="584"/>
        </w:trPr>
        <w:tc>
          <w:tcPr>
            <w:tcW w:w="138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Non clinical</w:t>
            </w:r>
          </w:p>
        </w:tc>
        <w:tc>
          <w:tcPr>
            <w:tcW w:w="138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2019 White</w:t>
            </w:r>
          </w:p>
        </w:tc>
        <w:tc>
          <w:tcPr>
            <w:tcW w:w="138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2019 BAME</w:t>
            </w:r>
          </w:p>
        </w:tc>
        <w:tc>
          <w:tcPr>
            <w:tcW w:w="138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2019 Unknown</w:t>
            </w:r>
          </w:p>
        </w:tc>
        <w:tc>
          <w:tcPr>
            <w:tcW w:w="138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2020 White</w:t>
            </w:r>
          </w:p>
        </w:tc>
        <w:tc>
          <w:tcPr>
            <w:tcW w:w="138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2020 BAME</w:t>
            </w:r>
          </w:p>
        </w:tc>
        <w:tc>
          <w:tcPr>
            <w:tcW w:w="138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2020 Unknown</w:t>
            </w:r>
          </w:p>
        </w:tc>
      </w:tr>
      <w:tr w:rsidR="00F2508A" w:rsidRPr="00F2508A" w:rsidTr="00903F5A">
        <w:trPr>
          <w:trHeight w:val="584"/>
        </w:trPr>
        <w:tc>
          <w:tcPr>
            <w:tcW w:w="138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Under 1</w:t>
            </w:r>
          </w:p>
        </w:tc>
        <w:tc>
          <w:tcPr>
            <w:tcW w:w="138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25</w:t>
            </w:r>
          </w:p>
        </w:tc>
        <w:tc>
          <w:tcPr>
            <w:tcW w:w="138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8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8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30</w:t>
            </w:r>
          </w:p>
        </w:tc>
        <w:tc>
          <w:tcPr>
            <w:tcW w:w="138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8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r>
      <w:tr w:rsidR="00F2508A" w:rsidRPr="00F2508A" w:rsidTr="00903F5A">
        <w:trPr>
          <w:trHeight w:val="584"/>
        </w:trPr>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3</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r>
      <w:tr w:rsidR="00F2508A" w:rsidRPr="00F2508A" w:rsidTr="00903F5A">
        <w:trPr>
          <w:trHeight w:val="584"/>
        </w:trPr>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2</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152</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4</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10</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204</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5</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14</w:t>
            </w:r>
          </w:p>
        </w:tc>
      </w:tr>
      <w:tr w:rsidR="00F2508A" w:rsidRPr="00F2508A" w:rsidTr="00903F5A">
        <w:trPr>
          <w:trHeight w:val="584"/>
        </w:trPr>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3</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313</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3</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22</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388</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4</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22</w:t>
            </w:r>
          </w:p>
        </w:tc>
      </w:tr>
      <w:tr w:rsidR="00F2508A" w:rsidRPr="00F2508A" w:rsidTr="00903F5A">
        <w:trPr>
          <w:trHeight w:val="584"/>
        </w:trPr>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4</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229</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5</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30</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274</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4</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27</w:t>
            </w:r>
          </w:p>
        </w:tc>
      </w:tr>
      <w:tr w:rsidR="00F2508A" w:rsidRPr="00F2508A" w:rsidTr="00903F5A">
        <w:trPr>
          <w:trHeight w:val="584"/>
        </w:trPr>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5</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87</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6</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132</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6</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5</w:t>
            </w:r>
          </w:p>
        </w:tc>
      </w:tr>
      <w:tr w:rsidR="00F2508A" w:rsidRPr="00F2508A" w:rsidTr="00903F5A">
        <w:trPr>
          <w:trHeight w:val="584"/>
        </w:trPr>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6</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63</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18</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78</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13</w:t>
            </w:r>
          </w:p>
        </w:tc>
      </w:tr>
      <w:tr w:rsidR="00F2508A" w:rsidRPr="00F2508A" w:rsidTr="00903F5A">
        <w:trPr>
          <w:trHeight w:val="584"/>
        </w:trPr>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7</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45</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8</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59</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9</w:t>
            </w:r>
          </w:p>
        </w:tc>
      </w:tr>
      <w:tr w:rsidR="00F2508A" w:rsidRPr="00F2508A" w:rsidTr="00903F5A">
        <w:trPr>
          <w:trHeight w:val="584"/>
        </w:trPr>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8a</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33</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4</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30</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4</w:t>
            </w:r>
          </w:p>
        </w:tc>
      </w:tr>
      <w:tr w:rsidR="00F2508A" w:rsidRPr="00F2508A" w:rsidTr="00903F5A">
        <w:trPr>
          <w:trHeight w:val="584"/>
        </w:trPr>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8b</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23</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3</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27</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3</w:t>
            </w:r>
          </w:p>
        </w:tc>
      </w:tr>
      <w:tr w:rsidR="00F2508A" w:rsidRPr="00F2508A" w:rsidTr="00903F5A">
        <w:trPr>
          <w:trHeight w:val="584"/>
        </w:trPr>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8c</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3</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r>
      <w:tr w:rsidR="00F2508A" w:rsidRPr="00F2508A" w:rsidTr="00903F5A">
        <w:trPr>
          <w:trHeight w:val="584"/>
        </w:trPr>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8d</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r>
      <w:tr w:rsidR="00F2508A" w:rsidRPr="00F2508A" w:rsidTr="00903F5A">
        <w:trPr>
          <w:trHeight w:val="584"/>
        </w:trPr>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9</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r>
      <w:tr w:rsidR="00F2508A" w:rsidRPr="00F2508A" w:rsidTr="00903F5A">
        <w:trPr>
          <w:trHeight w:val="584"/>
        </w:trPr>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VSM</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4</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r>
    </w:tbl>
    <w:p w:rsidR="00F2508A" w:rsidRPr="00F2508A" w:rsidRDefault="00F2508A" w:rsidP="00F2508A"/>
    <w:tbl>
      <w:tblPr>
        <w:tblW w:w="9646" w:type="dxa"/>
        <w:tblCellMar>
          <w:left w:w="0" w:type="dxa"/>
          <w:right w:w="0" w:type="dxa"/>
        </w:tblCellMar>
        <w:tblLook w:val="0420" w:firstRow="1" w:lastRow="0" w:firstColumn="0" w:lastColumn="0" w:noHBand="0" w:noVBand="1"/>
      </w:tblPr>
      <w:tblGrid>
        <w:gridCol w:w="1378"/>
        <w:gridCol w:w="1378"/>
        <w:gridCol w:w="1378"/>
        <w:gridCol w:w="1378"/>
        <w:gridCol w:w="1378"/>
        <w:gridCol w:w="1378"/>
        <w:gridCol w:w="1378"/>
      </w:tblGrid>
      <w:tr w:rsidR="00F2508A" w:rsidRPr="00F2508A" w:rsidTr="00903F5A">
        <w:trPr>
          <w:trHeight w:val="584"/>
        </w:trPr>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lastRenderedPageBreak/>
              <w:t>Clinical</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2019 White</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2019 BAME</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2019 Unknown</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2020 White</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2020 BAME</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2020 Unknown</w:t>
            </w:r>
          </w:p>
        </w:tc>
      </w:tr>
      <w:tr w:rsidR="00F2508A" w:rsidRPr="00F2508A" w:rsidTr="00903F5A">
        <w:trPr>
          <w:trHeight w:val="584"/>
        </w:trPr>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Under 1</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2</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32</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13</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3</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1217</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62</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84</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1382</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77</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78</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4</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188</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7</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11</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237</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5</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14</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5</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591</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46</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48</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711</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56</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46</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6</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1023</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28</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93</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1266</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31</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86</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7</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435</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12</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41</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598</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19</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37</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8a</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161</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10</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19</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181</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9</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17</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8b</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68</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7</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87</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3</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8c</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41</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50</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8d</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22</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22</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9</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4</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3</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VSM</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r>
    </w:tbl>
    <w:p w:rsidR="00F2508A" w:rsidRPr="00F2508A" w:rsidRDefault="00F2508A" w:rsidP="00F2508A">
      <w:r w:rsidRPr="00F2508A">
        <w:br w:type="page"/>
      </w:r>
    </w:p>
    <w:tbl>
      <w:tblPr>
        <w:tblW w:w="9646" w:type="dxa"/>
        <w:tblCellMar>
          <w:left w:w="0" w:type="dxa"/>
          <w:right w:w="0" w:type="dxa"/>
        </w:tblCellMar>
        <w:tblLook w:val="0420" w:firstRow="1" w:lastRow="0" w:firstColumn="0" w:lastColumn="0" w:noHBand="0" w:noVBand="1"/>
      </w:tblPr>
      <w:tblGrid>
        <w:gridCol w:w="1436"/>
        <w:gridCol w:w="1365"/>
        <w:gridCol w:w="1365"/>
        <w:gridCol w:w="1375"/>
        <w:gridCol w:w="1365"/>
        <w:gridCol w:w="1365"/>
        <w:gridCol w:w="1375"/>
      </w:tblGrid>
      <w:tr w:rsidR="00F2508A" w:rsidRPr="00F2508A" w:rsidTr="00903F5A">
        <w:trPr>
          <w:trHeight w:val="584"/>
        </w:trPr>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lastRenderedPageBreak/>
              <w:t>Doctors</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2019 White</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2019 BAME</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2019 Unknown</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2020 White</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2020 BAME</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2020 Unknown</w:t>
            </w:r>
          </w:p>
        </w:tc>
      </w:tr>
      <w:tr w:rsidR="00F2508A" w:rsidRPr="00F2508A" w:rsidTr="00903F5A">
        <w:trPr>
          <w:trHeight w:val="584"/>
        </w:trPr>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Consultants</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91</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53</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41</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99</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59</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38</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Senior Med</w:t>
            </w:r>
          </w:p>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Manager</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3</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Career Grade</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22</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15</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14</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30</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23</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15</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Trainee Grade</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10</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8</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9</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11</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9</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3</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Other</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46</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8</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49</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6</w:t>
            </w:r>
          </w:p>
        </w:tc>
      </w:tr>
    </w:tbl>
    <w:p w:rsidR="00F2508A" w:rsidRPr="00F2508A" w:rsidRDefault="00F2508A" w:rsidP="00F2508A"/>
    <w:p w:rsidR="00F2508A" w:rsidRPr="00F2508A" w:rsidRDefault="00F2508A" w:rsidP="00F2508A">
      <w:r w:rsidRPr="00F2508A">
        <w:t>(2)</w:t>
      </w:r>
      <w:r w:rsidRPr="00F2508A">
        <w:tab/>
        <w:t>Relative likelihood of staff being appointed from shortlisting across all posts</w:t>
      </w:r>
    </w:p>
    <w:tbl>
      <w:tblPr>
        <w:tblStyle w:val="GridTable4-Accent1"/>
        <w:tblW w:w="9646" w:type="dxa"/>
        <w:tblLook w:val="0420" w:firstRow="1" w:lastRow="0" w:firstColumn="0" w:lastColumn="0" w:noHBand="0" w:noVBand="1"/>
      </w:tblPr>
      <w:tblGrid>
        <w:gridCol w:w="1378"/>
        <w:gridCol w:w="1378"/>
        <w:gridCol w:w="1378"/>
        <w:gridCol w:w="1378"/>
        <w:gridCol w:w="1378"/>
        <w:gridCol w:w="1378"/>
        <w:gridCol w:w="1378"/>
      </w:tblGrid>
      <w:tr w:rsidR="00F2508A" w:rsidRPr="00F2508A" w:rsidTr="00903F5A">
        <w:trPr>
          <w:cnfStyle w:val="100000000000" w:firstRow="1" w:lastRow="0" w:firstColumn="0" w:lastColumn="0" w:oddVBand="0" w:evenVBand="0" w:oddHBand="0" w:evenHBand="0" w:firstRowFirstColumn="0" w:firstRowLastColumn="0" w:lastRowFirstColumn="0" w:lastRowLastColumn="0"/>
          <w:trHeight w:val="584"/>
        </w:trPr>
        <w:tc>
          <w:tcPr>
            <w:tcW w:w="1378" w:type="dxa"/>
            <w:hideMark/>
          </w:tcPr>
          <w:p w:rsidR="00F2508A" w:rsidRPr="00F2508A" w:rsidRDefault="00F2508A" w:rsidP="00F2508A">
            <w:pPr>
              <w:rPr>
                <w:rFonts w:ascii="Times New Roman" w:eastAsia="Times New Roman" w:hAnsi="Times New Roman" w:cs="Times New Roman"/>
                <w:lang w:eastAsia="en-GB"/>
              </w:rPr>
            </w:pPr>
          </w:p>
        </w:tc>
        <w:tc>
          <w:tcPr>
            <w:tcW w:w="1378" w:type="dxa"/>
            <w:hideMark/>
          </w:tcPr>
          <w:p w:rsidR="00F2508A" w:rsidRPr="00F2508A" w:rsidRDefault="00F2508A" w:rsidP="00F2508A">
            <w:pPr>
              <w:rPr>
                <w:rFonts w:eastAsia="Times New Roman"/>
                <w:sz w:val="36"/>
                <w:szCs w:val="36"/>
                <w:lang w:eastAsia="en-GB"/>
              </w:rPr>
            </w:pPr>
            <w:r w:rsidRPr="00F2508A">
              <w:rPr>
                <w:rFonts w:ascii="Calibri" w:eastAsia="Times New Roman" w:hAnsi="Calibri" w:cs="Calibri"/>
                <w:color w:val="FFFFFF"/>
                <w:kern w:val="24"/>
                <w:lang w:eastAsia="en-GB"/>
              </w:rPr>
              <w:t>2019 White</w:t>
            </w:r>
          </w:p>
        </w:tc>
        <w:tc>
          <w:tcPr>
            <w:tcW w:w="1378" w:type="dxa"/>
            <w:hideMark/>
          </w:tcPr>
          <w:p w:rsidR="00F2508A" w:rsidRPr="00F2508A" w:rsidRDefault="00F2508A" w:rsidP="00F2508A">
            <w:pPr>
              <w:rPr>
                <w:rFonts w:eastAsia="Times New Roman"/>
                <w:sz w:val="36"/>
                <w:szCs w:val="36"/>
                <w:lang w:eastAsia="en-GB"/>
              </w:rPr>
            </w:pPr>
            <w:r w:rsidRPr="00F2508A">
              <w:rPr>
                <w:rFonts w:ascii="Calibri" w:eastAsia="Times New Roman" w:hAnsi="Calibri" w:cs="Calibri"/>
                <w:color w:val="FFFFFF"/>
                <w:kern w:val="24"/>
                <w:lang w:eastAsia="en-GB"/>
              </w:rPr>
              <w:t>2019 BAME</w:t>
            </w:r>
          </w:p>
        </w:tc>
        <w:tc>
          <w:tcPr>
            <w:tcW w:w="1378" w:type="dxa"/>
            <w:hideMark/>
          </w:tcPr>
          <w:p w:rsidR="00F2508A" w:rsidRPr="00F2508A" w:rsidRDefault="00F2508A" w:rsidP="00F2508A">
            <w:pPr>
              <w:rPr>
                <w:rFonts w:eastAsia="Times New Roman"/>
                <w:sz w:val="36"/>
                <w:szCs w:val="36"/>
                <w:lang w:eastAsia="en-GB"/>
              </w:rPr>
            </w:pPr>
            <w:r w:rsidRPr="00F2508A">
              <w:rPr>
                <w:rFonts w:ascii="Calibri" w:eastAsia="Times New Roman" w:hAnsi="Calibri" w:cs="Calibri"/>
                <w:color w:val="FFFFFF"/>
                <w:kern w:val="24"/>
                <w:lang w:eastAsia="en-GB"/>
              </w:rPr>
              <w:t>2019 Unknown</w:t>
            </w:r>
          </w:p>
        </w:tc>
        <w:tc>
          <w:tcPr>
            <w:tcW w:w="1378" w:type="dxa"/>
            <w:hideMark/>
          </w:tcPr>
          <w:p w:rsidR="00F2508A" w:rsidRPr="00F2508A" w:rsidRDefault="00F2508A" w:rsidP="00F2508A">
            <w:pPr>
              <w:rPr>
                <w:rFonts w:eastAsia="Times New Roman"/>
                <w:sz w:val="36"/>
                <w:szCs w:val="36"/>
                <w:lang w:eastAsia="en-GB"/>
              </w:rPr>
            </w:pPr>
            <w:r w:rsidRPr="00F2508A">
              <w:rPr>
                <w:rFonts w:ascii="Calibri" w:eastAsia="Times New Roman" w:hAnsi="Calibri" w:cs="Calibri"/>
                <w:color w:val="FFFFFF"/>
                <w:kern w:val="24"/>
                <w:lang w:eastAsia="en-GB"/>
              </w:rPr>
              <w:t>2020 White</w:t>
            </w:r>
          </w:p>
        </w:tc>
        <w:tc>
          <w:tcPr>
            <w:tcW w:w="1378" w:type="dxa"/>
            <w:hideMark/>
          </w:tcPr>
          <w:p w:rsidR="00F2508A" w:rsidRPr="00F2508A" w:rsidRDefault="00F2508A" w:rsidP="00F2508A">
            <w:pPr>
              <w:rPr>
                <w:rFonts w:eastAsia="Times New Roman"/>
                <w:sz w:val="36"/>
                <w:szCs w:val="36"/>
                <w:lang w:eastAsia="en-GB"/>
              </w:rPr>
            </w:pPr>
            <w:r w:rsidRPr="00F2508A">
              <w:rPr>
                <w:rFonts w:ascii="Calibri" w:eastAsia="Times New Roman" w:hAnsi="Calibri" w:cs="Calibri"/>
                <w:color w:val="FFFFFF"/>
                <w:kern w:val="24"/>
                <w:lang w:eastAsia="en-GB"/>
              </w:rPr>
              <w:t>2020 BAME</w:t>
            </w:r>
          </w:p>
        </w:tc>
        <w:tc>
          <w:tcPr>
            <w:tcW w:w="1378" w:type="dxa"/>
            <w:hideMark/>
          </w:tcPr>
          <w:p w:rsidR="00F2508A" w:rsidRPr="00F2508A" w:rsidRDefault="00F2508A" w:rsidP="00F2508A">
            <w:pPr>
              <w:rPr>
                <w:rFonts w:eastAsia="Times New Roman"/>
                <w:sz w:val="36"/>
                <w:szCs w:val="36"/>
                <w:lang w:eastAsia="en-GB"/>
              </w:rPr>
            </w:pPr>
            <w:r w:rsidRPr="00F2508A">
              <w:rPr>
                <w:rFonts w:ascii="Calibri" w:eastAsia="Times New Roman" w:hAnsi="Calibri" w:cs="Calibri"/>
                <w:color w:val="FFFFFF"/>
                <w:kern w:val="24"/>
                <w:lang w:eastAsia="en-GB"/>
              </w:rPr>
              <w:t>2020 Unknown</w:t>
            </w:r>
          </w:p>
        </w:tc>
      </w:tr>
      <w:tr w:rsidR="00F2508A" w:rsidRPr="00F2508A" w:rsidTr="00903F5A">
        <w:trPr>
          <w:cnfStyle w:val="000000100000" w:firstRow="0" w:lastRow="0" w:firstColumn="0" w:lastColumn="0" w:oddVBand="0" w:evenVBand="0" w:oddHBand="1" w:evenHBand="0" w:firstRowFirstColumn="0" w:firstRowLastColumn="0" w:lastRowFirstColumn="0" w:lastRowLastColumn="0"/>
          <w:trHeight w:val="584"/>
        </w:trPr>
        <w:tc>
          <w:tcPr>
            <w:tcW w:w="1378" w:type="dxa"/>
            <w:hideMark/>
          </w:tcPr>
          <w:p w:rsidR="00F2508A" w:rsidRPr="00F2508A" w:rsidRDefault="00F2508A" w:rsidP="00F2508A">
            <w:pPr>
              <w:rPr>
                <w:rFonts w:eastAsia="Times New Roman"/>
                <w:sz w:val="36"/>
                <w:szCs w:val="36"/>
                <w:lang w:eastAsia="en-GB"/>
              </w:rPr>
            </w:pPr>
            <w:r w:rsidRPr="00F2508A">
              <w:rPr>
                <w:rFonts w:ascii="Calibri" w:eastAsia="Times New Roman" w:hAnsi="Calibri" w:cs="Calibri"/>
                <w:color w:val="000000"/>
                <w:kern w:val="24"/>
                <w:lang w:eastAsia="en-GB"/>
              </w:rPr>
              <w:t>Number shortlisted applicants</w:t>
            </w:r>
          </w:p>
        </w:tc>
        <w:tc>
          <w:tcPr>
            <w:tcW w:w="1378" w:type="dxa"/>
            <w:hideMark/>
          </w:tcPr>
          <w:p w:rsidR="00F2508A" w:rsidRPr="00F2508A" w:rsidRDefault="00F2508A" w:rsidP="00F2508A">
            <w:pPr>
              <w:jc w:val="right"/>
              <w:rPr>
                <w:rFonts w:eastAsia="Times New Roman"/>
                <w:sz w:val="36"/>
                <w:szCs w:val="36"/>
                <w:lang w:eastAsia="en-GB"/>
              </w:rPr>
            </w:pPr>
            <w:r w:rsidRPr="00F2508A">
              <w:rPr>
                <w:rFonts w:ascii="Calibri" w:eastAsia="Times New Roman" w:hAnsi="Calibri" w:cs="Calibri"/>
                <w:color w:val="000000"/>
                <w:kern w:val="24"/>
                <w:lang w:eastAsia="en-GB"/>
              </w:rPr>
              <w:t>3871</w:t>
            </w:r>
          </w:p>
        </w:tc>
        <w:tc>
          <w:tcPr>
            <w:tcW w:w="1378" w:type="dxa"/>
            <w:hideMark/>
          </w:tcPr>
          <w:p w:rsidR="00F2508A" w:rsidRPr="00F2508A" w:rsidRDefault="00F2508A" w:rsidP="00F2508A">
            <w:pPr>
              <w:jc w:val="right"/>
              <w:rPr>
                <w:rFonts w:eastAsia="Times New Roman"/>
                <w:sz w:val="36"/>
                <w:szCs w:val="36"/>
                <w:lang w:eastAsia="en-GB"/>
              </w:rPr>
            </w:pPr>
            <w:r w:rsidRPr="00F2508A">
              <w:rPr>
                <w:rFonts w:ascii="Calibri" w:eastAsia="Times New Roman" w:hAnsi="Calibri" w:cs="Calibri"/>
                <w:color w:val="000000"/>
                <w:kern w:val="24"/>
                <w:lang w:eastAsia="en-GB"/>
              </w:rPr>
              <w:t>547</w:t>
            </w:r>
          </w:p>
        </w:tc>
        <w:tc>
          <w:tcPr>
            <w:tcW w:w="1378" w:type="dxa"/>
            <w:hideMark/>
          </w:tcPr>
          <w:p w:rsidR="00F2508A" w:rsidRPr="00F2508A" w:rsidRDefault="00F2508A" w:rsidP="00F2508A">
            <w:pPr>
              <w:jc w:val="right"/>
              <w:rPr>
                <w:rFonts w:eastAsia="Times New Roman"/>
                <w:sz w:val="36"/>
                <w:szCs w:val="36"/>
                <w:lang w:eastAsia="en-GB"/>
              </w:rPr>
            </w:pPr>
            <w:r w:rsidRPr="00F2508A">
              <w:rPr>
                <w:rFonts w:ascii="Calibri" w:eastAsia="Times New Roman" w:hAnsi="Calibri" w:cs="Calibri"/>
                <w:color w:val="000000"/>
                <w:kern w:val="24"/>
                <w:lang w:eastAsia="en-GB"/>
              </w:rPr>
              <w:t>44</w:t>
            </w:r>
          </w:p>
        </w:tc>
        <w:tc>
          <w:tcPr>
            <w:tcW w:w="1378" w:type="dxa"/>
            <w:hideMark/>
          </w:tcPr>
          <w:p w:rsidR="00F2508A" w:rsidRPr="00F2508A" w:rsidRDefault="00F2508A" w:rsidP="00F2508A">
            <w:pPr>
              <w:jc w:val="right"/>
              <w:rPr>
                <w:rFonts w:eastAsia="Times New Roman"/>
                <w:sz w:val="36"/>
                <w:szCs w:val="36"/>
                <w:lang w:eastAsia="en-GB"/>
              </w:rPr>
            </w:pPr>
            <w:r w:rsidRPr="00F2508A">
              <w:rPr>
                <w:rFonts w:ascii="Calibri" w:eastAsia="Times New Roman" w:hAnsi="Calibri" w:cs="Calibri"/>
                <w:color w:val="000000"/>
                <w:kern w:val="24"/>
                <w:lang w:eastAsia="en-GB"/>
              </w:rPr>
              <w:t>5354</w:t>
            </w:r>
          </w:p>
        </w:tc>
        <w:tc>
          <w:tcPr>
            <w:tcW w:w="1378" w:type="dxa"/>
            <w:hideMark/>
          </w:tcPr>
          <w:p w:rsidR="00F2508A" w:rsidRPr="00F2508A" w:rsidRDefault="00F2508A" w:rsidP="00F2508A">
            <w:pPr>
              <w:jc w:val="right"/>
              <w:rPr>
                <w:rFonts w:eastAsia="Times New Roman"/>
                <w:sz w:val="36"/>
                <w:szCs w:val="36"/>
                <w:lang w:eastAsia="en-GB"/>
              </w:rPr>
            </w:pPr>
            <w:r w:rsidRPr="00F2508A">
              <w:rPr>
                <w:rFonts w:ascii="Calibri" w:eastAsia="Times New Roman" w:hAnsi="Calibri" w:cs="Calibri"/>
                <w:color w:val="000000"/>
                <w:kern w:val="24"/>
                <w:lang w:eastAsia="en-GB"/>
              </w:rPr>
              <w:t>1072</w:t>
            </w:r>
          </w:p>
        </w:tc>
        <w:tc>
          <w:tcPr>
            <w:tcW w:w="1378" w:type="dxa"/>
            <w:hideMark/>
          </w:tcPr>
          <w:p w:rsidR="00F2508A" w:rsidRPr="00F2508A" w:rsidRDefault="00F2508A" w:rsidP="00F2508A">
            <w:pPr>
              <w:jc w:val="right"/>
              <w:rPr>
                <w:rFonts w:eastAsia="Times New Roman"/>
                <w:sz w:val="36"/>
                <w:szCs w:val="36"/>
                <w:lang w:eastAsia="en-GB"/>
              </w:rPr>
            </w:pPr>
            <w:r w:rsidRPr="00F2508A">
              <w:rPr>
                <w:rFonts w:ascii="Calibri" w:eastAsia="Times New Roman" w:hAnsi="Calibri" w:cs="Calibri"/>
                <w:color w:val="000000"/>
                <w:kern w:val="24"/>
                <w:lang w:eastAsia="en-GB"/>
              </w:rPr>
              <w:t>108</w:t>
            </w:r>
          </w:p>
        </w:tc>
      </w:tr>
      <w:tr w:rsidR="00F2508A" w:rsidRPr="00F2508A" w:rsidTr="00903F5A">
        <w:trPr>
          <w:trHeight w:val="584"/>
        </w:trPr>
        <w:tc>
          <w:tcPr>
            <w:tcW w:w="1378" w:type="dxa"/>
            <w:hideMark/>
          </w:tcPr>
          <w:p w:rsidR="00F2508A" w:rsidRPr="00F2508A" w:rsidRDefault="00F2508A" w:rsidP="00F2508A">
            <w:pPr>
              <w:rPr>
                <w:rFonts w:eastAsia="Times New Roman"/>
                <w:sz w:val="36"/>
                <w:szCs w:val="36"/>
                <w:lang w:eastAsia="en-GB"/>
              </w:rPr>
            </w:pPr>
            <w:r w:rsidRPr="00F2508A">
              <w:rPr>
                <w:rFonts w:ascii="Calibri" w:eastAsia="Times New Roman" w:hAnsi="Calibri" w:cs="Calibri"/>
                <w:color w:val="000000"/>
                <w:kern w:val="24"/>
                <w:lang w:eastAsia="en-GB"/>
              </w:rPr>
              <w:t>Number appointed from shortlisting</w:t>
            </w:r>
          </w:p>
        </w:tc>
        <w:tc>
          <w:tcPr>
            <w:tcW w:w="1378" w:type="dxa"/>
            <w:hideMark/>
          </w:tcPr>
          <w:p w:rsidR="00F2508A" w:rsidRPr="00F2508A" w:rsidRDefault="00F2508A" w:rsidP="00F2508A">
            <w:pPr>
              <w:jc w:val="right"/>
              <w:rPr>
                <w:rFonts w:eastAsia="Times New Roman"/>
                <w:sz w:val="36"/>
                <w:szCs w:val="36"/>
                <w:lang w:eastAsia="en-GB"/>
              </w:rPr>
            </w:pPr>
            <w:r w:rsidRPr="00F2508A">
              <w:rPr>
                <w:rFonts w:ascii="Calibri" w:eastAsia="Times New Roman" w:hAnsi="Calibri" w:cs="Calibri"/>
                <w:color w:val="000000"/>
                <w:kern w:val="24"/>
                <w:lang w:eastAsia="en-GB"/>
              </w:rPr>
              <w:t>683</w:t>
            </w:r>
          </w:p>
        </w:tc>
        <w:tc>
          <w:tcPr>
            <w:tcW w:w="1378" w:type="dxa"/>
            <w:hideMark/>
          </w:tcPr>
          <w:p w:rsidR="00F2508A" w:rsidRPr="00F2508A" w:rsidRDefault="00F2508A" w:rsidP="00F2508A">
            <w:pPr>
              <w:jc w:val="right"/>
              <w:rPr>
                <w:rFonts w:eastAsia="Times New Roman"/>
                <w:sz w:val="36"/>
                <w:szCs w:val="36"/>
                <w:lang w:eastAsia="en-GB"/>
              </w:rPr>
            </w:pPr>
            <w:r w:rsidRPr="00F2508A">
              <w:rPr>
                <w:rFonts w:ascii="Calibri" w:eastAsia="Times New Roman" w:hAnsi="Calibri" w:cs="Calibri"/>
                <w:color w:val="000000"/>
                <w:kern w:val="24"/>
                <w:lang w:eastAsia="en-GB"/>
              </w:rPr>
              <w:t>40</w:t>
            </w:r>
          </w:p>
        </w:tc>
        <w:tc>
          <w:tcPr>
            <w:tcW w:w="1378" w:type="dxa"/>
            <w:hideMark/>
          </w:tcPr>
          <w:p w:rsidR="00F2508A" w:rsidRPr="00F2508A" w:rsidRDefault="00F2508A" w:rsidP="00F2508A">
            <w:pPr>
              <w:jc w:val="right"/>
              <w:rPr>
                <w:rFonts w:eastAsia="Times New Roman"/>
                <w:sz w:val="36"/>
                <w:szCs w:val="36"/>
                <w:lang w:eastAsia="en-GB"/>
              </w:rPr>
            </w:pPr>
            <w:r w:rsidRPr="00F2508A">
              <w:rPr>
                <w:rFonts w:ascii="Calibri" w:eastAsia="Times New Roman" w:hAnsi="Calibri" w:cs="Calibri"/>
                <w:color w:val="000000"/>
                <w:kern w:val="24"/>
                <w:lang w:eastAsia="en-GB"/>
              </w:rPr>
              <w:t>31</w:t>
            </w:r>
          </w:p>
        </w:tc>
        <w:tc>
          <w:tcPr>
            <w:tcW w:w="1378" w:type="dxa"/>
            <w:hideMark/>
          </w:tcPr>
          <w:p w:rsidR="00F2508A" w:rsidRPr="00F2508A" w:rsidRDefault="00F2508A" w:rsidP="00F2508A">
            <w:pPr>
              <w:jc w:val="right"/>
              <w:rPr>
                <w:rFonts w:eastAsia="Times New Roman"/>
                <w:sz w:val="36"/>
                <w:szCs w:val="36"/>
                <w:lang w:eastAsia="en-GB"/>
              </w:rPr>
            </w:pPr>
            <w:r w:rsidRPr="00F2508A">
              <w:rPr>
                <w:rFonts w:ascii="Calibri" w:eastAsia="Times New Roman" w:hAnsi="Calibri" w:cs="Calibri"/>
                <w:color w:val="000000"/>
                <w:kern w:val="24"/>
                <w:lang w:eastAsia="en-GB"/>
              </w:rPr>
              <w:t>1018</w:t>
            </w:r>
          </w:p>
        </w:tc>
        <w:tc>
          <w:tcPr>
            <w:tcW w:w="1378" w:type="dxa"/>
            <w:hideMark/>
          </w:tcPr>
          <w:p w:rsidR="00F2508A" w:rsidRPr="00F2508A" w:rsidRDefault="00F2508A" w:rsidP="00F2508A">
            <w:pPr>
              <w:jc w:val="right"/>
              <w:rPr>
                <w:rFonts w:eastAsia="Times New Roman"/>
                <w:sz w:val="36"/>
                <w:szCs w:val="36"/>
                <w:lang w:eastAsia="en-GB"/>
              </w:rPr>
            </w:pPr>
            <w:r w:rsidRPr="00F2508A">
              <w:rPr>
                <w:rFonts w:ascii="Calibri" w:eastAsia="Times New Roman" w:hAnsi="Calibri" w:cs="Calibri"/>
                <w:color w:val="000000"/>
                <w:kern w:val="24"/>
                <w:lang w:eastAsia="en-GB"/>
              </w:rPr>
              <w:t>70</w:t>
            </w:r>
          </w:p>
        </w:tc>
        <w:tc>
          <w:tcPr>
            <w:tcW w:w="1378" w:type="dxa"/>
            <w:hideMark/>
          </w:tcPr>
          <w:p w:rsidR="00F2508A" w:rsidRPr="00F2508A" w:rsidRDefault="00F2508A" w:rsidP="00F2508A">
            <w:pPr>
              <w:jc w:val="right"/>
              <w:rPr>
                <w:rFonts w:eastAsia="Times New Roman"/>
                <w:sz w:val="36"/>
                <w:szCs w:val="36"/>
                <w:lang w:eastAsia="en-GB"/>
              </w:rPr>
            </w:pPr>
            <w:r w:rsidRPr="00F2508A">
              <w:rPr>
                <w:rFonts w:ascii="Calibri" w:eastAsia="Times New Roman" w:hAnsi="Calibri" w:cs="Calibri"/>
                <w:color w:val="000000"/>
                <w:kern w:val="24"/>
                <w:lang w:eastAsia="en-GB"/>
              </w:rPr>
              <w:t>62</w:t>
            </w:r>
          </w:p>
        </w:tc>
      </w:tr>
      <w:tr w:rsidR="00F2508A" w:rsidRPr="00F2508A" w:rsidTr="00903F5A">
        <w:trPr>
          <w:cnfStyle w:val="000000100000" w:firstRow="0" w:lastRow="0" w:firstColumn="0" w:lastColumn="0" w:oddVBand="0" w:evenVBand="0" w:oddHBand="1" w:evenHBand="0" w:firstRowFirstColumn="0" w:firstRowLastColumn="0" w:lastRowFirstColumn="0" w:lastRowLastColumn="0"/>
          <w:trHeight w:val="584"/>
        </w:trPr>
        <w:tc>
          <w:tcPr>
            <w:tcW w:w="1378" w:type="dxa"/>
            <w:hideMark/>
          </w:tcPr>
          <w:p w:rsidR="00F2508A" w:rsidRPr="00F2508A" w:rsidRDefault="00F2508A" w:rsidP="00F2508A">
            <w:pPr>
              <w:rPr>
                <w:rFonts w:eastAsia="Times New Roman"/>
                <w:sz w:val="36"/>
                <w:szCs w:val="36"/>
                <w:lang w:eastAsia="en-GB"/>
              </w:rPr>
            </w:pPr>
            <w:r w:rsidRPr="00F2508A">
              <w:rPr>
                <w:rFonts w:ascii="Calibri" w:eastAsia="Times New Roman" w:hAnsi="Calibri" w:cs="Calibri"/>
                <w:color w:val="000000"/>
                <w:kern w:val="24"/>
                <w:lang w:eastAsia="en-GB"/>
              </w:rPr>
              <w:t>Relative likelihood of appoint from shortlisting</w:t>
            </w:r>
          </w:p>
        </w:tc>
        <w:tc>
          <w:tcPr>
            <w:tcW w:w="1378" w:type="dxa"/>
            <w:hideMark/>
          </w:tcPr>
          <w:p w:rsidR="00F2508A" w:rsidRPr="00F2508A" w:rsidRDefault="00F2508A" w:rsidP="00F2508A">
            <w:pPr>
              <w:jc w:val="right"/>
              <w:rPr>
                <w:rFonts w:eastAsia="Times New Roman"/>
                <w:sz w:val="36"/>
                <w:szCs w:val="36"/>
                <w:lang w:eastAsia="en-GB"/>
              </w:rPr>
            </w:pPr>
            <w:r w:rsidRPr="00F2508A">
              <w:rPr>
                <w:rFonts w:ascii="Calibri" w:eastAsia="Times New Roman" w:hAnsi="Calibri" w:cs="Calibri"/>
                <w:color w:val="000000"/>
                <w:kern w:val="24"/>
                <w:lang w:eastAsia="en-GB"/>
              </w:rPr>
              <w:t>17.64%</w:t>
            </w:r>
          </w:p>
        </w:tc>
        <w:tc>
          <w:tcPr>
            <w:tcW w:w="1378" w:type="dxa"/>
            <w:hideMark/>
          </w:tcPr>
          <w:p w:rsidR="00F2508A" w:rsidRPr="00F2508A" w:rsidRDefault="00F2508A" w:rsidP="00F2508A">
            <w:pPr>
              <w:jc w:val="right"/>
              <w:rPr>
                <w:rFonts w:eastAsia="Times New Roman"/>
                <w:sz w:val="36"/>
                <w:szCs w:val="36"/>
                <w:lang w:eastAsia="en-GB"/>
              </w:rPr>
            </w:pPr>
            <w:r w:rsidRPr="00F2508A">
              <w:rPr>
                <w:rFonts w:ascii="Calibri" w:eastAsia="Times New Roman" w:hAnsi="Calibri" w:cs="Calibri"/>
                <w:color w:val="000000"/>
                <w:kern w:val="24"/>
                <w:lang w:eastAsia="en-GB"/>
              </w:rPr>
              <w:t>7.31%</w:t>
            </w:r>
          </w:p>
        </w:tc>
        <w:tc>
          <w:tcPr>
            <w:tcW w:w="1378" w:type="dxa"/>
            <w:hideMark/>
          </w:tcPr>
          <w:p w:rsidR="00F2508A" w:rsidRPr="00F2508A" w:rsidRDefault="00F2508A" w:rsidP="00F2508A">
            <w:pPr>
              <w:jc w:val="right"/>
              <w:rPr>
                <w:rFonts w:eastAsia="Times New Roman"/>
                <w:sz w:val="36"/>
                <w:szCs w:val="36"/>
                <w:lang w:eastAsia="en-GB"/>
              </w:rPr>
            </w:pPr>
            <w:r w:rsidRPr="00F2508A">
              <w:rPr>
                <w:rFonts w:ascii="Calibri" w:eastAsia="Times New Roman" w:hAnsi="Calibri" w:cs="Calibri"/>
                <w:color w:val="000000"/>
                <w:kern w:val="24"/>
                <w:lang w:eastAsia="en-GB"/>
              </w:rPr>
              <w:t>70.45%</w:t>
            </w:r>
          </w:p>
        </w:tc>
        <w:tc>
          <w:tcPr>
            <w:tcW w:w="1378" w:type="dxa"/>
            <w:hideMark/>
          </w:tcPr>
          <w:p w:rsidR="00F2508A" w:rsidRPr="00F2508A" w:rsidRDefault="00F2508A" w:rsidP="00F2508A">
            <w:pPr>
              <w:jc w:val="right"/>
              <w:rPr>
                <w:rFonts w:eastAsia="Times New Roman"/>
                <w:sz w:val="36"/>
                <w:szCs w:val="36"/>
                <w:lang w:eastAsia="en-GB"/>
              </w:rPr>
            </w:pPr>
            <w:r w:rsidRPr="00F2508A">
              <w:rPr>
                <w:rFonts w:ascii="Calibri" w:eastAsia="Times New Roman" w:hAnsi="Calibri" w:cs="Calibri"/>
                <w:color w:val="000000"/>
                <w:kern w:val="24"/>
                <w:lang w:eastAsia="en-GB"/>
              </w:rPr>
              <w:t>19.01%</w:t>
            </w:r>
          </w:p>
        </w:tc>
        <w:tc>
          <w:tcPr>
            <w:tcW w:w="1378" w:type="dxa"/>
            <w:hideMark/>
          </w:tcPr>
          <w:p w:rsidR="00F2508A" w:rsidRPr="00F2508A" w:rsidRDefault="00F2508A" w:rsidP="00F2508A">
            <w:pPr>
              <w:jc w:val="right"/>
              <w:rPr>
                <w:rFonts w:eastAsia="Times New Roman"/>
                <w:sz w:val="36"/>
                <w:szCs w:val="36"/>
                <w:lang w:eastAsia="en-GB"/>
              </w:rPr>
            </w:pPr>
            <w:r w:rsidRPr="00F2508A">
              <w:rPr>
                <w:rFonts w:ascii="Calibri" w:eastAsia="Times New Roman" w:hAnsi="Calibri" w:cs="Calibri"/>
                <w:color w:val="000000"/>
                <w:kern w:val="24"/>
                <w:lang w:eastAsia="en-GB"/>
              </w:rPr>
              <w:t>6.53%</w:t>
            </w:r>
          </w:p>
        </w:tc>
        <w:tc>
          <w:tcPr>
            <w:tcW w:w="1378" w:type="dxa"/>
            <w:hideMark/>
          </w:tcPr>
          <w:p w:rsidR="00F2508A" w:rsidRPr="00F2508A" w:rsidRDefault="00F2508A" w:rsidP="00F2508A">
            <w:pPr>
              <w:jc w:val="right"/>
              <w:rPr>
                <w:rFonts w:eastAsia="Times New Roman"/>
                <w:sz w:val="36"/>
                <w:szCs w:val="36"/>
                <w:lang w:eastAsia="en-GB"/>
              </w:rPr>
            </w:pPr>
            <w:r w:rsidRPr="00F2508A">
              <w:rPr>
                <w:rFonts w:ascii="Calibri" w:eastAsia="Times New Roman" w:hAnsi="Calibri" w:cs="Calibri"/>
                <w:color w:val="000000"/>
                <w:kern w:val="24"/>
                <w:lang w:eastAsia="en-GB"/>
              </w:rPr>
              <w:t>57.41%</w:t>
            </w:r>
          </w:p>
        </w:tc>
      </w:tr>
      <w:tr w:rsidR="00F2508A" w:rsidRPr="00F2508A" w:rsidTr="00903F5A">
        <w:trPr>
          <w:trHeight w:val="584"/>
        </w:trPr>
        <w:tc>
          <w:tcPr>
            <w:tcW w:w="1378" w:type="dxa"/>
            <w:hideMark/>
          </w:tcPr>
          <w:p w:rsidR="00F2508A" w:rsidRPr="00F2508A" w:rsidRDefault="00F2508A" w:rsidP="00F2508A">
            <w:pPr>
              <w:rPr>
                <w:rFonts w:eastAsia="Times New Roman"/>
                <w:sz w:val="36"/>
                <w:szCs w:val="36"/>
                <w:lang w:eastAsia="en-GB"/>
              </w:rPr>
            </w:pPr>
            <w:r w:rsidRPr="00F2508A">
              <w:rPr>
                <w:rFonts w:ascii="Calibri" w:eastAsia="Times New Roman" w:hAnsi="Calibri" w:cs="Calibri"/>
                <w:color w:val="000000"/>
                <w:kern w:val="24"/>
                <w:lang w:eastAsia="en-GB"/>
              </w:rPr>
              <w:t>White compared to BAME Staff</w:t>
            </w:r>
          </w:p>
        </w:tc>
        <w:tc>
          <w:tcPr>
            <w:tcW w:w="1378" w:type="dxa"/>
            <w:hideMark/>
          </w:tcPr>
          <w:p w:rsidR="00F2508A" w:rsidRPr="00F2508A" w:rsidRDefault="00F2508A" w:rsidP="00F2508A">
            <w:pPr>
              <w:jc w:val="right"/>
              <w:rPr>
                <w:rFonts w:eastAsia="Times New Roman"/>
                <w:sz w:val="36"/>
                <w:szCs w:val="36"/>
                <w:lang w:eastAsia="en-GB"/>
              </w:rPr>
            </w:pPr>
            <w:r w:rsidRPr="00F2508A">
              <w:rPr>
                <w:rFonts w:ascii="Calibri" w:eastAsia="Times New Roman" w:hAnsi="Calibri" w:cs="Calibri"/>
                <w:color w:val="000000"/>
                <w:kern w:val="24"/>
                <w:lang w:eastAsia="en-GB"/>
              </w:rPr>
              <w:t>2.41</w:t>
            </w:r>
          </w:p>
        </w:tc>
        <w:tc>
          <w:tcPr>
            <w:tcW w:w="1378" w:type="dxa"/>
            <w:hideMark/>
          </w:tcPr>
          <w:p w:rsidR="00F2508A" w:rsidRPr="00F2508A" w:rsidRDefault="00F2508A" w:rsidP="00F2508A">
            <w:pPr>
              <w:rPr>
                <w:rFonts w:eastAsia="Times New Roman"/>
                <w:sz w:val="36"/>
                <w:szCs w:val="36"/>
                <w:lang w:eastAsia="en-GB"/>
              </w:rPr>
            </w:pPr>
          </w:p>
        </w:tc>
        <w:tc>
          <w:tcPr>
            <w:tcW w:w="1378" w:type="dxa"/>
            <w:hideMark/>
          </w:tcPr>
          <w:p w:rsidR="00F2508A" w:rsidRPr="00F2508A" w:rsidRDefault="00F2508A" w:rsidP="00F2508A">
            <w:pPr>
              <w:rPr>
                <w:rFonts w:ascii="Times New Roman" w:eastAsia="Times New Roman" w:hAnsi="Times New Roman" w:cs="Times New Roman"/>
                <w:sz w:val="20"/>
                <w:szCs w:val="20"/>
                <w:lang w:eastAsia="en-GB"/>
              </w:rPr>
            </w:pPr>
          </w:p>
        </w:tc>
        <w:tc>
          <w:tcPr>
            <w:tcW w:w="1378" w:type="dxa"/>
            <w:hideMark/>
          </w:tcPr>
          <w:p w:rsidR="00F2508A" w:rsidRPr="00F2508A" w:rsidRDefault="00F2508A" w:rsidP="00F2508A">
            <w:pPr>
              <w:jc w:val="right"/>
              <w:rPr>
                <w:rFonts w:eastAsia="Times New Roman"/>
                <w:sz w:val="36"/>
                <w:szCs w:val="36"/>
                <w:lang w:eastAsia="en-GB"/>
              </w:rPr>
            </w:pPr>
            <w:r w:rsidRPr="00F2508A">
              <w:rPr>
                <w:rFonts w:ascii="Calibri" w:eastAsia="Times New Roman" w:hAnsi="Calibri" w:cs="Calibri"/>
                <w:color w:val="000000"/>
                <w:kern w:val="24"/>
                <w:lang w:eastAsia="en-GB"/>
              </w:rPr>
              <w:t>2.91</w:t>
            </w:r>
          </w:p>
        </w:tc>
        <w:tc>
          <w:tcPr>
            <w:tcW w:w="1378" w:type="dxa"/>
            <w:hideMark/>
          </w:tcPr>
          <w:p w:rsidR="00F2508A" w:rsidRPr="00F2508A" w:rsidRDefault="00F2508A" w:rsidP="00F2508A">
            <w:pPr>
              <w:rPr>
                <w:rFonts w:eastAsia="Times New Roman"/>
                <w:sz w:val="36"/>
                <w:szCs w:val="36"/>
                <w:lang w:eastAsia="en-GB"/>
              </w:rPr>
            </w:pPr>
          </w:p>
        </w:tc>
        <w:tc>
          <w:tcPr>
            <w:tcW w:w="1378" w:type="dxa"/>
            <w:hideMark/>
          </w:tcPr>
          <w:p w:rsidR="00F2508A" w:rsidRPr="00F2508A" w:rsidRDefault="00F2508A" w:rsidP="00F2508A">
            <w:pPr>
              <w:rPr>
                <w:rFonts w:ascii="Times New Roman" w:eastAsia="Times New Roman" w:hAnsi="Times New Roman" w:cs="Times New Roman"/>
                <w:sz w:val="20"/>
                <w:szCs w:val="20"/>
                <w:lang w:eastAsia="en-GB"/>
              </w:rPr>
            </w:pPr>
          </w:p>
        </w:tc>
      </w:tr>
    </w:tbl>
    <w:p w:rsidR="00F2508A" w:rsidRPr="00F2508A" w:rsidRDefault="00F2508A" w:rsidP="00F2508A"/>
    <w:p w:rsidR="00F2508A" w:rsidRPr="00F2508A" w:rsidRDefault="00F2508A" w:rsidP="00F2508A">
      <w:r w:rsidRPr="00F2508A">
        <w:br w:type="page"/>
      </w:r>
    </w:p>
    <w:p w:rsidR="00F2508A" w:rsidRPr="00F2508A" w:rsidRDefault="00F2508A" w:rsidP="00F2508A">
      <w:pPr>
        <w:ind w:left="720" w:hanging="720"/>
      </w:pPr>
      <w:r w:rsidRPr="00F2508A">
        <w:lastRenderedPageBreak/>
        <w:t>(3)</w:t>
      </w:r>
      <w:r w:rsidRPr="00F2508A">
        <w:tab/>
        <w:t>Relative likelihood of staff entering the formal disciplinary process, as measured by entry into a formal disciplinary investigation</w:t>
      </w:r>
    </w:p>
    <w:tbl>
      <w:tblPr>
        <w:tblW w:w="9646" w:type="dxa"/>
        <w:tblCellMar>
          <w:left w:w="0" w:type="dxa"/>
          <w:right w:w="0" w:type="dxa"/>
        </w:tblCellMar>
        <w:tblLook w:val="0420" w:firstRow="1" w:lastRow="0" w:firstColumn="0" w:lastColumn="0" w:noHBand="0" w:noVBand="1"/>
      </w:tblPr>
      <w:tblGrid>
        <w:gridCol w:w="1392"/>
        <w:gridCol w:w="1375"/>
        <w:gridCol w:w="1375"/>
        <w:gridCol w:w="1377"/>
        <w:gridCol w:w="1375"/>
        <w:gridCol w:w="1375"/>
        <w:gridCol w:w="1377"/>
      </w:tblGrid>
      <w:tr w:rsidR="00F2508A" w:rsidRPr="00F2508A" w:rsidTr="00BE0C32">
        <w:trPr>
          <w:trHeight w:val="584"/>
        </w:trPr>
        <w:tc>
          <w:tcPr>
            <w:tcW w:w="139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ascii="Times New Roman" w:eastAsia="Times New Roman" w:hAnsi="Times New Roman" w:cs="Times New Roman"/>
                <w:lang w:eastAsia="en-GB"/>
              </w:rPr>
            </w:pPr>
          </w:p>
        </w:tc>
        <w:tc>
          <w:tcPr>
            <w:tcW w:w="137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2019 White</w:t>
            </w:r>
          </w:p>
        </w:tc>
        <w:tc>
          <w:tcPr>
            <w:tcW w:w="137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2019 BAME</w:t>
            </w:r>
          </w:p>
        </w:tc>
        <w:tc>
          <w:tcPr>
            <w:tcW w:w="137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2019 Unknown</w:t>
            </w:r>
          </w:p>
        </w:tc>
        <w:tc>
          <w:tcPr>
            <w:tcW w:w="137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2020 White</w:t>
            </w:r>
          </w:p>
        </w:tc>
        <w:tc>
          <w:tcPr>
            <w:tcW w:w="137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2020 BAME</w:t>
            </w:r>
          </w:p>
        </w:tc>
        <w:tc>
          <w:tcPr>
            <w:tcW w:w="137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2020 Unknown</w:t>
            </w:r>
          </w:p>
        </w:tc>
      </w:tr>
      <w:tr w:rsidR="00F2508A" w:rsidRPr="00F2508A" w:rsidTr="00BE0C32">
        <w:trPr>
          <w:trHeight w:val="584"/>
        </w:trPr>
        <w:tc>
          <w:tcPr>
            <w:tcW w:w="139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Number of staff in workforce</w:t>
            </w:r>
          </w:p>
        </w:tc>
        <w:tc>
          <w:tcPr>
            <w:tcW w:w="137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4927</w:t>
            </w:r>
          </w:p>
        </w:tc>
        <w:tc>
          <w:tcPr>
            <w:tcW w:w="137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260</w:t>
            </w:r>
          </w:p>
        </w:tc>
        <w:tc>
          <w:tcPr>
            <w:tcW w:w="137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483</w:t>
            </w:r>
          </w:p>
        </w:tc>
        <w:tc>
          <w:tcPr>
            <w:tcW w:w="137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5976</w:t>
            </w:r>
          </w:p>
        </w:tc>
        <w:tc>
          <w:tcPr>
            <w:tcW w:w="137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314</w:t>
            </w:r>
          </w:p>
        </w:tc>
        <w:tc>
          <w:tcPr>
            <w:tcW w:w="137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446</w:t>
            </w:r>
          </w:p>
        </w:tc>
      </w:tr>
      <w:tr w:rsidR="00F2508A" w:rsidRPr="00F2508A" w:rsidTr="00BE0C32">
        <w:trPr>
          <w:trHeight w:val="584"/>
        </w:trPr>
        <w:tc>
          <w:tcPr>
            <w:tcW w:w="139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Number entering formal disciplinary processes</w:t>
            </w:r>
          </w:p>
        </w:tc>
        <w:tc>
          <w:tcPr>
            <w:tcW w:w="137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252</w:t>
            </w:r>
          </w:p>
        </w:tc>
        <w:tc>
          <w:tcPr>
            <w:tcW w:w="137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15</w:t>
            </w:r>
          </w:p>
        </w:tc>
        <w:tc>
          <w:tcPr>
            <w:tcW w:w="137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22</w:t>
            </w:r>
          </w:p>
        </w:tc>
        <w:tc>
          <w:tcPr>
            <w:tcW w:w="137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185</w:t>
            </w:r>
          </w:p>
        </w:tc>
        <w:tc>
          <w:tcPr>
            <w:tcW w:w="137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24</w:t>
            </w:r>
          </w:p>
        </w:tc>
        <w:tc>
          <w:tcPr>
            <w:tcW w:w="137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25</w:t>
            </w:r>
          </w:p>
        </w:tc>
      </w:tr>
      <w:tr w:rsidR="00F2508A" w:rsidRPr="00F2508A" w:rsidTr="00BE0C32">
        <w:trPr>
          <w:trHeight w:val="584"/>
        </w:trPr>
        <w:tc>
          <w:tcPr>
            <w:tcW w:w="139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Likelihood of staff entering process</w:t>
            </w:r>
          </w:p>
        </w:tc>
        <w:tc>
          <w:tcPr>
            <w:tcW w:w="137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5.11%</w:t>
            </w:r>
          </w:p>
        </w:tc>
        <w:tc>
          <w:tcPr>
            <w:tcW w:w="137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5.77%</w:t>
            </w:r>
          </w:p>
        </w:tc>
        <w:tc>
          <w:tcPr>
            <w:tcW w:w="137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4.55%</w:t>
            </w:r>
          </w:p>
        </w:tc>
        <w:tc>
          <w:tcPr>
            <w:tcW w:w="137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3.10%</w:t>
            </w:r>
          </w:p>
        </w:tc>
        <w:tc>
          <w:tcPr>
            <w:tcW w:w="137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7.64%</w:t>
            </w:r>
          </w:p>
        </w:tc>
        <w:tc>
          <w:tcPr>
            <w:tcW w:w="137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5.61%</w:t>
            </w:r>
          </w:p>
        </w:tc>
      </w:tr>
      <w:tr w:rsidR="00F2508A" w:rsidRPr="00F2508A" w:rsidTr="00BE0C32">
        <w:trPr>
          <w:trHeight w:val="584"/>
        </w:trPr>
        <w:tc>
          <w:tcPr>
            <w:tcW w:w="139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Relative likelihood BME to White Staff</w:t>
            </w:r>
          </w:p>
        </w:tc>
        <w:tc>
          <w:tcPr>
            <w:tcW w:w="137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p>
        </w:tc>
        <w:tc>
          <w:tcPr>
            <w:tcW w:w="137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1.13</w:t>
            </w:r>
          </w:p>
        </w:tc>
        <w:tc>
          <w:tcPr>
            <w:tcW w:w="137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p>
        </w:tc>
        <w:tc>
          <w:tcPr>
            <w:tcW w:w="137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ascii="Times New Roman" w:eastAsia="Times New Roman" w:hAnsi="Times New Roman" w:cs="Times New Roman"/>
                <w:sz w:val="20"/>
                <w:szCs w:val="20"/>
                <w:lang w:eastAsia="en-GB"/>
              </w:rPr>
            </w:pPr>
          </w:p>
        </w:tc>
        <w:tc>
          <w:tcPr>
            <w:tcW w:w="137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2.47</w:t>
            </w:r>
          </w:p>
        </w:tc>
        <w:tc>
          <w:tcPr>
            <w:tcW w:w="137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p>
        </w:tc>
      </w:tr>
    </w:tbl>
    <w:p w:rsidR="00F2508A" w:rsidRPr="00F2508A" w:rsidRDefault="00F2508A" w:rsidP="00F2508A">
      <w:pPr>
        <w:ind w:left="720" w:hanging="720"/>
      </w:pPr>
      <w:r w:rsidRPr="00F2508A">
        <w:t>(4)</w:t>
      </w:r>
      <w:r w:rsidRPr="00F2508A">
        <w:tab/>
        <w:t>Relative likelihood of staff accessing non-mandatory training and CPD</w:t>
      </w:r>
    </w:p>
    <w:tbl>
      <w:tblPr>
        <w:tblW w:w="9646" w:type="dxa"/>
        <w:tblCellMar>
          <w:left w:w="0" w:type="dxa"/>
          <w:right w:w="0" w:type="dxa"/>
        </w:tblCellMar>
        <w:tblLook w:val="0420" w:firstRow="1" w:lastRow="0" w:firstColumn="0" w:lastColumn="0" w:noHBand="0" w:noVBand="1"/>
      </w:tblPr>
      <w:tblGrid>
        <w:gridCol w:w="1378"/>
        <w:gridCol w:w="1378"/>
        <w:gridCol w:w="1378"/>
        <w:gridCol w:w="1378"/>
        <w:gridCol w:w="1378"/>
        <w:gridCol w:w="1378"/>
        <w:gridCol w:w="1378"/>
      </w:tblGrid>
      <w:tr w:rsidR="00F2508A" w:rsidRPr="00F2508A" w:rsidTr="00903F5A">
        <w:trPr>
          <w:trHeight w:val="584"/>
        </w:trPr>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ascii="Times New Roman" w:eastAsia="Times New Roman" w:hAnsi="Times New Roman" w:cs="Times New Roman"/>
                <w:lang w:eastAsia="en-GB"/>
              </w:rPr>
            </w:pP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2019 White</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2019 BAME</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2019 Unknown</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2020 White</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2020 BAME</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2020 Unknown</w:t>
            </w:r>
          </w:p>
        </w:tc>
      </w:tr>
      <w:tr w:rsidR="00F2508A" w:rsidRPr="00F2508A" w:rsidTr="00903F5A">
        <w:trPr>
          <w:trHeight w:val="584"/>
        </w:trPr>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Number of staff in workforce</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4927</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260</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483</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5976</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314</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446</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Number accessing non mandatory</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46</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25</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 xml:space="preserve">Likelihood of </w:t>
            </w:r>
            <w:proofErr w:type="spellStart"/>
            <w:r w:rsidRPr="00F2508A">
              <w:rPr>
                <w:rFonts w:ascii="Calibri" w:eastAsia="Times New Roman" w:hAnsi="Calibri" w:cs="Calibri"/>
                <w:color w:val="000000"/>
                <w:kern w:val="24"/>
                <w:lang w:eastAsia="en-GB"/>
              </w:rPr>
              <w:t>of</w:t>
            </w:r>
            <w:proofErr w:type="spellEnd"/>
            <w:r w:rsidRPr="00F2508A">
              <w:rPr>
                <w:rFonts w:ascii="Calibri" w:eastAsia="Times New Roman" w:hAnsi="Calibri" w:cs="Calibri"/>
                <w:color w:val="000000"/>
                <w:kern w:val="24"/>
                <w:lang w:eastAsia="en-GB"/>
              </w:rPr>
              <w:t xml:space="preserve"> staff accessing non mandatory</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0.93%</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0.38%</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0.41%</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0.42%</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0.64%</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0.00%</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Relative likelihood White staff to BAME</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2.43</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ascii="Times New Roman" w:eastAsia="Times New Roman" w:hAnsi="Times New Roman" w:cs="Times New Roman"/>
                <w:sz w:val="20"/>
                <w:szCs w:val="20"/>
                <w:lang w:eastAsia="en-GB"/>
              </w:rPr>
            </w:pP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0.66</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ascii="Times New Roman" w:eastAsia="Times New Roman" w:hAnsi="Times New Roman" w:cs="Times New Roman"/>
                <w:sz w:val="20"/>
                <w:szCs w:val="20"/>
                <w:lang w:eastAsia="en-GB"/>
              </w:rPr>
            </w:pPr>
          </w:p>
        </w:tc>
      </w:tr>
    </w:tbl>
    <w:p w:rsidR="00F2508A" w:rsidRPr="00F2508A" w:rsidRDefault="00F2508A" w:rsidP="00F2508A">
      <w:pPr>
        <w:ind w:left="720" w:hanging="720"/>
      </w:pPr>
    </w:p>
    <w:p w:rsidR="00F2508A" w:rsidRPr="00F2508A" w:rsidRDefault="00F2508A" w:rsidP="00F2508A">
      <w:pPr>
        <w:ind w:left="720" w:hanging="720"/>
      </w:pPr>
      <w:r w:rsidRPr="00F2508A">
        <w:lastRenderedPageBreak/>
        <w:t>Staff Survey Metrics</w:t>
      </w:r>
    </w:p>
    <w:p w:rsidR="00F2508A" w:rsidRPr="00F2508A" w:rsidRDefault="00F2508A" w:rsidP="00F2508A">
      <w:pPr>
        <w:ind w:left="720" w:hanging="720"/>
      </w:pPr>
      <w:r w:rsidRPr="00F2508A">
        <w:t>(5)</w:t>
      </w:r>
      <w:r w:rsidRPr="00F2508A">
        <w:tab/>
        <w:t>Percentage of staff experiencing harassment, bullying or abuse from patients, relatives or the public in last 12 months</w:t>
      </w:r>
    </w:p>
    <w:tbl>
      <w:tblPr>
        <w:tblStyle w:val="GridTable4-Accent1"/>
        <w:tblW w:w="9072" w:type="dxa"/>
        <w:tblLook w:val="04A0" w:firstRow="1" w:lastRow="0" w:firstColumn="1" w:lastColumn="0" w:noHBand="0" w:noVBand="1"/>
      </w:tblPr>
      <w:tblGrid>
        <w:gridCol w:w="2268"/>
        <w:gridCol w:w="2268"/>
        <w:gridCol w:w="2268"/>
        <w:gridCol w:w="2268"/>
      </w:tblGrid>
      <w:tr w:rsidR="00F2508A" w:rsidRPr="00F2508A" w:rsidTr="0090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F2508A" w:rsidRPr="00F2508A" w:rsidRDefault="00F2508A" w:rsidP="00F2508A"/>
        </w:tc>
        <w:tc>
          <w:tcPr>
            <w:tcW w:w="2268" w:type="dxa"/>
          </w:tcPr>
          <w:p w:rsidR="00F2508A" w:rsidRPr="00F2508A" w:rsidRDefault="00F2508A" w:rsidP="00F2508A">
            <w:pPr>
              <w:cnfStyle w:val="100000000000" w:firstRow="1" w:lastRow="0" w:firstColumn="0" w:lastColumn="0" w:oddVBand="0" w:evenVBand="0" w:oddHBand="0" w:evenHBand="0" w:firstRowFirstColumn="0" w:firstRowLastColumn="0" w:lastRowFirstColumn="0" w:lastRowLastColumn="0"/>
            </w:pPr>
            <w:r w:rsidRPr="00F2508A">
              <w:t>2017</w:t>
            </w:r>
          </w:p>
        </w:tc>
        <w:tc>
          <w:tcPr>
            <w:tcW w:w="2268" w:type="dxa"/>
          </w:tcPr>
          <w:p w:rsidR="00F2508A" w:rsidRPr="00F2508A" w:rsidRDefault="00F2508A" w:rsidP="00F2508A">
            <w:pPr>
              <w:cnfStyle w:val="100000000000" w:firstRow="1" w:lastRow="0" w:firstColumn="0" w:lastColumn="0" w:oddVBand="0" w:evenVBand="0" w:oddHBand="0" w:evenHBand="0" w:firstRowFirstColumn="0" w:firstRowLastColumn="0" w:lastRowFirstColumn="0" w:lastRowLastColumn="0"/>
            </w:pPr>
            <w:r w:rsidRPr="00F2508A">
              <w:t>2018</w:t>
            </w:r>
          </w:p>
        </w:tc>
        <w:tc>
          <w:tcPr>
            <w:tcW w:w="2268" w:type="dxa"/>
          </w:tcPr>
          <w:p w:rsidR="00F2508A" w:rsidRPr="00F2508A" w:rsidRDefault="00F2508A" w:rsidP="00F2508A">
            <w:pPr>
              <w:cnfStyle w:val="100000000000" w:firstRow="1" w:lastRow="0" w:firstColumn="0" w:lastColumn="0" w:oddVBand="0" w:evenVBand="0" w:oddHBand="0" w:evenHBand="0" w:firstRowFirstColumn="0" w:firstRowLastColumn="0" w:lastRowFirstColumn="0" w:lastRowLastColumn="0"/>
            </w:pPr>
            <w:r w:rsidRPr="00F2508A">
              <w:t>2019</w:t>
            </w:r>
          </w:p>
        </w:tc>
      </w:tr>
      <w:tr w:rsidR="00F2508A" w:rsidRPr="00F2508A" w:rsidTr="00903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F2508A" w:rsidRPr="00F2508A" w:rsidRDefault="00F2508A" w:rsidP="00F2508A">
            <w:r w:rsidRPr="00F2508A">
              <w:t>White Trust</w:t>
            </w:r>
          </w:p>
        </w:tc>
        <w:tc>
          <w:tcPr>
            <w:tcW w:w="2268" w:type="dxa"/>
          </w:tcPr>
          <w:p w:rsidR="00F2508A" w:rsidRPr="00F2508A" w:rsidRDefault="00F2508A" w:rsidP="00F2508A">
            <w:pPr>
              <w:cnfStyle w:val="000000100000" w:firstRow="0" w:lastRow="0" w:firstColumn="0" w:lastColumn="0" w:oddVBand="0" w:evenVBand="0" w:oddHBand="1" w:evenHBand="0" w:firstRowFirstColumn="0" w:firstRowLastColumn="0" w:lastRowFirstColumn="0" w:lastRowLastColumn="0"/>
            </w:pPr>
            <w:r w:rsidRPr="00F2508A">
              <w:t>36.4%</w:t>
            </w:r>
          </w:p>
        </w:tc>
        <w:tc>
          <w:tcPr>
            <w:tcW w:w="2268" w:type="dxa"/>
          </w:tcPr>
          <w:p w:rsidR="00F2508A" w:rsidRPr="00F2508A" w:rsidRDefault="00F2508A" w:rsidP="00F2508A">
            <w:pPr>
              <w:cnfStyle w:val="000000100000" w:firstRow="0" w:lastRow="0" w:firstColumn="0" w:lastColumn="0" w:oddVBand="0" w:evenVBand="0" w:oddHBand="1" w:evenHBand="0" w:firstRowFirstColumn="0" w:firstRowLastColumn="0" w:lastRowFirstColumn="0" w:lastRowLastColumn="0"/>
            </w:pPr>
            <w:r w:rsidRPr="00F2508A">
              <w:t>37.7%</w:t>
            </w:r>
          </w:p>
        </w:tc>
        <w:tc>
          <w:tcPr>
            <w:tcW w:w="2268" w:type="dxa"/>
          </w:tcPr>
          <w:p w:rsidR="00F2508A" w:rsidRPr="00F2508A" w:rsidRDefault="00F2508A" w:rsidP="00F2508A">
            <w:pPr>
              <w:cnfStyle w:val="000000100000" w:firstRow="0" w:lastRow="0" w:firstColumn="0" w:lastColumn="0" w:oddVBand="0" w:evenVBand="0" w:oddHBand="1" w:evenHBand="0" w:firstRowFirstColumn="0" w:firstRowLastColumn="0" w:lastRowFirstColumn="0" w:lastRowLastColumn="0"/>
            </w:pPr>
            <w:r w:rsidRPr="00F2508A">
              <w:t>34.2%</w:t>
            </w:r>
          </w:p>
        </w:tc>
      </w:tr>
      <w:tr w:rsidR="00F2508A" w:rsidRPr="00F2508A" w:rsidTr="00903F5A">
        <w:tc>
          <w:tcPr>
            <w:cnfStyle w:val="001000000000" w:firstRow="0" w:lastRow="0" w:firstColumn="1" w:lastColumn="0" w:oddVBand="0" w:evenVBand="0" w:oddHBand="0" w:evenHBand="0" w:firstRowFirstColumn="0" w:firstRowLastColumn="0" w:lastRowFirstColumn="0" w:lastRowLastColumn="0"/>
            <w:tcW w:w="2268" w:type="dxa"/>
          </w:tcPr>
          <w:p w:rsidR="00F2508A" w:rsidRPr="00F2508A" w:rsidRDefault="00F2508A" w:rsidP="00F2508A">
            <w:r w:rsidRPr="00F2508A">
              <w:t>BAME Trust</w:t>
            </w:r>
          </w:p>
        </w:tc>
        <w:tc>
          <w:tcPr>
            <w:tcW w:w="2268" w:type="dxa"/>
          </w:tcPr>
          <w:p w:rsidR="00F2508A" w:rsidRPr="00F2508A" w:rsidRDefault="00F2508A" w:rsidP="00F2508A">
            <w:pPr>
              <w:cnfStyle w:val="000000000000" w:firstRow="0" w:lastRow="0" w:firstColumn="0" w:lastColumn="0" w:oddVBand="0" w:evenVBand="0" w:oddHBand="0" w:evenHBand="0" w:firstRowFirstColumn="0" w:firstRowLastColumn="0" w:lastRowFirstColumn="0" w:lastRowLastColumn="0"/>
            </w:pPr>
            <w:r w:rsidRPr="00F2508A">
              <w:t>44.6%</w:t>
            </w:r>
          </w:p>
        </w:tc>
        <w:tc>
          <w:tcPr>
            <w:tcW w:w="2268" w:type="dxa"/>
          </w:tcPr>
          <w:p w:rsidR="00F2508A" w:rsidRPr="00F2508A" w:rsidRDefault="00F2508A" w:rsidP="00F2508A">
            <w:pPr>
              <w:cnfStyle w:val="000000000000" w:firstRow="0" w:lastRow="0" w:firstColumn="0" w:lastColumn="0" w:oddVBand="0" w:evenVBand="0" w:oddHBand="0" w:evenHBand="0" w:firstRowFirstColumn="0" w:firstRowLastColumn="0" w:lastRowFirstColumn="0" w:lastRowLastColumn="0"/>
            </w:pPr>
            <w:r w:rsidRPr="00F2508A">
              <w:t>43.6%</w:t>
            </w:r>
          </w:p>
        </w:tc>
        <w:tc>
          <w:tcPr>
            <w:tcW w:w="2268" w:type="dxa"/>
          </w:tcPr>
          <w:p w:rsidR="00F2508A" w:rsidRPr="00F2508A" w:rsidRDefault="00F2508A" w:rsidP="00F2508A">
            <w:pPr>
              <w:cnfStyle w:val="000000000000" w:firstRow="0" w:lastRow="0" w:firstColumn="0" w:lastColumn="0" w:oddVBand="0" w:evenVBand="0" w:oddHBand="0" w:evenHBand="0" w:firstRowFirstColumn="0" w:firstRowLastColumn="0" w:lastRowFirstColumn="0" w:lastRowLastColumn="0"/>
            </w:pPr>
            <w:r w:rsidRPr="00F2508A">
              <w:t>39.2%</w:t>
            </w:r>
          </w:p>
        </w:tc>
      </w:tr>
      <w:tr w:rsidR="00F2508A" w:rsidRPr="00F2508A" w:rsidTr="00903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F2508A" w:rsidRPr="00F2508A" w:rsidRDefault="00F2508A" w:rsidP="00F2508A">
            <w:r w:rsidRPr="00F2508A">
              <w:t>White Average</w:t>
            </w:r>
          </w:p>
        </w:tc>
        <w:tc>
          <w:tcPr>
            <w:tcW w:w="2268" w:type="dxa"/>
          </w:tcPr>
          <w:p w:rsidR="00F2508A" w:rsidRPr="00F2508A" w:rsidRDefault="00F2508A" w:rsidP="00F2508A">
            <w:pPr>
              <w:cnfStyle w:val="000000100000" w:firstRow="0" w:lastRow="0" w:firstColumn="0" w:lastColumn="0" w:oddVBand="0" w:evenVBand="0" w:oddHBand="1" w:evenHBand="0" w:firstRowFirstColumn="0" w:firstRowLastColumn="0" w:lastRowFirstColumn="0" w:lastRowLastColumn="0"/>
            </w:pPr>
            <w:r w:rsidRPr="00F2508A">
              <w:t>31.8%</w:t>
            </w:r>
          </w:p>
        </w:tc>
        <w:tc>
          <w:tcPr>
            <w:tcW w:w="2268" w:type="dxa"/>
          </w:tcPr>
          <w:p w:rsidR="00F2508A" w:rsidRPr="00F2508A" w:rsidRDefault="00F2508A" w:rsidP="00F2508A">
            <w:pPr>
              <w:cnfStyle w:val="000000100000" w:firstRow="0" w:lastRow="0" w:firstColumn="0" w:lastColumn="0" w:oddVBand="0" w:evenVBand="0" w:oddHBand="1" w:evenHBand="0" w:firstRowFirstColumn="0" w:firstRowLastColumn="0" w:lastRowFirstColumn="0" w:lastRowLastColumn="0"/>
            </w:pPr>
            <w:r w:rsidRPr="00F2508A">
              <w:t>29.6%</w:t>
            </w:r>
          </w:p>
        </w:tc>
        <w:tc>
          <w:tcPr>
            <w:tcW w:w="2268" w:type="dxa"/>
          </w:tcPr>
          <w:p w:rsidR="00F2508A" w:rsidRPr="00F2508A" w:rsidRDefault="00F2508A" w:rsidP="00F2508A">
            <w:pPr>
              <w:cnfStyle w:val="000000100000" w:firstRow="0" w:lastRow="0" w:firstColumn="0" w:lastColumn="0" w:oddVBand="0" w:evenVBand="0" w:oddHBand="1" w:evenHBand="0" w:firstRowFirstColumn="0" w:firstRowLastColumn="0" w:lastRowFirstColumn="0" w:lastRowLastColumn="0"/>
            </w:pPr>
            <w:r w:rsidRPr="00F2508A">
              <w:t>31.7%</w:t>
            </w:r>
          </w:p>
        </w:tc>
      </w:tr>
      <w:tr w:rsidR="00F2508A" w:rsidRPr="00F2508A" w:rsidTr="00903F5A">
        <w:tc>
          <w:tcPr>
            <w:cnfStyle w:val="001000000000" w:firstRow="0" w:lastRow="0" w:firstColumn="1" w:lastColumn="0" w:oddVBand="0" w:evenVBand="0" w:oddHBand="0" w:evenHBand="0" w:firstRowFirstColumn="0" w:firstRowLastColumn="0" w:lastRowFirstColumn="0" w:lastRowLastColumn="0"/>
            <w:tcW w:w="2268" w:type="dxa"/>
          </w:tcPr>
          <w:p w:rsidR="00F2508A" w:rsidRPr="00F2508A" w:rsidRDefault="00F2508A" w:rsidP="00F2508A">
            <w:r w:rsidRPr="00F2508A">
              <w:t>BAME Average</w:t>
            </w:r>
          </w:p>
        </w:tc>
        <w:tc>
          <w:tcPr>
            <w:tcW w:w="2268" w:type="dxa"/>
          </w:tcPr>
          <w:p w:rsidR="00F2508A" w:rsidRPr="00F2508A" w:rsidRDefault="00F2508A" w:rsidP="00F2508A">
            <w:pPr>
              <w:cnfStyle w:val="000000000000" w:firstRow="0" w:lastRow="0" w:firstColumn="0" w:lastColumn="0" w:oddVBand="0" w:evenVBand="0" w:oddHBand="0" w:evenHBand="0" w:firstRowFirstColumn="0" w:firstRowLastColumn="0" w:lastRowFirstColumn="0" w:lastRowLastColumn="0"/>
            </w:pPr>
            <w:r w:rsidRPr="00F2508A">
              <w:t>36.1%</w:t>
            </w:r>
          </w:p>
        </w:tc>
        <w:tc>
          <w:tcPr>
            <w:tcW w:w="2268" w:type="dxa"/>
          </w:tcPr>
          <w:p w:rsidR="00F2508A" w:rsidRPr="00F2508A" w:rsidRDefault="00F2508A" w:rsidP="00F2508A">
            <w:pPr>
              <w:cnfStyle w:val="000000000000" w:firstRow="0" w:lastRow="0" w:firstColumn="0" w:lastColumn="0" w:oddVBand="0" w:evenVBand="0" w:oddHBand="0" w:evenHBand="0" w:firstRowFirstColumn="0" w:firstRowLastColumn="0" w:lastRowFirstColumn="0" w:lastRowLastColumn="0"/>
            </w:pPr>
            <w:r w:rsidRPr="00F2508A">
              <w:t>38.2%</w:t>
            </w:r>
          </w:p>
        </w:tc>
        <w:tc>
          <w:tcPr>
            <w:tcW w:w="2268" w:type="dxa"/>
          </w:tcPr>
          <w:p w:rsidR="00F2508A" w:rsidRPr="00F2508A" w:rsidRDefault="00F2508A" w:rsidP="00F2508A">
            <w:pPr>
              <w:cnfStyle w:val="000000000000" w:firstRow="0" w:lastRow="0" w:firstColumn="0" w:lastColumn="0" w:oddVBand="0" w:evenVBand="0" w:oddHBand="0" w:evenHBand="0" w:firstRowFirstColumn="0" w:firstRowLastColumn="0" w:lastRowFirstColumn="0" w:lastRowLastColumn="0"/>
            </w:pPr>
            <w:r w:rsidRPr="00F2508A">
              <w:t>39.7%</w:t>
            </w:r>
          </w:p>
        </w:tc>
      </w:tr>
    </w:tbl>
    <w:p w:rsidR="00F2508A" w:rsidRPr="00F2508A" w:rsidRDefault="00F2508A" w:rsidP="00F2508A">
      <w:pPr>
        <w:ind w:left="720" w:hanging="720"/>
      </w:pPr>
    </w:p>
    <w:p w:rsidR="00F2508A" w:rsidRPr="00F2508A" w:rsidRDefault="00F2508A" w:rsidP="00F2508A">
      <w:pPr>
        <w:ind w:left="720" w:hanging="720"/>
      </w:pPr>
      <w:r w:rsidRPr="00F2508A">
        <w:t>(6)</w:t>
      </w:r>
      <w:r w:rsidRPr="00F2508A">
        <w:tab/>
        <w:t>Percentage of staff experiencing harassment, bullying or abuse from staff in last 12 months</w:t>
      </w:r>
    </w:p>
    <w:tbl>
      <w:tblPr>
        <w:tblStyle w:val="GridTable4-Accent1"/>
        <w:tblW w:w="9072" w:type="dxa"/>
        <w:tblLook w:val="04A0" w:firstRow="1" w:lastRow="0" w:firstColumn="1" w:lastColumn="0" w:noHBand="0" w:noVBand="1"/>
      </w:tblPr>
      <w:tblGrid>
        <w:gridCol w:w="2268"/>
        <w:gridCol w:w="2268"/>
        <w:gridCol w:w="2268"/>
        <w:gridCol w:w="2268"/>
      </w:tblGrid>
      <w:tr w:rsidR="00F2508A" w:rsidRPr="00F2508A" w:rsidTr="0090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F2508A" w:rsidRPr="00F2508A" w:rsidRDefault="00F2508A" w:rsidP="00F2508A"/>
        </w:tc>
        <w:tc>
          <w:tcPr>
            <w:tcW w:w="2268" w:type="dxa"/>
          </w:tcPr>
          <w:p w:rsidR="00F2508A" w:rsidRPr="00F2508A" w:rsidRDefault="00F2508A" w:rsidP="00F2508A">
            <w:pPr>
              <w:cnfStyle w:val="100000000000" w:firstRow="1" w:lastRow="0" w:firstColumn="0" w:lastColumn="0" w:oddVBand="0" w:evenVBand="0" w:oddHBand="0" w:evenHBand="0" w:firstRowFirstColumn="0" w:firstRowLastColumn="0" w:lastRowFirstColumn="0" w:lastRowLastColumn="0"/>
            </w:pPr>
            <w:r w:rsidRPr="00F2508A">
              <w:t>2017</w:t>
            </w:r>
          </w:p>
        </w:tc>
        <w:tc>
          <w:tcPr>
            <w:tcW w:w="2268" w:type="dxa"/>
          </w:tcPr>
          <w:p w:rsidR="00F2508A" w:rsidRPr="00F2508A" w:rsidRDefault="00F2508A" w:rsidP="00F2508A">
            <w:pPr>
              <w:cnfStyle w:val="100000000000" w:firstRow="1" w:lastRow="0" w:firstColumn="0" w:lastColumn="0" w:oddVBand="0" w:evenVBand="0" w:oddHBand="0" w:evenHBand="0" w:firstRowFirstColumn="0" w:firstRowLastColumn="0" w:lastRowFirstColumn="0" w:lastRowLastColumn="0"/>
            </w:pPr>
            <w:r w:rsidRPr="00F2508A">
              <w:t>2018</w:t>
            </w:r>
          </w:p>
        </w:tc>
        <w:tc>
          <w:tcPr>
            <w:tcW w:w="2268" w:type="dxa"/>
          </w:tcPr>
          <w:p w:rsidR="00F2508A" w:rsidRPr="00F2508A" w:rsidRDefault="00F2508A" w:rsidP="00F2508A">
            <w:pPr>
              <w:cnfStyle w:val="100000000000" w:firstRow="1" w:lastRow="0" w:firstColumn="0" w:lastColumn="0" w:oddVBand="0" w:evenVBand="0" w:oddHBand="0" w:evenHBand="0" w:firstRowFirstColumn="0" w:firstRowLastColumn="0" w:lastRowFirstColumn="0" w:lastRowLastColumn="0"/>
            </w:pPr>
            <w:r w:rsidRPr="00F2508A">
              <w:t>2019</w:t>
            </w:r>
          </w:p>
        </w:tc>
      </w:tr>
      <w:tr w:rsidR="00F2508A" w:rsidRPr="00F2508A" w:rsidTr="00903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F2508A" w:rsidRPr="00F2508A" w:rsidRDefault="00F2508A" w:rsidP="00F2508A">
            <w:r w:rsidRPr="00F2508A">
              <w:t>White Trust</w:t>
            </w:r>
          </w:p>
        </w:tc>
        <w:tc>
          <w:tcPr>
            <w:tcW w:w="2268" w:type="dxa"/>
          </w:tcPr>
          <w:p w:rsidR="00F2508A" w:rsidRPr="00F2508A" w:rsidRDefault="00F2508A" w:rsidP="00F2508A">
            <w:pPr>
              <w:cnfStyle w:val="000000100000" w:firstRow="0" w:lastRow="0" w:firstColumn="0" w:lastColumn="0" w:oddVBand="0" w:evenVBand="0" w:oddHBand="1" w:evenHBand="0" w:firstRowFirstColumn="0" w:firstRowLastColumn="0" w:lastRowFirstColumn="0" w:lastRowLastColumn="0"/>
            </w:pPr>
            <w:r w:rsidRPr="00F2508A">
              <w:t>15.4%</w:t>
            </w:r>
          </w:p>
        </w:tc>
        <w:tc>
          <w:tcPr>
            <w:tcW w:w="2268" w:type="dxa"/>
          </w:tcPr>
          <w:p w:rsidR="00F2508A" w:rsidRPr="00F2508A" w:rsidRDefault="00F2508A" w:rsidP="00F2508A">
            <w:pPr>
              <w:cnfStyle w:val="000000100000" w:firstRow="0" w:lastRow="0" w:firstColumn="0" w:lastColumn="0" w:oddVBand="0" w:evenVBand="0" w:oddHBand="1" w:evenHBand="0" w:firstRowFirstColumn="0" w:firstRowLastColumn="0" w:lastRowFirstColumn="0" w:lastRowLastColumn="0"/>
            </w:pPr>
            <w:r w:rsidRPr="00F2508A">
              <w:t>15.5%</w:t>
            </w:r>
          </w:p>
        </w:tc>
        <w:tc>
          <w:tcPr>
            <w:tcW w:w="2268" w:type="dxa"/>
          </w:tcPr>
          <w:p w:rsidR="00F2508A" w:rsidRPr="00F2508A" w:rsidRDefault="00F2508A" w:rsidP="00F2508A">
            <w:pPr>
              <w:cnfStyle w:val="000000100000" w:firstRow="0" w:lastRow="0" w:firstColumn="0" w:lastColumn="0" w:oddVBand="0" w:evenVBand="0" w:oddHBand="1" w:evenHBand="0" w:firstRowFirstColumn="0" w:firstRowLastColumn="0" w:lastRowFirstColumn="0" w:lastRowLastColumn="0"/>
            </w:pPr>
            <w:r w:rsidRPr="00F2508A">
              <w:t>16.2%</w:t>
            </w:r>
          </w:p>
        </w:tc>
      </w:tr>
      <w:tr w:rsidR="00F2508A" w:rsidRPr="00F2508A" w:rsidTr="00903F5A">
        <w:tc>
          <w:tcPr>
            <w:cnfStyle w:val="001000000000" w:firstRow="0" w:lastRow="0" w:firstColumn="1" w:lastColumn="0" w:oddVBand="0" w:evenVBand="0" w:oddHBand="0" w:evenHBand="0" w:firstRowFirstColumn="0" w:firstRowLastColumn="0" w:lastRowFirstColumn="0" w:lastRowLastColumn="0"/>
            <w:tcW w:w="2268" w:type="dxa"/>
          </w:tcPr>
          <w:p w:rsidR="00F2508A" w:rsidRPr="00F2508A" w:rsidRDefault="00F2508A" w:rsidP="00F2508A">
            <w:r w:rsidRPr="00F2508A">
              <w:t>BAME Trust</w:t>
            </w:r>
          </w:p>
        </w:tc>
        <w:tc>
          <w:tcPr>
            <w:tcW w:w="2268" w:type="dxa"/>
          </w:tcPr>
          <w:p w:rsidR="00F2508A" w:rsidRPr="00F2508A" w:rsidRDefault="00F2508A" w:rsidP="00F2508A">
            <w:pPr>
              <w:cnfStyle w:val="000000000000" w:firstRow="0" w:lastRow="0" w:firstColumn="0" w:lastColumn="0" w:oddVBand="0" w:evenVBand="0" w:oddHBand="0" w:evenHBand="0" w:firstRowFirstColumn="0" w:firstRowLastColumn="0" w:lastRowFirstColumn="0" w:lastRowLastColumn="0"/>
            </w:pPr>
            <w:r w:rsidRPr="00F2508A">
              <w:t>24.3%</w:t>
            </w:r>
          </w:p>
        </w:tc>
        <w:tc>
          <w:tcPr>
            <w:tcW w:w="2268" w:type="dxa"/>
          </w:tcPr>
          <w:p w:rsidR="00F2508A" w:rsidRPr="00F2508A" w:rsidRDefault="00F2508A" w:rsidP="00F2508A">
            <w:pPr>
              <w:cnfStyle w:val="000000000000" w:firstRow="0" w:lastRow="0" w:firstColumn="0" w:lastColumn="0" w:oddVBand="0" w:evenVBand="0" w:oddHBand="0" w:evenHBand="0" w:firstRowFirstColumn="0" w:firstRowLastColumn="0" w:lastRowFirstColumn="0" w:lastRowLastColumn="0"/>
            </w:pPr>
            <w:r w:rsidRPr="00F2508A">
              <w:t>22.6%</w:t>
            </w:r>
          </w:p>
        </w:tc>
        <w:tc>
          <w:tcPr>
            <w:tcW w:w="2268" w:type="dxa"/>
          </w:tcPr>
          <w:p w:rsidR="00F2508A" w:rsidRPr="00F2508A" w:rsidRDefault="00F2508A" w:rsidP="00F2508A">
            <w:pPr>
              <w:cnfStyle w:val="000000000000" w:firstRow="0" w:lastRow="0" w:firstColumn="0" w:lastColumn="0" w:oddVBand="0" w:evenVBand="0" w:oddHBand="0" w:evenHBand="0" w:firstRowFirstColumn="0" w:firstRowLastColumn="0" w:lastRowFirstColumn="0" w:lastRowLastColumn="0"/>
            </w:pPr>
            <w:r w:rsidRPr="00F2508A">
              <w:t>24.0%</w:t>
            </w:r>
          </w:p>
        </w:tc>
      </w:tr>
      <w:tr w:rsidR="00F2508A" w:rsidRPr="00F2508A" w:rsidTr="00903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F2508A" w:rsidRPr="00F2508A" w:rsidRDefault="00F2508A" w:rsidP="00F2508A">
            <w:r w:rsidRPr="00F2508A">
              <w:t>White Average</w:t>
            </w:r>
          </w:p>
        </w:tc>
        <w:tc>
          <w:tcPr>
            <w:tcW w:w="2268" w:type="dxa"/>
          </w:tcPr>
          <w:p w:rsidR="00F2508A" w:rsidRPr="00F2508A" w:rsidRDefault="00F2508A" w:rsidP="00F2508A">
            <w:pPr>
              <w:cnfStyle w:val="000000100000" w:firstRow="0" w:lastRow="0" w:firstColumn="0" w:lastColumn="0" w:oddVBand="0" w:evenVBand="0" w:oddHBand="1" w:evenHBand="0" w:firstRowFirstColumn="0" w:firstRowLastColumn="0" w:lastRowFirstColumn="0" w:lastRowLastColumn="0"/>
            </w:pPr>
            <w:r w:rsidRPr="00F2508A">
              <w:t>20.7%</w:t>
            </w:r>
          </w:p>
        </w:tc>
        <w:tc>
          <w:tcPr>
            <w:tcW w:w="2268" w:type="dxa"/>
          </w:tcPr>
          <w:p w:rsidR="00F2508A" w:rsidRPr="00F2508A" w:rsidRDefault="00F2508A" w:rsidP="00F2508A">
            <w:pPr>
              <w:cnfStyle w:val="000000100000" w:firstRow="0" w:lastRow="0" w:firstColumn="0" w:lastColumn="0" w:oddVBand="0" w:evenVBand="0" w:oddHBand="1" w:evenHBand="0" w:firstRowFirstColumn="0" w:firstRowLastColumn="0" w:lastRowFirstColumn="0" w:lastRowLastColumn="0"/>
            </w:pPr>
            <w:r w:rsidRPr="00F2508A">
              <w:t>22.4%</w:t>
            </w:r>
          </w:p>
        </w:tc>
        <w:tc>
          <w:tcPr>
            <w:tcW w:w="2268" w:type="dxa"/>
          </w:tcPr>
          <w:p w:rsidR="00F2508A" w:rsidRPr="00F2508A" w:rsidRDefault="00F2508A" w:rsidP="00F2508A">
            <w:pPr>
              <w:cnfStyle w:val="000000100000" w:firstRow="0" w:lastRow="0" w:firstColumn="0" w:lastColumn="0" w:oddVBand="0" w:evenVBand="0" w:oddHBand="1" w:evenHBand="0" w:firstRowFirstColumn="0" w:firstRowLastColumn="0" w:lastRowFirstColumn="0" w:lastRowLastColumn="0"/>
            </w:pPr>
            <w:r w:rsidRPr="00F2508A">
              <w:t>21.4%</w:t>
            </w:r>
          </w:p>
        </w:tc>
      </w:tr>
      <w:tr w:rsidR="00F2508A" w:rsidRPr="00F2508A" w:rsidTr="00903F5A">
        <w:tc>
          <w:tcPr>
            <w:cnfStyle w:val="001000000000" w:firstRow="0" w:lastRow="0" w:firstColumn="1" w:lastColumn="0" w:oddVBand="0" w:evenVBand="0" w:oddHBand="0" w:evenHBand="0" w:firstRowFirstColumn="0" w:firstRowLastColumn="0" w:lastRowFirstColumn="0" w:lastRowLastColumn="0"/>
            <w:tcW w:w="2268" w:type="dxa"/>
          </w:tcPr>
          <w:p w:rsidR="00F2508A" w:rsidRPr="00F2508A" w:rsidRDefault="00F2508A" w:rsidP="00F2508A">
            <w:r w:rsidRPr="00F2508A">
              <w:t>BAME Average</w:t>
            </w:r>
          </w:p>
        </w:tc>
        <w:tc>
          <w:tcPr>
            <w:tcW w:w="2268" w:type="dxa"/>
          </w:tcPr>
          <w:p w:rsidR="00F2508A" w:rsidRPr="00F2508A" w:rsidRDefault="00F2508A" w:rsidP="00F2508A">
            <w:pPr>
              <w:cnfStyle w:val="000000000000" w:firstRow="0" w:lastRow="0" w:firstColumn="0" w:lastColumn="0" w:oddVBand="0" w:evenVBand="0" w:oddHBand="0" w:evenHBand="0" w:firstRowFirstColumn="0" w:firstRowLastColumn="0" w:lastRowFirstColumn="0" w:lastRowLastColumn="0"/>
            </w:pPr>
            <w:r w:rsidRPr="00F2508A">
              <w:t>26.9%</w:t>
            </w:r>
          </w:p>
        </w:tc>
        <w:tc>
          <w:tcPr>
            <w:tcW w:w="2268" w:type="dxa"/>
          </w:tcPr>
          <w:p w:rsidR="00F2508A" w:rsidRPr="00F2508A" w:rsidRDefault="00F2508A" w:rsidP="00F2508A">
            <w:pPr>
              <w:cnfStyle w:val="000000000000" w:firstRow="0" w:lastRow="0" w:firstColumn="0" w:lastColumn="0" w:oddVBand="0" w:evenVBand="0" w:oddHBand="0" w:evenHBand="0" w:firstRowFirstColumn="0" w:firstRowLastColumn="0" w:lastRowFirstColumn="0" w:lastRowLastColumn="0"/>
            </w:pPr>
            <w:r w:rsidRPr="00F2508A">
              <w:t>27.2%</w:t>
            </w:r>
          </w:p>
        </w:tc>
        <w:tc>
          <w:tcPr>
            <w:tcW w:w="2268" w:type="dxa"/>
          </w:tcPr>
          <w:p w:rsidR="00F2508A" w:rsidRPr="00F2508A" w:rsidRDefault="00F2508A" w:rsidP="00F2508A">
            <w:pPr>
              <w:cnfStyle w:val="000000000000" w:firstRow="0" w:lastRow="0" w:firstColumn="0" w:lastColumn="0" w:oddVBand="0" w:evenVBand="0" w:oddHBand="0" w:evenHBand="0" w:firstRowFirstColumn="0" w:firstRowLastColumn="0" w:lastRowFirstColumn="0" w:lastRowLastColumn="0"/>
            </w:pPr>
            <w:r w:rsidRPr="00F2508A">
              <w:t>25.5%</w:t>
            </w:r>
          </w:p>
        </w:tc>
      </w:tr>
    </w:tbl>
    <w:p w:rsidR="00F2508A" w:rsidRPr="00F2508A" w:rsidRDefault="00F2508A" w:rsidP="00F2508A">
      <w:pPr>
        <w:ind w:left="720" w:hanging="720"/>
      </w:pPr>
    </w:p>
    <w:p w:rsidR="00F2508A" w:rsidRPr="00F2508A" w:rsidRDefault="00F2508A" w:rsidP="00F2508A">
      <w:pPr>
        <w:ind w:left="720" w:hanging="720"/>
      </w:pPr>
      <w:r w:rsidRPr="00F2508A">
        <w:t>(7)</w:t>
      </w:r>
      <w:r w:rsidRPr="00F2508A">
        <w:tab/>
        <w:t xml:space="preserve">Percentage believing that trust provides equal opportunities for career </w:t>
      </w:r>
      <w:r w:rsidR="001F4F3D">
        <w:t>p</w:t>
      </w:r>
      <w:r w:rsidRPr="00F2508A">
        <w:t>rogression or promotion</w:t>
      </w:r>
    </w:p>
    <w:tbl>
      <w:tblPr>
        <w:tblStyle w:val="GridTable4-Accent1"/>
        <w:tblW w:w="9072" w:type="dxa"/>
        <w:tblLook w:val="04A0" w:firstRow="1" w:lastRow="0" w:firstColumn="1" w:lastColumn="0" w:noHBand="0" w:noVBand="1"/>
      </w:tblPr>
      <w:tblGrid>
        <w:gridCol w:w="2268"/>
        <w:gridCol w:w="2268"/>
        <w:gridCol w:w="2268"/>
        <w:gridCol w:w="2268"/>
      </w:tblGrid>
      <w:tr w:rsidR="00F2508A" w:rsidRPr="00F2508A" w:rsidTr="0090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F2508A" w:rsidRPr="00F2508A" w:rsidRDefault="00F2508A" w:rsidP="00F2508A"/>
        </w:tc>
        <w:tc>
          <w:tcPr>
            <w:tcW w:w="2268" w:type="dxa"/>
          </w:tcPr>
          <w:p w:rsidR="00F2508A" w:rsidRPr="00F2508A" w:rsidRDefault="00F2508A" w:rsidP="00F2508A">
            <w:pPr>
              <w:cnfStyle w:val="100000000000" w:firstRow="1" w:lastRow="0" w:firstColumn="0" w:lastColumn="0" w:oddVBand="0" w:evenVBand="0" w:oddHBand="0" w:evenHBand="0" w:firstRowFirstColumn="0" w:firstRowLastColumn="0" w:lastRowFirstColumn="0" w:lastRowLastColumn="0"/>
            </w:pPr>
            <w:r w:rsidRPr="00F2508A">
              <w:t>2017</w:t>
            </w:r>
          </w:p>
        </w:tc>
        <w:tc>
          <w:tcPr>
            <w:tcW w:w="2268" w:type="dxa"/>
          </w:tcPr>
          <w:p w:rsidR="00F2508A" w:rsidRPr="00F2508A" w:rsidRDefault="00F2508A" w:rsidP="00F2508A">
            <w:pPr>
              <w:cnfStyle w:val="100000000000" w:firstRow="1" w:lastRow="0" w:firstColumn="0" w:lastColumn="0" w:oddVBand="0" w:evenVBand="0" w:oddHBand="0" w:evenHBand="0" w:firstRowFirstColumn="0" w:firstRowLastColumn="0" w:lastRowFirstColumn="0" w:lastRowLastColumn="0"/>
            </w:pPr>
            <w:r w:rsidRPr="00F2508A">
              <w:t>2018</w:t>
            </w:r>
          </w:p>
        </w:tc>
        <w:tc>
          <w:tcPr>
            <w:tcW w:w="2268" w:type="dxa"/>
          </w:tcPr>
          <w:p w:rsidR="00F2508A" w:rsidRPr="00F2508A" w:rsidRDefault="00F2508A" w:rsidP="00F2508A">
            <w:pPr>
              <w:cnfStyle w:val="100000000000" w:firstRow="1" w:lastRow="0" w:firstColumn="0" w:lastColumn="0" w:oddVBand="0" w:evenVBand="0" w:oddHBand="0" w:evenHBand="0" w:firstRowFirstColumn="0" w:firstRowLastColumn="0" w:lastRowFirstColumn="0" w:lastRowLastColumn="0"/>
            </w:pPr>
            <w:r w:rsidRPr="00F2508A">
              <w:t>2019</w:t>
            </w:r>
          </w:p>
        </w:tc>
      </w:tr>
      <w:tr w:rsidR="00F2508A" w:rsidRPr="00F2508A" w:rsidTr="00903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F2508A" w:rsidRPr="00F2508A" w:rsidRDefault="00F2508A" w:rsidP="00F2508A">
            <w:r w:rsidRPr="00F2508A">
              <w:t>White Trust</w:t>
            </w:r>
          </w:p>
        </w:tc>
        <w:tc>
          <w:tcPr>
            <w:tcW w:w="2268" w:type="dxa"/>
          </w:tcPr>
          <w:p w:rsidR="00F2508A" w:rsidRPr="00F2508A" w:rsidRDefault="00F2508A" w:rsidP="00F2508A">
            <w:pPr>
              <w:cnfStyle w:val="000000100000" w:firstRow="0" w:lastRow="0" w:firstColumn="0" w:lastColumn="0" w:oddVBand="0" w:evenVBand="0" w:oddHBand="1" w:evenHBand="0" w:firstRowFirstColumn="0" w:firstRowLastColumn="0" w:lastRowFirstColumn="0" w:lastRowLastColumn="0"/>
            </w:pPr>
            <w:r w:rsidRPr="00F2508A">
              <w:t>92.7%</w:t>
            </w:r>
          </w:p>
        </w:tc>
        <w:tc>
          <w:tcPr>
            <w:tcW w:w="2268" w:type="dxa"/>
          </w:tcPr>
          <w:p w:rsidR="00F2508A" w:rsidRPr="00F2508A" w:rsidRDefault="00F2508A" w:rsidP="00F2508A">
            <w:pPr>
              <w:cnfStyle w:val="000000100000" w:firstRow="0" w:lastRow="0" w:firstColumn="0" w:lastColumn="0" w:oddVBand="0" w:evenVBand="0" w:oddHBand="1" w:evenHBand="0" w:firstRowFirstColumn="0" w:firstRowLastColumn="0" w:lastRowFirstColumn="0" w:lastRowLastColumn="0"/>
            </w:pPr>
            <w:r w:rsidRPr="00F2508A">
              <w:t>92.5%</w:t>
            </w:r>
          </w:p>
        </w:tc>
        <w:tc>
          <w:tcPr>
            <w:tcW w:w="2268" w:type="dxa"/>
          </w:tcPr>
          <w:p w:rsidR="00F2508A" w:rsidRPr="00F2508A" w:rsidRDefault="00F2508A" w:rsidP="00F2508A">
            <w:pPr>
              <w:cnfStyle w:val="000000100000" w:firstRow="0" w:lastRow="0" w:firstColumn="0" w:lastColumn="0" w:oddVBand="0" w:evenVBand="0" w:oddHBand="1" w:evenHBand="0" w:firstRowFirstColumn="0" w:firstRowLastColumn="0" w:lastRowFirstColumn="0" w:lastRowLastColumn="0"/>
            </w:pPr>
            <w:r w:rsidRPr="00F2508A">
              <w:t>90.6%</w:t>
            </w:r>
          </w:p>
        </w:tc>
      </w:tr>
      <w:tr w:rsidR="00F2508A" w:rsidRPr="00F2508A" w:rsidTr="00903F5A">
        <w:tc>
          <w:tcPr>
            <w:cnfStyle w:val="001000000000" w:firstRow="0" w:lastRow="0" w:firstColumn="1" w:lastColumn="0" w:oddVBand="0" w:evenVBand="0" w:oddHBand="0" w:evenHBand="0" w:firstRowFirstColumn="0" w:firstRowLastColumn="0" w:lastRowFirstColumn="0" w:lastRowLastColumn="0"/>
            <w:tcW w:w="2268" w:type="dxa"/>
          </w:tcPr>
          <w:p w:rsidR="00F2508A" w:rsidRPr="00F2508A" w:rsidRDefault="00F2508A" w:rsidP="00F2508A">
            <w:r w:rsidRPr="00F2508A">
              <w:t>BAME Trust</w:t>
            </w:r>
          </w:p>
        </w:tc>
        <w:tc>
          <w:tcPr>
            <w:tcW w:w="2268" w:type="dxa"/>
          </w:tcPr>
          <w:p w:rsidR="00F2508A" w:rsidRPr="00F2508A" w:rsidRDefault="00F2508A" w:rsidP="00F2508A">
            <w:pPr>
              <w:cnfStyle w:val="000000000000" w:firstRow="0" w:lastRow="0" w:firstColumn="0" w:lastColumn="0" w:oddVBand="0" w:evenVBand="0" w:oddHBand="0" w:evenHBand="0" w:firstRowFirstColumn="0" w:firstRowLastColumn="0" w:lastRowFirstColumn="0" w:lastRowLastColumn="0"/>
            </w:pPr>
            <w:r w:rsidRPr="00F2508A">
              <w:t>81.1%</w:t>
            </w:r>
          </w:p>
        </w:tc>
        <w:tc>
          <w:tcPr>
            <w:tcW w:w="2268" w:type="dxa"/>
          </w:tcPr>
          <w:p w:rsidR="00F2508A" w:rsidRPr="00F2508A" w:rsidRDefault="00F2508A" w:rsidP="00F2508A">
            <w:pPr>
              <w:cnfStyle w:val="000000000000" w:firstRow="0" w:lastRow="0" w:firstColumn="0" w:lastColumn="0" w:oddVBand="0" w:evenVBand="0" w:oddHBand="0" w:evenHBand="0" w:firstRowFirstColumn="0" w:firstRowLastColumn="0" w:lastRowFirstColumn="0" w:lastRowLastColumn="0"/>
            </w:pPr>
            <w:r w:rsidRPr="00F2508A">
              <w:t>84.1%</w:t>
            </w:r>
          </w:p>
        </w:tc>
        <w:tc>
          <w:tcPr>
            <w:tcW w:w="2268" w:type="dxa"/>
          </w:tcPr>
          <w:p w:rsidR="00F2508A" w:rsidRPr="00F2508A" w:rsidRDefault="00F2508A" w:rsidP="00F2508A">
            <w:pPr>
              <w:cnfStyle w:val="000000000000" w:firstRow="0" w:lastRow="0" w:firstColumn="0" w:lastColumn="0" w:oddVBand="0" w:evenVBand="0" w:oddHBand="0" w:evenHBand="0" w:firstRowFirstColumn="0" w:firstRowLastColumn="0" w:lastRowFirstColumn="0" w:lastRowLastColumn="0"/>
            </w:pPr>
            <w:r w:rsidRPr="00F2508A">
              <w:t>83.5%</w:t>
            </w:r>
          </w:p>
        </w:tc>
      </w:tr>
      <w:tr w:rsidR="00F2508A" w:rsidRPr="00F2508A" w:rsidTr="00903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F2508A" w:rsidRPr="00F2508A" w:rsidRDefault="00F2508A" w:rsidP="00F2508A">
            <w:r w:rsidRPr="00F2508A">
              <w:t>White Average</w:t>
            </w:r>
          </w:p>
        </w:tc>
        <w:tc>
          <w:tcPr>
            <w:tcW w:w="2268" w:type="dxa"/>
          </w:tcPr>
          <w:p w:rsidR="00F2508A" w:rsidRPr="00F2508A" w:rsidRDefault="00F2508A" w:rsidP="00F2508A">
            <w:pPr>
              <w:cnfStyle w:val="000000100000" w:firstRow="0" w:lastRow="0" w:firstColumn="0" w:lastColumn="0" w:oddVBand="0" w:evenVBand="0" w:oddHBand="1" w:evenHBand="0" w:firstRowFirstColumn="0" w:firstRowLastColumn="0" w:lastRowFirstColumn="0" w:lastRowLastColumn="0"/>
            </w:pPr>
            <w:r w:rsidRPr="00F2508A">
              <w:t>87.4%</w:t>
            </w:r>
          </w:p>
        </w:tc>
        <w:tc>
          <w:tcPr>
            <w:tcW w:w="2268" w:type="dxa"/>
          </w:tcPr>
          <w:p w:rsidR="00F2508A" w:rsidRPr="00F2508A" w:rsidRDefault="00F2508A" w:rsidP="00F2508A">
            <w:pPr>
              <w:cnfStyle w:val="000000100000" w:firstRow="0" w:lastRow="0" w:firstColumn="0" w:lastColumn="0" w:oddVBand="0" w:evenVBand="0" w:oddHBand="1" w:evenHBand="0" w:firstRowFirstColumn="0" w:firstRowLastColumn="0" w:lastRowFirstColumn="0" w:lastRowLastColumn="0"/>
            </w:pPr>
            <w:r w:rsidRPr="00F2508A">
              <w:t>85.1%</w:t>
            </w:r>
          </w:p>
        </w:tc>
        <w:tc>
          <w:tcPr>
            <w:tcW w:w="2268" w:type="dxa"/>
          </w:tcPr>
          <w:p w:rsidR="00F2508A" w:rsidRPr="00F2508A" w:rsidRDefault="00F2508A" w:rsidP="00F2508A">
            <w:pPr>
              <w:cnfStyle w:val="000000100000" w:firstRow="0" w:lastRow="0" w:firstColumn="0" w:lastColumn="0" w:oddVBand="0" w:evenVBand="0" w:oddHBand="1" w:evenHBand="0" w:firstRowFirstColumn="0" w:firstRowLastColumn="0" w:lastRowFirstColumn="0" w:lastRowLastColumn="0"/>
            </w:pPr>
            <w:r w:rsidRPr="00F2508A">
              <w:t>85.9%</w:t>
            </w:r>
          </w:p>
        </w:tc>
      </w:tr>
      <w:tr w:rsidR="00F2508A" w:rsidRPr="00F2508A" w:rsidTr="00903F5A">
        <w:tc>
          <w:tcPr>
            <w:cnfStyle w:val="001000000000" w:firstRow="0" w:lastRow="0" w:firstColumn="1" w:lastColumn="0" w:oddVBand="0" w:evenVBand="0" w:oddHBand="0" w:evenHBand="0" w:firstRowFirstColumn="0" w:firstRowLastColumn="0" w:lastRowFirstColumn="0" w:lastRowLastColumn="0"/>
            <w:tcW w:w="2268" w:type="dxa"/>
          </w:tcPr>
          <w:p w:rsidR="00F2508A" w:rsidRPr="00F2508A" w:rsidRDefault="00F2508A" w:rsidP="00F2508A">
            <w:r w:rsidRPr="00F2508A">
              <w:t>BAME Average</w:t>
            </w:r>
          </w:p>
        </w:tc>
        <w:tc>
          <w:tcPr>
            <w:tcW w:w="2268" w:type="dxa"/>
          </w:tcPr>
          <w:p w:rsidR="00F2508A" w:rsidRPr="00F2508A" w:rsidRDefault="00F2508A" w:rsidP="00F2508A">
            <w:pPr>
              <w:cnfStyle w:val="000000000000" w:firstRow="0" w:lastRow="0" w:firstColumn="0" w:lastColumn="0" w:oddVBand="0" w:evenVBand="0" w:oddHBand="0" w:evenHBand="0" w:firstRowFirstColumn="0" w:firstRowLastColumn="0" w:lastRowFirstColumn="0" w:lastRowLastColumn="0"/>
            </w:pPr>
            <w:r w:rsidRPr="00F2508A">
              <w:t>77.0%</w:t>
            </w:r>
          </w:p>
        </w:tc>
        <w:tc>
          <w:tcPr>
            <w:tcW w:w="2268" w:type="dxa"/>
          </w:tcPr>
          <w:p w:rsidR="00F2508A" w:rsidRPr="00F2508A" w:rsidRDefault="00F2508A" w:rsidP="00F2508A">
            <w:pPr>
              <w:cnfStyle w:val="000000000000" w:firstRow="0" w:lastRow="0" w:firstColumn="0" w:lastColumn="0" w:oddVBand="0" w:evenVBand="0" w:oddHBand="0" w:evenHBand="0" w:firstRowFirstColumn="0" w:firstRowLastColumn="0" w:lastRowFirstColumn="0" w:lastRowLastColumn="0"/>
            </w:pPr>
            <w:r w:rsidRPr="00F2508A">
              <w:t>71.9%</w:t>
            </w:r>
          </w:p>
        </w:tc>
        <w:tc>
          <w:tcPr>
            <w:tcW w:w="2268" w:type="dxa"/>
          </w:tcPr>
          <w:p w:rsidR="00F2508A" w:rsidRPr="00F2508A" w:rsidRDefault="00F2508A" w:rsidP="00F2508A">
            <w:pPr>
              <w:cnfStyle w:val="000000000000" w:firstRow="0" w:lastRow="0" w:firstColumn="0" w:lastColumn="0" w:oddVBand="0" w:evenVBand="0" w:oddHBand="0" w:evenHBand="0" w:firstRowFirstColumn="0" w:firstRowLastColumn="0" w:lastRowFirstColumn="0" w:lastRowLastColumn="0"/>
            </w:pPr>
            <w:r w:rsidRPr="00F2508A">
              <w:t>74.3%</w:t>
            </w:r>
          </w:p>
        </w:tc>
      </w:tr>
    </w:tbl>
    <w:p w:rsidR="00F2508A" w:rsidRPr="00F2508A" w:rsidRDefault="00F2508A" w:rsidP="00F2508A">
      <w:pPr>
        <w:ind w:left="720" w:hanging="720"/>
      </w:pPr>
    </w:p>
    <w:p w:rsidR="00F2508A" w:rsidRPr="00F2508A" w:rsidRDefault="00F2508A" w:rsidP="00F2508A">
      <w:pPr>
        <w:ind w:left="720" w:hanging="720"/>
      </w:pPr>
      <w:r w:rsidRPr="00F2508A">
        <w:t>(8)</w:t>
      </w:r>
      <w:r w:rsidRPr="00F2508A">
        <w:tab/>
        <w:t>In the last 12 months have you personally experienced discrimination at work from any of the following? Manager/team leader or other colleagues</w:t>
      </w:r>
    </w:p>
    <w:tbl>
      <w:tblPr>
        <w:tblStyle w:val="GridTable4-Accent1"/>
        <w:tblW w:w="9072" w:type="dxa"/>
        <w:tblLook w:val="04A0" w:firstRow="1" w:lastRow="0" w:firstColumn="1" w:lastColumn="0" w:noHBand="0" w:noVBand="1"/>
      </w:tblPr>
      <w:tblGrid>
        <w:gridCol w:w="2268"/>
        <w:gridCol w:w="2268"/>
        <w:gridCol w:w="2268"/>
        <w:gridCol w:w="2268"/>
      </w:tblGrid>
      <w:tr w:rsidR="00F2508A" w:rsidRPr="00F2508A" w:rsidTr="0090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F2508A" w:rsidRPr="00F2508A" w:rsidRDefault="00F2508A" w:rsidP="00F2508A"/>
        </w:tc>
        <w:tc>
          <w:tcPr>
            <w:tcW w:w="2268" w:type="dxa"/>
          </w:tcPr>
          <w:p w:rsidR="00F2508A" w:rsidRPr="00F2508A" w:rsidRDefault="00F2508A" w:rsidP="00F2508A">
            <w:pPr>
              <w:cnfStyle w:val="100000000000" w:firstRow="1" w:lastRow="0" w:firstColumn="0" w:lastColumn="0" w:oddVBand="0" w:evenVBand="0" w:oddHBand="0" w:evenHBand="0" w:firstRowFirstColumn="0" w:firstRowLastColumn="0" w:lastRowFirstColumn="0" w:lastRowLastColumn="0"/>
            </w:pPr>
            <w:r w:rsidRPr="00F2508A">
              <w:t>2017</w:t>
            </w:r>
          </w:p>
        </w:tc>
        <w:tc>
          <w:tcPr>
            <w:tcW w:w="2268" w:type="dxa"/>
          </w:tcPr>
          <w:p w:rsidR="00F2508A" w:rsidRPr="00F2508A" w:rsidRDefault="00F2508A" w:rsidP="00F2508A">
            <w:pPr>
              <w:cnfStyle w:val="100000000000" w:firstRow="1" w:lastRow="0" w:firstColumn="0" w:lastColumn="0" w:oddVBand="0" w:evenVBand="0" w:oddHBand="0" w:evenHBand="0" w:firstRowFirstColumn="0" w:firstRowLastColumn="0" w:lastRowFirstColumn="0" w:lastRowLastColumn="0"/>
            </w:pPr>
            <w:r w:rsidRPr="00F2508A">
              <w:t>2018</w:t>
            </w:r>
          </w:p>
        </w:tc>
        <w:tc>
          <w:tcPr>
            <w:tcW w:w="2268" w:type="dxa"/>
          </w:tcPr>
          <w:p w:rsidR="00F2508A" w:rsidRPr="00F2508A" w:rsidRDefault="00F2508A" w:rsidP="00F2508A">
            <w:pPr>
              <w:cnfStyle w:val="100000000000" w:firstRow="1" w:lastRow="0" w:firstColumn="0" w:lastColumn="0" w:oddVBand="0" w:evenVBand="0" w:oddHBand="0" w:evenHBand="0" w:firstRowFirstColumn="0" w:firstRowLastColumn="0" w:lastRowFirstColumn="0" w:lastRowLastColumn="0"/>
            </w:pPr>
            <w:r w:rsidRPr="00F2508A">
              <w:t>2019</w:t>
            </w:r>
          </w:p>
        </w:tc>
      </w:tr>
      <w:tr w:rsidR="00F2508A" w:rsidRPr="00F2508A" w:rsidTr="00903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F2508A" w:rsidRPr="00F2508A" w:rsidRDefault="00F2508A" w:rsidP="00F2508A">
            <w:r w:rsidRPr="00F2508A">
              <w:t>White Trust</w:t>
            </w:r>
          </w:p>
        </w:tc>
        <w:tc>
          <w:tcPr>
            <w:tcW w:w="2268" w:type="dxa"/>
          </w:tcPr>
          <w:p w:rsidR="00F2508A" w:rsidRPr="00F2508A" w:rsidRDefault="00F2508A" w:rsidP="00F2508A">
            <w:pPr>
              <w:cnfStyle w:val="000000100000" w:firstRow="0" w:lastRow="0" w:firstColumn="0" w:lastColumn="0" w:oddVBand="0" w:evenVBand="0" w:oddHBand="1" w:evenHBand="0" w:firstRowFirstColumn="0" w:firstRowLastColumn="0" w:lastRowFirstColumn="0" w:lastRowLastColumn="0"/>
            </w:pPr>
            <w:r w:rsidRPr="00F2508A">
              <w:t>4.6%</w:t>
            </w:r>
          </w:p>
        </w:tc>
        <w:tc>
          <w:tcPr>
            <w:tcW w:w="2268" w:type="dxa"/>
          </w:tcPr>
          <w:p w:rsidR="00F2508A" w:rsidRPr="00F2508A" w:rsidRDefault="00F2508A" w:rsidP="00F2508A">
            <w:pPr>
              <w:cnfStyle w:val="000000100000" w:firstRow="0" w:lastRow="0" w:firstColumn="0" w:lastColumn="0" w:oddVBand="0" w:evenVBand="0" w:oddHBand="1" w:evenHBand="0" w:firstRowFirstColumn="0" w:firstRowLastColumn="0" w:lastRowFirstColumn="0" w:lastRowLastColumn="0"/>
            </w:pPr>
            <w:r w:rsidRPr="00F2508A">
              <w:t>4.8%</w:t>
            </w:r>
          </w:p>
        </w:tc>
        <w:tc>
          <w:tcPr>
            <w:tcW w:w="2268" w:type="dxa"/>
          </w:tcPr>
          <w:p w:rsidR="00F2508A" w:rsidRPr="00F2508A" w:rsidRDefault="00F2508A" w:rsidP="00F2508A">
            <w:pPr>
              <w:cnfStyle w:val="000000100000" w:firstRow="0" w:lastRow="0" w:firstColumn="0" w:lastColumn="0" w:oddVBand="0" w:evenVBand="0" w:oddHBand="1" w:evenHBand="0" w:firstRowFirstColumn="0" w:firstRowLastColumn="0" w:lastRowFirstColumn="0" w:lastRowLastColumn="0"/>
            </w:pPr>
            <w:r w:rsidRPr="00F2508A">
              <w:t>4.8%</w:t>
            </w:r>
          </w:p>
        </w:tc>
      </w:tr>
      <w:tr w:rsidR="00F2508A" w:rsidRPr="00F2508A" w:rsidTr="00903F5A">
        <w:tc>
          <w:tcPr>
            <w:cnfStyle w:val="001000000000" w:firstRow="0" w:lastRow="0" w:firstColumn="1" w:lastColumn="0" w:oddVBand="0" w:evenVBand="0" w:oddHBand="0" w:evenHBand="0" w:firstRowFirstColumn="0" w:firstRowLastColumn="0" w:lastRowFirstColumn="0" w:lastRowLastColumn="0"/>
            <w:tcW w:w="2268" w:type="dxa"/>
          </w:tcPr>
          <w:p w:rsidR="00F2508A" w:rsidRPr="00F2508A" w:rsidRDefault="00F2508A" w:rsidP="00F2508A">
            <w:r w:rsidRPr="00F2508A">
              <w:t>BAME Trust</w:t>
            </w:r>
          </w:p>
        </w:tc>
        <w:tc>
          <w:tcPr>
            <w:tcW w:w="2268" w:type="dxa"/>
          </w:tcPr>
          <w:p w:rsidR="00F2508A" w:rsidRPr="00F2508A" w:rsidRDefault="00F2508A" w:rsidP="00F2508A">
            <w:pPr>
              <w:cnfStyle w:val="000000000000" w:firstRow="0" w:lastRow="0" w:firstColumn="0" w:lastColumn="0" w:oddVBand="0" w:evenVBand="0" w:oddHBand="0" w:evenHBand="0" w:firstRowFirstColumn="0" w:firstRowLastColumn="0" w:lastRowFirstColumn="0" w:lastRowLastColumn="0"/>
            </w:pPr>
            <w:r w:rsidRPr="00F2508A">
              <w:t>8.8%</w:t>
            </w:r>
          </w:p>
        </w:tc>
        <w:tc>
          <w:tcPr>
            <w:tcW w:w="2268" w:type="dxa"/>
          </w:tcPr>
          <w:p w:rsidR="00F2508A" w:rsidRPr="00F2508A" w:rsidRDefault="00F2508A" w:rsidP="00F2508A">
            <w:pPr>
              <w:cnfStyle w:val="000000000000" w:firstRow="0" w:lastRow="0" w:firstColumn="0" w:lastColumn="0" w:oddVBand="0" w:evenVBand="0" w:oddHBand="0" w:evenHBand="0" w:firstRowFirstColumn="0" w:firstRowLastColumn="0" w:lastRowFirstColumn="0" w:lastRowLastColumn="0"/>
            </w:pPr>
            <w:r w:rsidRPr="00F2508A">
              <w:t>12.1%</w:t>
            </w:r>
          </w:p>
        </w:tc>
        <w:tc>
          <w:tcPr>
            <w:tcW w:w="2268" w:type="dxa"/>
          </w:tcPr>
          <w:p w:rsidR="00F2508A" w:rsidRPr="00F2508A" w:rsidRDefault="00F2508A" w:rsidP="00F2508A">
            <w:pPr>
              <w:cnfStyle w:val="000000000000" w:firstRow="0" w:lastRow="0" w:firstColumn="0" w:lastColumn="0" w:oddVBand="0" w:evenVBand="0" w:oddHBand="0" w:evenHBand="0" w:firstRowFirstColumn="0" w:firstRowLastColumn="0" w:lastRowFirstColumn="0" w:lastRowLastColumn="0"/>
            </w:pPr>
            <w:r w:rsidRPr="00F2508A">
              <w:t>8.9%</w:t>
            </w:r>
          </w:p>
        </w:tc>
      </w:tr>
      <w:tr w:rsidR="00F2508A" w:rsidRPr="00F2508A" w:rsidTr="00903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F2508A" w:rsidRPr="00F2508A" w:rsidRDefault="00F2508A" w:rsidP="00F2508A">
            <w:r w:rsidRPr="00F2508A">
              <w:t>White Average</w:t>
            </w:r>
          </w:p>
        </w:tc>
        <w:tc>
          <w:tcPr>
            <w:tcW w:w="2268" w:type="dxa"/>
          </w:tcPr>
          <w:p w:rsidR="00F2508A" w:rsidRPr="00F2508A" w:rsidRDefault="00F2508A" w:rsidP="00F2508A">
            <w:pPr>
              <w:cnfStyle w:val="000000100000" w:firstRow="0" w:lastRow="0" w:firstColumn="0" w:lastColumn="0" w:oddVBand="0" w:evenVBand="0" w:oddHBand="1" w:evenHBand="0" w:firstRowFirstColumn="0" w:firstRowLastColumn="0" w:lastRowFirstColumn="0" w:lastRowLastColumn="0"/>
            </w:pPr>
            <w:r w:rsidRPr="00F2508A">
              <w:t>6.1%</w:t>
            </w:r>
          </w:p>
        </w:tc>
        <w:tc>
          <w:tcPr>
            <w:tcW w:w="2268" w:type="dxa"/>
          </w:tcPr>
          <w:p w:rsidR="00F2508A" w:rsidRPr="00F2508A" w:rsidRDefault="00F2508A" w:rsidP="00F2508A">
            <w:pPr>
              <w:cnfStyle w:val="000000100000" w:firstRow="0" w:lastRow="0" w:firstColumn="0" w:lastColumn="0" w:oddVBand="0" w:evenVBand="0" w:oddHBand="1" w:evenHBand="0" w:firstRowFirstColumn="0" w:firstRowLastColumn="0" w:lastRowFirstColumn="0" w:lastRowLastColumn="0"/>
            </w:pPr>
            <w:r w:rsidRPr="00F2508A">
              <w:t>6.2%</w:t>
            </w:r>
          </w:p>
        </w:tc>
        <w:tc>
          <w:tcPr>
            <w:tcW w:w="2268" w:type="dxa"/>
          </w:tcPr>
          <w:p w:rsidR="00F2508A" w:rsidRPr="00F2508A" w:rsidRDefault="00F2508A" w:rsidP="00F2508A">
            <w:pPr>
              <w:cnfStyle w:val="000000100000" w:firstRow="0" w:lastRow="0" w:firstColumn="0" w:lastColumn="0" w:oddVBand="0" w:evenVBand="0" w:oddHBand="1" w:evenHBand="0" w:firstRowFirstColumn="0" w:firstRowLastColumn="0" w:lastRowFirstColumn="0" w:lastRowLastColumn="0"/>
            </w:pPr>
            <w:r w:rsidRPr="00F2508A">
              <w:t>6.4%</w:t>
            </w:r>
          </w:p>
        </w:tc>
      </w:tr>
      <w:tr w:rsidR="00F2508A" w:rsidRPr="00F2508A" w:rsidTr="00903F5A">
        <w:tc>
          <w:tcPr>
            <w:cnfStyle w:val="001000000000" w:firstRow="0" w:lastRow="0" w:firstColumn="1" w:lastColumn="0" w:oddVBand="0" w:evenVBand="0" w:oddHBand="0" w:evenHBand="0" w:firstRowFirstColumn="0" w:firstRowLastColumn="0" w:lastRowFirstColumn="0" w:lastRowLastColumn="0"/>
            <w:tcW w:w="2268" w:type="dxa"/>
          </w:tcPr>
          <w:p w:rsidR="00F2508A" w:rsidRPr="00F2508A" w:rsidRDefault="00F2508A" w:rsidP="00F2508A">
            <w:r w:rsidRPr="00F2508A">
              <w:t>BAME Average</w:t>
            </w:r>
          </w:p>
        </w:tc>
        <w:tc>
          <w:tcPr>
            <w:tcW w:w="2268" w:type="dxa"/>
          </w:tcPr>
          <w:p w:rsidR="00F2508A" w:rsidRPr="00F2508A" w:rsidRDefault="00F2508A" w:rsidP="00F2508A">
            <w:pPr>
              <w:cnfStyle w:val="000000000000" w:firstRow="0" w:lastRow="0" w:firstColumn="0" w:lastColumn="0" w:oddVBand="0" w:evenVBand="0" w:oddHBand="0" w:evenHBand="0" w:firstRowFirstColumn="0" w:firstRowLastColumn="0" w:lastRowFirstColumn="0" w:lastRowLastColumn="0"/>
            </w:pPr>
            <w:r w:rsidRPr="00F2508A">
              <w:t>14.0%</w:t>
            </w:r>
          </w:p>
        </w:tc>
        <w:tc>
          <w:tcPr>
            <w:tcW w:w="2268" w:type="dxa"/>
          </w:tcPr>
          <w:p w:rsidR="00F2508A" w:rsidRPr="00F2508A" w:rsidRDefault="00F2508A" w:rsidP="00F2508A">
            <w:pPr>
              <w:cnfStyle w:val="000000000000" w:firstRow="0" w:lastRow="0" w:firstColumn="0" w:lastColumn="0" w:oddVBand="0" w:evenVBand="0" w:oddHBand="0" w:evenHBand="0" w:firstRowFirstColumn="0" w:firstRowLastColumn="0" w:lastRowFirstColumn="0" w:lastRowLastColumn="0"/>
            </w:pPr>
            <w:r w:rsidRPr="00F2508A">
              <w:t>14.1%</w:t>
            </w:r>
          </w:p>
        </w:tc>
        <w:tc>
          <w:tcPr>
            <w:tcW w:w="2268" w:type="dxa"/>
          </w:tcPr>
          <w:p w:rsidR="00F2508A" w:rsidRPr="00F2508A" w:rsidRDefault="00F2508A" w:rsidP="00F2508A">
            <w:pPr>
              <w:cnfStyle w:val="000000000000" w:firstRow="0" w:lastRow="0" w:firstColumn="0" w:lastColumn="0" w:oddVBand="0" w:evenVBand="0" w:oddHBand="0" w:evenHBand="0" w:firstRowFirstColumn="0" w:firstRowLastColumn="0" w:lastRowFirstColumn="0" w:lastRowLastColumn="0"/>
            </w:pPr>
            <w:r w:rsidRPr="00F2508A">
              <w:t>14.0%</w:t>
            </w:r>
          </w:p>
        </w:tc>
      </w:tr>
    </w:tbl>
    <w:p w:rsidR="00F2508A" w:rsidRPr="00F2508A" w:rsidRDefault="00F2508A" w:rsidP="00F2508A">
      <w:pPr>
        <w:ind w:left="720" w:hanging="720"/>
      </w:pPr>
    </w:p>
    <w:p w:rsidR="00F2508A" w:rsidRPr="00F2508A" w:rsidRDefault="00F2508A" w:rsidP="001F4F3D">
      <w:r w:rsidRPr="00F2508A">
        <w:br w:type="page"/>
      </w:r>
      <w:r w:rsidRPr="00F2508A">
        <w:lastRenderedPageBreak/>
        <w:t>(9)</w:t>
      </w:r>
      <w:r w:rsidRPr="00F2508A">
        <w:tab/>
        <w:t>Percentage difference between the organisations’ Board voting membership and its overall workforce. Note: Only voting members of the Board should be included when considering this indicator. For this indicator, compare the difference for White and BME staff</w:t>
      </w:r>
    </w:p>
    <w:tbl>
      <w:tblPr>
        <w:tblW w:w="9646" w:type="dxa"/>
        <w:tblCellMar>
          <w:left w:w="0" w:type="dxa"/>
          <w:right w:w="0" w:type="dxa"/>
        </w:tblCellMar>
        <w:tblLook w:val="0420" w:firstRow="1" w:lastRow="0" w:firstColumn="0" w:lastColumn="0" w:noHBand="0" w:noVBand="1"/>
      </w:tblPr>
      <w:tblGrid>
        <w:gridCol w:w="1378"/>
        <w:gridCol w:w="1378"/>
        <w:gridCol w:w="1378"/>
        <w:gridCol w:w="1378"/>
        <w:gridCol w:w="1378"/>
        <w:gridCol w:w="1378"/>
        <w:gridCol w:w="1378"/>
      </w:tblGrid>
      <w:tr w:rsidR="00F2508A" w:rsidRPr="00F2508A" w:rsidTr="00903F5A">
        <w:trPr>
          <w:trHeight w:val="584"/>
        </w:trPr>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ascii="Times New Roman" w:eastAsia="Times New Roman" w:hAnsi="Times New Roman" w:cs="Times New Roman"/>
                <w:lang w:eastAsia="en-GB"/>
              </w:rPr>
            </w:pP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2019 White</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2019 BAME</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2019 Unknown</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2020 White</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2020 BAME</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2020 Unknown</w:t>
            </w:r>
          </w:p>
        </w:tc>
      </w:tr>
      <w:tr w:rsidR="00F2508A" w:rsidRPr="00F2508A" w:rsidTr="00903F5A">
        <w:trPr>
          <w:trHeight w:val="584"/>
        </w:trPr>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Total Board Members</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11</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13</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p>
        </w:tc>
      </w:tr>
      <w:tr w:rsidR="00F2508A" w:rsidRPr="00F2508A" w:rsidTr="00903F5A">
        <w:trPr>
          <w:trHeight w:val="1706"/>
        </w:trPr>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Voting Board  Members</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11</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13</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Exec</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5</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5</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NED</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6</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8</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 Difference Total Board – Overall Workforce</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-2.3%</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3.1%</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-0.8%</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-2.1%</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2.0%</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eastAsia="Times New Roman"/>
                <w:sz w:val="36"/>
                <w:szCs w:val="36"/>
                <w:lang w:eastAsia="en-GB"/>
              </w:rPr>
            </w:pPr>
          </w:p>
        </w:tc>
      </w:tr>
    </w:tbl>
    <w:p w:rsidR="00F2508A" w:rsidRPr="00F2508A" w:rsidRDefault="00F2508A" w:rsidP="00F2508A">
      <w:pPr>
        <w:ind w:left="720" w:hanging="720"/>
      </w:pPr>
    </w:p>
    <w:p w:rsidR="00F2508A" w:rsidRPr="00F2508A" w:rsidRDefault="00F2508A" w:rsidP="00F2508A">
      <w:r w:rsidRPr="00F2508A">
        <w:br w:type="page"/>
      </w:r>
    </w:p>
    <w:p w:rsidR="00F2508A" w:rsidRPr="00F2508A" w:rsidRDefault="00F2508A" w:rsidP="00C221FD">
      <w:pPr>
        <w:ind w:left="7200"/>
        <w:rPr>
          <w:b/>
        </w:rPr>
      </w:pPr>
      <w:r w:rsidRPr="00F2508A">
        <w:rPr>
          <w:b/>
        </w:rPr>
        <w:lastRenderedPageBreak/>
        <w:t>Appendix 2</w:t>
      </w:r>
    </w:p>
    <w:p w:rsidR="00F2508A" w:rsidRPr="00F2508A" w:rsidRDefault="00F2508A" w:rsidP="00F2508A">
      <w:pPr>
        <w:ind w:left="720" w:hanging="720"/>
        <w:rPr>
          <w:b/>
        </w:rPr>
      </w:pPr>
      <w:r w:rsidRPr="00F2508A">
        <w:rPr>
          <w:b/>
        </w:rPr>
        <w:t>WDES Metrics</w:t>
      </w:r>
    </w:p>
    <w:p w:rsidR="00F2508A" w:rsidRPr="00F2508A" w:rsidRDefault="00F2508A" w:rsidP="00F2508A">
      <w:pPr>
        <w:ind w:left="720" w:hanging="720"/>
      </w:pPr>
      <w:r w:rsidRPr="00F2508A">
        <w:t>(1)</w:t>
      </w:r>
      <w:r w:rsidRPr="00F2508A">
        <w:tab/>
        <w:t xml:space="preserve">Percentage of staff in </w:t>
      </w:r>
      <w:proofErr w:type="spellStart"/>
      <w:r w:rsidRPr="00F2508A">
        <w:t>AfC</w:t>
      </w:r>
      <w:proofErr w:type="spellEnd"/>
      <w:r w:rsidRPr="00F2508A">
        <w:t xml:space="preserve"> pay-bands or medical and dental subgroups and very senior managers (including Executive Board members) compared with the percentage of staff in the overall workforce.</w:t>
      </w:r>
    </w:p>
    <w:tbl>
      <w:tblPr>
        <w:tblW w:w="9646" w:type="dxa"/>
        <w:tblCellMar>
          <w:left w:w="0" w:type="dxa"/>
          <w:right w:w="0" w:type="dxa"/>
        </w:tblCellMar>
        <w:tblLook w:val="0420" w:firstRow="1" w:lastRow="0" w:firstColumn="0" w:lastColumn="0" w:noHBand="0" w:noVBand="1"/>
      </w:tblPr>
      <w:tblGrid>
        <w:gridCol w:w="1378"/>
        <w:gridCol w:w="1378"/>
        <w:gridCol w:w="1378"/>
        <w:gridCol w:w="1378"/>
        <w:gridCol w:w="1378"/>
        <w:gridCol w:w="1378"/>
        <w:gridCol w:w="1378"/>
      </w:tblGrid>
      <w:tr w:rsidR="00F2508A" w:rsidRPr="00F2508A" w:rsidTr="00903F5A">
        <w:trPr>
          <w:trHeight w:val="584"/>
        </w:trPr>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Non clinical</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2019 Disabled staff</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2019 Not Disabled</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2019 Unknown</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2020 Disabled Staff</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2020 Not Disabled</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2020 Unknown</w:t>
            </w:r>
          </w:p>
        </w:tc>
      </w:tr>
      <w:tr w:rsidR="00F2508A" w:rsidRPr="00F2508A" w:rsidTr="00903F5A">
        <w:trPr>
          <w:trHeight w:val="584"/>
        </w:trPr>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ascii="Calibri" w:eastAsia="Times New Roman" w:hAnsi="Calibri" w:cs="Calibri"/>
                <w:color w:val="000000"/>
                <w:kern w:val="24"/>
                <w:lang w:eastAsia="en-GB"/>
              </w:rPr>
            </w:pPr>
          </w:p>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0</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2</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1</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ascii="Calibri" w:eastAsia="Times New Roman" w:hAnsi="Calibri" w:cs="Calibri"/>
                <w:color w:val="000000"/>
                <w:kern w:val="24"/>
                <w:lang w:eastAsia="en-GB"/>
              </w:rPr>
            </w:pPr>
          </w:p>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2</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12</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129</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25</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11</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173</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39</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ascii="Calibri" w:eastAsia="Times New Roman" w:hAnsi="Calibri" w:cs="Calibri"/>
                <w:color w:val="000000"/>
                <w:kern w:val="24"/>
                <w:lang w:eastAsia="en-GB"/>
              </w:rPr>
            </w:pPr>
          </w:p>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3</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19</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258</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61</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25</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326</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63</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ascii="Calibri" w:eastAsia="Times New Roman" w:hAnsi="Calibri" w:cs="Calibri"/>
                <w:color w:val="000000"/>
                <w:kern w:val="24"/>
                <w:lang w:eastAsia="en-GB"/>
              </w:rPr>
            </w:pPr>
          </w:p>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4</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13</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191</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60</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19</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230</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56</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ascii="Calibri" w:eastAsia="Times New Roman" w:hAnsi="Calibri" w:cs="Calibri"/>
                <w:color w:val="000000"/>
                <w:kern w:val="24"/>
                <w:lang w:eastAsia="en-GB"/>
              </w:rPr>
            </w:pPr>
          </w:p>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5</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5</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72</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18</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10</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112</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21</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ascii="Calibri" w:eastAsia="Times New Roman" w:hAnsi="Calibri" w:cs="Calibri"/>
                <w:color w:val="000000"/>
                <w:kern w:val="24"/>
                <w:lang w:eastAsia="en-GB"/>
              </w:rPr>
            </w:pPr>
          </w:p>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6</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47</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33</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3</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57</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31</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ascii="Calibri" w:eastAsia="Times New Roman" w:hAnsi="Calibri" w:cs="Calibri"/>
                <w:color w:val="000000"/>
                <w:kern w:val="24"/>
                <w:lang w:eastAsia="en-GB"/>
              </w:rPr>
            </w:pPr>
          </w:p>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7</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38</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17</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1</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51</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17</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ascii="Calibri" w:eastAsia="Times New Roman" w:hAnsi="Calibri" w:cs="Calibri"/>
                <w:color w:val="000000"/>
                <w:kern w:val="24"/>
                <w:lang w:eastAsia="en-GB"/>
              </w:rPr>
            </w:pPr>
          </w:p>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8a</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3</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26</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8</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4</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24</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6</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ascii="Calibri" w:eastAsia="Times New Roman" w:hAnsi="Calibri" w:cs="Calibri"/>
                <w:color w:val="000000"/>
                <w:kern w:val="24"/>
                <w:lang w:eastAsia="en-GB"/>
              </w:rPr>
            </w:pPr>
          </w:p>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8b</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18</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8</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22</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9</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ascii="Calibri" w:eastAsia="Times New Roman" w:hAnsi="Calibri" w:cs="Calibri"/>
                <w:color w:val="000000"/>
                <w:kern w:val="24"/>
                <w:lang w:eastAsia="en-GB"/>
              </w:rPr>
            </w:pPr>
          </w:p>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8c</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3</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rPr>
                <w:rFonts w:eastAsia="Times New Roman"/>
                <w:lang w:eastAsia="en-GB"/>
              </w:rPr>
            </w:pPr>
            <w:r w:rsidRPr="00F2508A">
              <w:rPr>
                <w:rFonts w:eastAsia="Times New Roman"/>
                <w:lang w:eastAsia="en-GB"/>
              </w:rPr>
              <w:t>0</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ascii="Calibri" w:eastAsia="Times New Roman" w:hAnsi="Calibri" w:cs="Calibri"/>
                <w:color w:val="000000"/>
                <w:kern w:val="24"/>
                <w:lang w:eastAsia="en-GB"/>
              </w:rPr>
            </w:pPr>
          </w:p>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8d</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2</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ascii="Calibri" w:eastAsia="Times New Roman" w:hAnsi="Calibri" w:cs="Calibri"/>
                <w:color w:val="000000"/>
                <w:kern w:val="24"/>
                <w:lang w:eastAsia="en-GB"/>
              </w:rPr>
            </w:pPr>
          </w:p>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9</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2</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ascii="Calibri" w:eastAsia="Times New Roman" w:hAnsi="Calibri" w:cs="Calibri"/>
                <w:color w:val="000000"/>
                <w:kern w:val="24"/>
                <w:lang w:eastAsia="en-GB"/>
              </w:rPr>
            </w:pPr>
          </w:p>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VSM</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2</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1</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3</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1</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ascii="Calibri" w:eastAsia="Times New Roman" w:hAnsi="Calibri" w:cs="Calibri"/>
                <w:color w:val="000000"/>
                <w:kern w:val="24"/>
                <w:lang w:eastAsia="en-GB"/>
              </w:rPr>
            </w:pPr>
          </w:p>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Other</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8</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34</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8</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7</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34</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17</w:t>
            </w:r>
          </w:p>
        </w:tc>
      </w:tr>
    </w:tbl>
    <w:p w:rsidR="00F2508A" w:rsidRPr="00F2508A" w:rsidRDefault="00F2508A" w:rsidP="00F2508A">
      <w:pPr>
        <w:ind w:left="720" w:hanging="720"/>
      </w:pPr>
    </w:p>
    <w:tbl>
      <w:tblPr>
        <w:tblW w:w="9646" w:type="dxa"/>
        <w:tblCellMar>
          <w:left w:w="0" w:type="dxa"/>
          <w:right w:w="0" w:type="dxa"/>
        </w:tblCellMar>
        <w:tblLook w:val="0420" w:firstRow="1" w:lastRow="0" w:firstColumn="0" w:lastColumn="0" w:noHBand="0" w:noVBand="1"/>
      </w:tblPr>
      <w:tblGrid>
        <w:gridCol w:w="1378"/>
        <w:gridCol w:w="1378"/>
        <w:gridCol w:w="1378"/>
        <w:gridCol w:w="1378"/>
        <w:gridCol w:w="1378"/>
        <w:gridCol w:w="1378"/>
        <w:gridCol w:w="1378"/>
      </w:tblGrid>
      <w:tr w:rsidR="00F2508A" w:rsidRPr="00F2508A" w:rsidTr="00903F5A">
        <w:trPr>
          <w:trHeight w:val="584"/>
        </w:trPr>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b/>
                <w:bCs/>
                <w:color w:val="FFFFFF"/>
                <w:kern w:val="24"/>
                <w:lang w:eastAsia="en-GB"/>
              </w:rPr>
              <w:lastRenderedPageBreak/>
              <w:t>Clinical</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b/>
                <w:bCs/>
                <w:color w:val="FFFFFF"/>
                <w:kern w:val="24"/>
                <w:lang w:eastAsia="en-GB"/>
              </w:rPr>
              <w:t>2019 Disabled staff</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b/>
                <w:bCs/>
                <w:color w:val="FFFFFF"/>
                <w:kern w:val="24"/>
                <w:lang w:eastAsia="en-GB"/>
              </w:rPr>
              <w:t>2019 Not Disabled</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b/>
                <w:bCs/>
                <w:color w:val="FFFFFF"/>
                <w:kern w:val="24"/>
                <w:lang w:eastAsia="en-GB"/>
              </w:rPr>
              <w:t>2019 Unknown</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b/>
                <w:bCs/>
                <w:color w:val="FFFFFF"/>
                <w:kern w:val="24"/>
                <w:lang w:eastAsia="en-GB"/>
              </w:rPr>
              <w:t>2020 Disabled Staff</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b/>
                <w:bCs/>
                <w:color w:val="FFFFFF"/>
                <w:kern w:val="24"/>
                <w:lang w:eastAsia="en-GB"/>
              </w:rPr>
              <w:t>2020 Not Disabled</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b/>
                <w:bCs/>
                <w:color w:val="FFFFFF"/>
                <w:kern w:val="24"/>
                <w:lang w:eastAsia="en-GB"/>
              </w:rPr>
              <w:t>2020 Unknown</w:t>
            </w:r>
          </w:p>
        </w:tc>
      </w:tr>
      <w:tr w:rsidR="00F2508A" w:rsidRPr="00F2508A" w:rsidTr="00903F5A">
        <w:trPr>
          <w:trHeight w:val="584"/>
        </w:trPr>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ascii="Calibri" w:eastAsia="Times New Roman" w:hAnsi="Calibri" w:cs="Calibri"/>
                <w:color w:val="000000"/>
                <w:kern w:val="24"/>
                <w:lang w:eastAsia="en-GB"/>
              </w:rPr>
            </w:pPr>
          </w:p>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color w:val="000000"/>
                <w:kern w:val="24"/>
                <w:lang w:eastAsia="en-GB"/>
              </w:rPr>
              <w:t>1</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1</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0</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0</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1</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0</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0</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ascii="Calibri" w:eastAsia="Times New Roman" w:hAnsi="Calibri" w:cs="Calibri"/>
                <w:color w:val="000000"/>
                <w:kern w:val="24"/>
                <w:lang w:eastAsia="en-GB"/>
              </w:rPr>
            </w:pPr>
          </w:p>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color w:val="000000"/>
                <w:kern w:val="24"/>
                <w:lang w:eastAsia="en-GB"/>
              </w:rPr>
              <w:t>2</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4</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27</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2</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3</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8</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3</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ascii="Calibri" w:eastAsia="Times New Roman" w:hAnsi="Calibri" w:cs="Calibri"/>
                <w:color w:val="000000"/>
                <w:kern w:val="24"/>
                <w:lang w:eastAsia="en-GB"/>
              </w:rPr>
            </w:pPr>
          </w:p>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color w:val="000000"/>
                <w:kern w:val="24"/>
                <w:lang w:eastAsia="en-GB"/>
              </w:rPr>
              <w:t>3</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56</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352</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355</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72</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1099</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366</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ascii="Calibri" w:eastAsia="Times New Roman" w:hAnsi="Calibri" w:cs="Calibri"/>
                <w:color w:val="000000"/>
                <w:kern w:val="24"/>
                <w:lang w:eastAsia="en-GB"/>
              </w:rPr>
            </w:pPr>
          </w:p>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color w:val="000000"/>
                <w:kern w:val="24"/>
                <w:lang w:eastAsia="en-GB"/>
              </w:rPr>
              <w:t>4</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7</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164</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35</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13</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200</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43</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ascii="Calibri" w:eastAsia="Times New Roman" w:hAnsi="Calibri" w:cs="Calibri"/>
                <w:color w:val="000000"/>
                <w:kern w:val="24"/>
                <w:lang w:eastAsia="en-GB"/>
              </w:rPr>
            </w:pPr>
          </w:p>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color w:val="000000"/>
                <w:kern w:val="24"/>
                <w:lang w:eastAsia="en-GB"/>
              </w:rPr>
              <w:t>5</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33</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542</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110</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47</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653</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113</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ascii="Calibri" w:eastAsia="Times New Roman" w:hAnsi="Calibri" w:cs="Calibri"/>
                <w:color w:val="000000"/>
                <w:kern w:val="24"/>
                <w:lang w:eastAsia="en-GB"/>
              </w:rPr>
            </w:pPr>
          </w:p>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color w:val="000000"/>
                <w:kern w:val="24"/>
                <w:lang w:eastAsia="en-GB"/>
              </w:rPr>
              <w:t>6</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56</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831</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257</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71</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1065</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247</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ascii="Calibri" w:eastAsia="Times New Roman" w:hAnsi="Calibri" w:cs="Calibri"/>
                <w:color w:val="000000"/>
                <w:kern w:val="24"/>
                <w:lang w:eastAsia="en-GB"/>
              </w:rPr>
            </w:pPr>
          </w:p>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color w:val="000000"/>
                <w:kern w:val="24"/>
                <w:lang w:eastAsia="en-GB"/>
              </w:rPr>
              <w:t>7</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19</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364</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105</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32</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507</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115</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ascii="Calibri" w:eastAsia="Times New Roman" w:hAnsi="Calibri" w:cs="Calibri"/>
                <w:color w:val="000000"/>
                <w:kern w:val="24"/>
                <w:lang w:eastAsia="en-GB"/>
              </w:rPr>
            </w:pPr>
          </w:p>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color w:val="000000"/>
                <w:kern w:val="24"/>
                <w:lang w:eastAsia="en-GB"/>
              </w:rPr>
              <w:t>8a</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6</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142</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42</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6</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163</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38</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ascii="Calibri" w:eastAsia="Times New Roman" w:hAnsi="Calibri" w:cs="Calibri"/>
                <w:color w:val="000000"/>
                <w:kern w:val="24"/>
                <w:lang w:eastAsia="en-GB"/>
              </w:rPr>
            </w:pPr>
          </w:p>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color w:val="000000"/>
                <w:kern w:val="24"/>
                <w:lang w:eastAsia="en-GB"/>
              </w:rPr>
              <w:t>8b</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2</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58</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15</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1</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80</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11</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ascii="Calibri" w:eastAsia="Times New Roman" w:hAnsi="Calibri" w:cs="Calibri"/>
                <w:color w:val="000000"/>
                <w:kern w:val="24"/>
                <w:lang w:eastAsia="en-GB"/>
              </w:rPr>
            </w:pPr>
          </w:p>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color w:val="000000"/>
                <w:kern w:val="24"/>
                <w:lang w:eastAsia="en-GB"/>
              </w:rPr>
              <w:t>8c</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1</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30</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13</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3</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37</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14</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ascii="Calibri" w:eastAsia="Times New Roman" w:hAnsi="Calibri" w:cs="Calibri"/>
                <w:color w:val="000000"/>
                <w:kern w:val="24"/>
                <w:lang w:eastAsia="en-GB"/>
              </w:rPr>
            </w:pPr>
          </w:p>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color w:val="000000"/>
                <w:kern w:val="24"/>
                <w:lang w:eastAsia="en-GB"/>
              </w:rPr>
              <w:t>8d</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18</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6</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17</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6</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rPr>
                <w:rFonts w:ascii="Calibri" w:eastAsia="Times New Roman" w:hAnsi="Calibri" w:cs="Calibri"/>
                <w:color w:val="000000"/>
                <w:kern w:val="24"/>
                <w:lang w:eastAsia="en-GB"/>
              </w:rPr>
            </w:pPr>
          </w:p>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color w:val="000000"/>
                <w:kern w:val="24"/>
                <w:lang w:eastAsia="en-GB"/>
              </w:rPr>
              <w:t>9</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4</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3</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0</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rPr>
                <w:rFonts w:ascii="Calibri" w:eastAsia="Times New Roman" w:hAnsi="Calibri" w:cs="Calibri"/>
                <w:color w:val="000000"/>
                <w:kern w:val="24"/>
                <w:lang w:eastAsia="en-GB"/>
              </w:rPr>
            </w:pPr>
          </w:p>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color w:val="000000"/>
                <w:kern w:val="24"/>
                <w:lang w:eastAsia="en-GB"/>
              </w:rPr>
              <w:t>VSM</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1</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1</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0</w:t>
            </w:r>
          </w:p>
        </w:tc>
      </w:tr>
    </w:tbl>
    <w:p w:rsidR="00F2508A" w:rsidRPr="00F2508A" w:rsidRDefault="00F2508A" w:rsidP="00F2508A">
      <w:pPr>
        <w:ind w:left="720" w:hanging="720"/>
      </w:pPr>
    </w:p>
    <w:p w:rsidR="00F2508A" w:rsidRPr="00F2508A" w:rsidRDefault="00F2508A" w:rsidP="00F2508A">
      <w:r w:rsidRPr="00F2508A">
        <w:br w:type="page"/>
      </w:r>
    </w:p>
    <w:tbl>
      <w:tblPr>
        <w:tblW w:w="9646" w:type="dxa"/>
        <w:tblCellMar>
          <w:left w:w="0" w:type="dxa"/>
          <w:right w:w="0" w:type="dxa"/>
        </w:tblCellMar>
        <w:tblLook w:val="0420" w:firstRow="1" w:lastRow="0" w:firstColumn="0" w:lastColumn="0" w:noHBand="0" w:noVBand="1"/>
      </w:tblPr>
      <w:tblGrid>
        <w:gridCol w:w="1378"/>
        <w:gridCol w:w="1378"/>
        <w:gridCol w:w="1378"/>
        <w:gridCol w:w="1378"/>
        <w:gridCol w:w="1378"/>
        <w:gridCol w:w="1378"/>
        <w:gridCol w:w="1378"/>
      </w:tblGrid>
      <w:tr w:rsidR="00F2508A" w:rsidRPr="00F2508A" w:rsidTr="00903F5A">
        <w:trPr>
          <w:trHeight w:val="584"/>
        </w:trPr>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b/>
                <w:bCs/>
                <w:color w:val="FFFFFF"/>
                <w:kern w:val="24"/>
                <w:lang w:eastAsia="en-GB"/>
              </w:rPr>
              <w:lastRenderedPageBreak/>
              <w:t>Doctors</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b/>
                <w:bCs/>
                <w:color w:val="FFFFFF"/>
                <w:kern w:val="24"/>
                <w:lang w:eastAsia="en-GB"/>
              </w:rPr>
              <w:t>2019 Disabled staff</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b/>
                <w:bCs/>
                <w:color w:val="FFFFFF"/>
                <w:kern w:val="24"/>
                <w:lang w:eastAsia="en-GB"/>
              </w:rPr>
              <w:t>2019 Not Disabled</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b/>
                <w:bCs/>
                <w:color w:val="FFFFFF"/>
                <w:kern w:val="24"/>
                <w:lang w:eastAsia="en-GB"/>
              </w:rPr>
              <w:t>2019 Unknown</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b/>
                <w:bCs/>
                <w:color w:val="FFFFFF"/>
                <w:kern w:val="24"/>
                <w:lang w:eastAsia="en-GB"/>
              </w:rPr>
              <w:t>2020 Disabled Staff</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b/>
                <w:bCs/>
                <w:color w:val="FFFFFF"/>
                <w:kern w:val="24"/>
                <w:lang w:eastAsia="en-GB"/>
              </w:rPr>
              <w:t>2020 Not Disabled</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b/>
                <w:bCs/>
                <w:color w:val="FFFFFF"/>
                <w:kern w:val="24"/>
                <w:lang w:eastAsia="en-GB"/>
              </w:rPr>
              <w:t>2020 Unknown</w:t>
            </w:r>
          </w:p>
        </w:tc>
      </w:tr>
      <w:tr w:rsidR="00F2508A" w:rsidRPr="00F2508A" w:rsidTr="00903F5A">
        <w:trPr>
          <w:trHeight w:val="584"/>
        </w:trPr>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F2508A" w:rsidRPr="00F2508A" w:rsidRDefault="00F2508A" w:rsidP="00F2508A">
            <w:pPr>
              <w:spacing w:after="0" w:line="240" w:lineRule="auto"/>
              <w:textAlignment w:val="center"/>
              <w:rPr>
                <w:rFonts w:eastAsia="Times New Roman"/>
                <w:color w:val="000000"/>
                <w:kern w:val="24"/>
                <w:lang w:eastAsia="en-GB"/>
              </w:rPr>
            </w:pPr>
          </w:p>
          <w:p w:rsidR="00F2508A" w:rsidRPr="00F2508A" w:rsidRDefault="00F2508A" w:rsidP="00F2508A">
            <w:pPr>
              <w:spacing w:after="0" w:line="240" w:lineRule="auto"/>
              <w:textAlignment w:val="center"/>
              <w:rPr>
                <w:rFonts w:eastAsia="Times New Roman"/>
                <w:lang w:eastAsia="en-GB"/>
              </w:rPr>
            </w:pPr>
            <w:r w:rsidRPr="00F2508A">
              <w:rPr>
                <w:rFonts w:eastAsia="Times New Roman"/>
                <w:color w:val="000000"/>
                <w:kern w:val="24"/>
                <w:lang w:eastAsia="en-GB"/>
              </w:rPr>
              <w:t>Consultants</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5</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108</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72</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6</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117</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73</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F2508A" w:rsidRPr="00F2508A" w:rsidRDefault="00F2508A" w:rsidP="00F2508A">
            <w:pPr>
              <w:spacing w:after="0" w:line="240" w:lineRule="auto"/>
              <w:textAlignment w:val="center"/>
              <w:rPr>
                <w:rFonts w:eastAsia="Times New Roman"/>
                <w:lang w:eastAsia="en-GB"/>
              </w:rPr>
            </w:pPr>
            <w:r w:rsidRPr="00F2508A">
              <w:rPr>
                <w:rFonts w:eastAsia="Times New Roman"/>
                <w:color w:val="000000"/>
                <w:kern w:val="24"/>
                <w:lang w:eastAsia="en-GB"/>
              </w:rPr>
              <w:t>Career grade</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4</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24</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23</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5</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40</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23</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F2508A" w:rsidRPr="00F2508A" w:rsidRDefault="00F2508A" w:rsidP="00F2508A">
            <w:pPr>
              <w:spacing w:after="0" w:line="240" w:lineRule="auto"/>
              <w:textAlignment w:val="center"/>
              <w:rPr>
                <w:rFonts w:eastAsia="Times New Roman"/>
                <w:lang w:eastAsia="en-GB"/>
              </w:rPr>
            </w:pPr>
            <w:r w:rsidRPr="00F2508A">
              <w:rPr>
                <w:rFonts w:eastAsia="Times New Roman"/>
                <w:color w:val="000000"/>
                <w:kern w:val="24"/>
                <w:lang w:eastAsia="en-GB"/>
              </w:rPr>
              <w:t>Trainee grades</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19</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8</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19</w:t>
            </w:r>
          </w:p>
        </w:tc>
        <w:tc>
          <w:tcPr>
            <w:tcW w:w="137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4</w:t>
            </w: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F2508A" w:rsidRPr="00F2508A" w:rsidRDefault="00F2508A" w:rsidP="00F2508A">
            <w:pPr>
              <w:spacing w:after="0" w:line="240" w:lineRule="auto"/>
              <w:textAlignment w:val="center"/>
              <w:rPr>
                <w:rFonts w:eastAsia="Times New Roman"/>
                <w:color w:val="000000"/>
                <w:kern w:val="24"/>
                <w:lang w:eastAsia="en-GB"/>
              </w:rPr>
            </w:pPr>
          </w:p>
          <w:p w:rsidR="00F2508A" w:rsidRPr="00F2508A" w:rsidRDefault="00F2508A" w:rsidP="00F2508A">
            <w:pPr>
              <w:spacing w:after="0" w:line="240" w:lineRule="auto"/>
              <w:textAlignment w:val="center"/>
              <w:rPr>
                <w:rFonts w:eastAsia="Times New Roman"/>
                <w:lang w:eastAsia="en-GB"/>
              </w:rPr>
            </w:pPr>
            <w:r w:rsidRPr="00F2508A">
              <w:rPr>
                <w:rFonts w:eastAsia="Times New Roman"/>
                <w:color w:val="000000"/>
                <w:kern w:val="24"/>
                <w:lang w:eastAsia="en-GB"/>
              </w:rPr>
              <w:t>Other</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18</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2508A" w:rsidRPr="00F2508A" w:rsidRDefault="00F2508A" w:rsidP="00F2508A">
            <w:pPr>
              <w:spacing w:after="0" w:line="240" w:lineRule="auto"/>
              <w:jc w:val="right"/>
              <w:rPr>
                <w:rFonts w:ascii="Calibri" w:eastAsia="Times New Roman" w:hAnsi="Calibri" w:cs="Calibri"/>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11</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0</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18</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10</w:t>
            </w:r>
          </w:p>
        </w:tc>
      </w:tr>
    </w:tbl>
    <w:p w:rsidR="001F4F3D" w:rsidRDefault="00F2508A" w:rsidP="00F2508A">
      <w:pPr>
        <w:ind w:left="720" w:hanging="720"/>
      </w:pPr>
      <w:r w:rsidRPr="00F2508A">
        <w:tab/>
      </w:r>
    </w:p>
    <w:p w:rsidR="00F2508A" w:rsidRPr="00F2508A" w:rsidRDefault="00F2508A" w:rsidP="001F4F3D">
      <w:pPr>
        <w:ind w:left="720" w:hanging="720"/>
      </w:pPr>
      <w:r w:rsidRPr="00F2508A">
        <w:t>(2)</w:t>
      </w:r>
      <w:r w:rsidRPr="00F2508A">
        <w:tab/>
        <w:t xml:space="preserve">Relative likelihood of non-disabled staff compared to Disabled staff being </w:t>
      </w:r>
      <w:r w:rsidR="001F4F3D">
        <w:t xml:space="preserve">    </w:t>
      </w:r>
      <w:r w:rsidRPr="00F2508A">
        <w:t>appointed from shortlisting across all posts.</w:t>
      </w:r>
    </w:p>
    <w:tbl>
      <w:tblPr>
        <w:tblW w:w="9640" w:type="dxa"/>
        <w:tblCellMar>
          <w:left w:w="0" w:type="dxa"/>
          <w:right w:w="0" w:type="dxa"/>
        </w:tblCellMar>
        <w:tblLook w:val="0420" w:firstRow="1" w:lastRow="0" w:firstColumn="0" w:lastColumn="0" w:noHBand="0" w:noVBand="1"/>
      </w:tblPr>
      <w:tblGrid>
        <w:gridCol w:w="1928"/>
        <w:gridCol w:w="1928"/>
        <w:gridCol w:w="1928"/>
        <w:gridCol w:w="1928"/>
        <w:gridCol w:w="1928"/>
      </w:tblGrid>
      <w:tr w:rsidR="00F2508A" w:rsidRPr="00F2508A" w:rsidTr="00903F5A">
        <w:trPr>
          <w:trHeight w:val="584"/>
        </w:trPr>
        <w:tc>
          <w:tcPr>
            <w:tcW w:w="192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bottom"/>
            <w:hideMark/>
          </w:tcPr>
          <w:p w:rsidR="00F2508A" w:rsidRPr="00F2508A" w:rsidRDefault="00F2508A" w:rsidP="00F2508A">
            <w:pPr>
              <w:spacing w:after="0" w:line="240" w:lineRule="auto"/>
              <w:jc w:val="right"/>
              <w:rPr>
                <w:rFonts w:ascii="Times New Roman" w:eastAsia="Times New Roman" w:hAnsi="Times New Roman" w:cs="Times New Roman"/>
                <w:lang w:eastAsia="en-GB"/>
              </w:rPr>
            </w:pPr>
          </w:p>
        </w:tc>
        <w:tc>
          <w:tcPr>
            <w:tcW w:w="192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b/>
                <w:bCs/>
                <w:color w:val="FFFFFF"/>
                <w:kern w:val="24"/>
                <w:lang w:eastAsia="en-GB"/>
              </w:rPr>
              <w:t>2019 Disabled staff</w:t>
            </w:r>
          </w:p>
        </w:tc>
        <w:tc>
          <w:tcPr>
            <w:tcW w:w="192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b/>
                <w:bCs/>
                <w:color w:val="FFFFFF"/>
                <w:kern w:val="24"/>
                <w:lang w:eastAsia="en-GB"/>
              </w:rPr>
              <w:t>2019 Not Disabled</w:t>
            </w:r>
          </w:p>
        </w:tc>
        <w:tc>
          <w:tcPr>
            <w:tcW w:w="192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b/>
                <w:bCs/>
                <w:color w:val="FFFFFF"/>
                <w:kern w:val="24"/>
                <w:lang w:eastAsia="en-GB"/>
              </w:rPr>
              <w:t>2020 Disabled Staff</w:t>
            </w:r>
          </w:p>
        </w:tc>
        <w:tc>
          <w:tcPr>
            <w:tcW w:w="192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b/>
                <w:bCs/>
                <w:color w:val="FFFFFF"/>
                <w:kern w:val="24"/>
                <w:lang w:eastAsia="en-GB"/>
              </w:rPr>
              <w:t>2020 Not Disabled</w:t>
            </w:r>
          </w:p>
        </w:tc>
      </w:tr>
      <w:tr w:rsidR="00F2508A" w:rsidRPr="00F2508A" w:rsidTr="00903F5A">
        <w:trPr>
          <w:trHeight w:val="584"/>
        </w:trPr>
        <w:tc>
          <w:tcPr>
            <w:tcW w:w="192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textAlignment w:val="center"/>
              <w:rPr>
                <w:rFonts w:eastAsia="Times New Roman"/>
                <w:lang w:eastAsia="en-GB"/>
              </w:rPr>
            </w:pPr>
            <w:r w:rsidRPr="00F2508A">
              <w:rPr>
                <w:rFonts w:eastAsia="Times New Roman"/>
                <w:color w:val="000000"/>
                <w:kern w:val="24"/>
                <w:lang w:eastAsia="en-GB"/>
              </w:rPr>
              <w:t>Number of shortlisted applicants</w:t>
            </w:r>
          </w:p>
        </w:tc>
        <w:tc>
          <w:tcPr>
            <w:tcW w:w="192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bottom"/>
            <w:hideMark/>
          </w:tcPr>
          <w:p w:rsidR="00F2508A" w:rsidRPr="00F2508A" w:rsidRDefault="00F2508A" w:rsidP="00F2508A">
            <w:pPr>
              <w:spacing w:after="0" w:line="240" w:lineRule="auto"/>
              <w:jc w:val="right"/>
              <w:rPr>
                <w:rFonts w:eastAsia="Times New Roman"/>
                <w:color w:val="000000"/>
                <w:kern w:val="24"/>
                <w:lang w:eastAsia="en-GB"/>
              </w:rPr>
            </w:pPr>
          </w:p>
          <w:p w:rsidR="00F2508A" w:rsidRPr="00F2508A" w:rsidRDefault="00F2508A" w:rsidP="00F2508A">
            <w:pPr>
              <w:spacing w:after="0" w:line="240" w:lineRule="auto"/>
              <w:jc w:val="right"/>
              <w:rPr>
                <w:rFonts w:eastAsia="Times New Roman"/>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eastAsia="Times New Roman"/>
                <w:color w:val="000000"/>
                <w:kern w:val="24"/>
                <w:lang w:eastAsia="en-GB"/>
              </w:rPr>
              <w:t>242</w:t>
            </w:r>
          </w:p>
        </w:tc>
        <w:tc>
          <w:tcPr>
            <w:tcW w:w="192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center"/>
              <w:rPr>
                <w:rFonts w:eastAsia="Times New Roman"/>
                <w:color w:val="000000"/>
                <w:kern w:val="24"/>
                <w:lang w:eastAsia="en-GB"/>
              </w:rPr>
            </w:pPr>
          </w:p>
          <w:p w:rsidR="00F2508A" w:rsidRPr="00F2508A" w:rsidRDefault="00F2508A" w:rsidP="00F2508A">
            <w:pPr>
              <w:spacing w:after="0" w:line="240" w:lineRule="auto"/>
              <w:jc w:val="right"/>
              <w:textAlignment w:val="center"/>
              <w:rPr>
                <w:rFonts w:eastAsia="Times New Roman"/>
                <w:color w:val="000000"/>
                <w:kern w:val="24"/>
                <w:lang w:eastAsia="en-GB"/>
              </w:rPr>
            </w:pPr>
          </w:p>
          <w:p w:rsidR="00F2508A" w:rsidRPr="00F2508A" w:rsidRDefault="00F2508A" w:rsidP="00F2508A">
            <w:pPr>
              <w:spacing w:after="0" w:line="240" w:lineRule="auto"/>
              <w:jc w:val="right"/>
              <w:textAlignment w:val="center"/>
              <w:rPr>
                <w:rFonts w:eastAsia="Times New Roman"/>
                <w:lang w:eastAsia="en-GB"/>
              </w:rPr>
            </w:pPr>
            <w:r w:rsidRPr="00F2508A">
              <w:rPr>
                <w:rFonts w:eastAsia="Times New Roman"/>
                <w:color w:val="000000"/>
                <w:kern w:val="24"/>
                <w:lang w:eastAsia="en-GB"/>
              </w:rPr>
              <w:t>4092</w:t>
            </w:r>
          </w:p>
        </w:tc>
        <w:tc>
          <w:tcPr>
            <w:tcW w:w="192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color w:val="000000"/>
                <w:kern w:val="24"/>
                <w:lang w:eastAsia="en-GB"/>
              </w:rPr>
            </w:pPr>
          </w:p>
          <w:p w:rsidR="00F2508A" w:rsidRPr="00F2508A" w:rsidRDefault="00F2508A" w:rsidP="00F2508A">
            <w:pPr>
              <w:spacing w:after="0" w:line="240" w:lineRule="auto"/>
              <w:jc w:val="right"/>
              <w:textAlignment w:val="bottom"/>
              <w:rPr>
                <w:rFonts w:eastAsia="Times New Roman"/>
                <w:color w:val="000000"/>
                <w:kern w:val="24"/>
                <w:lang w:eastAsia="en-GB"/>
              </w:rPr>
            </w:pPr>
          </w:p>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447</w:t>
            </w:r>
          </w:p>
        </w:tc>
        <w:tc>
          <w:tcPr>
            <w:tcW w:w="192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5960</w:t>
            </w:r>
          </w:p>
        </w:tc>
      </w:tr>
      <w:tr w:rsidR="00F2508A" w:rsidRPr="00F2508A" w:rsidTr="00903F5A">
        <w:trPr>
          <w:trHeight w:val="584"/>
        </w:trPr>
        <w:tc>
          <w:tcPr>
            <w:tcW w:w="192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textAlignment w:val="center"/>
              <w:rPr>
                <w:rFonts w:eastAsia="Times New Roman"/>
                <w:lang w:eastAsia="en-GB"/>
              </w:rPr>
            </w:pPr>
            <w:r w:rsidRPr="00F2508A">
              <w:rPr>
                <w:rFonts w:eastAsia="Times New Roman"/>
                <w:color w:val="000000"/>
                <w:kern w:val="24"/>
                <w:lang w:eastAsia="en-GB"/>
              </w:rPr>
              <w:t>Number appointed from shortlisting</w:t>
            </w:r>
          </w:p>
        </w:tc>
        <w:tc>
          <w:tcPr>
            <w:tcW w:w="192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bottom"/>
            <w:hideMark/>
          </w:tcPr>
          <w:p w:rsidR="00F2508A" w:rsidRPr="00F2508A" w:rsidRDefault="00F2508A" w:rsidP="00F2508A">
            <w:pPr>
              <w:spacing w:after="0" w:line="240" w:lineRule="auto"/>
              <w:jc w:val="right"/>
              <w:rPr>
                <w:rFonts w:eastAsia="Times New Roman"/>
                <w:color w:val="000000"/>
                <w:kern w:val="24"/>
                <w:lang w:eastAsia="en-GB"/>
              </w:rPr>
            </w:pPr>
          </w:p>
          <w:p w:rsidR="00F2508A" w:rsidRPr="00F2508A" w:rsidRDefault="00F2508A" w:rsidP="00F2508A">
            <w:pPr>
              <w:spacing w:after="0" w:line="240" w:lineRule="auto"/>
              <w:jc w:val="right"/>
              <w:rPr>
                <w:rFonts w:eastAsia="Times New Roman"/>
                <w:color w:val="000000"/>
                <w:kern w:val="24"/>
                <w:lang w:eastAsia="en-GB"/>
              </w:rPr>
            </w:pPr>
          </w:p>
          <w:p w:rsidR="00F2508A" w:rsidRPr="00F2508A" w:rsidRDefault="00F2508A" w:rsidP="00F2508A">
            <w:pPr>
              <w:spacing w:after="0" w:line="240" w:lineRule="auto"/>
              <w:jc w:val="right"/>
              <w:rPr>
                <w:rFonts w:eastAsia="Times New Roman"/>
                <w:lang w:eastAsia="en-GB"/>
              </w:rPr>
            </w:pPr>
            <w:r w:rsidRPr="00F2508A">
              <w:rPr>
                <w:rFonts w:eastAsia="Times New Roman"/>
                <w:color w:val="000000"/>
                <w:kern w:val="24"/>
                <w:lang w:eastAsia="en-GB"/>
              </w:rPr>
              <w:t>45</w:t>
            </w:r>
          </w:p>
        </w:tc>
        <w:tc>
          <w:tcPr>
            <w:tcW w:w="192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center"/>
              <w:rPr>
                <w:rFonts w:eastAsia="Times New Roman"/>
                <w:color w:val="000000"/>
                <w:kern w:val="24"/>
                <w:lang w:eastAsia="en-GB"/>
              </w:rPr>
            </w:pPr>
          </w:p>
          <w:p w:rsidR="00F2508A" w:rsidRPr="00F2508A" w:rsidRDefault="00F2508A" w:rsidP="00F2508A">
            <w:pPr>
              <w:spacing w:after="0" w:line="240" w:lineRule="auto"/>
              <w:jc w:val="right"/>
              <w:textAlignment w:val="center"/>
              <w:rPr>
                <w:rFonts w:eastAsia="Times New Roman"/>
                <w:color w:val="000000"/>
                <w:kern w:val="24"/>
                <w:lang w:eastAsia="en-GB"/>
              </w:rPr>
            </w:pPr>
          </w:p>
          <w:p w:rsidR="00F2508A" w:rsidRPr="00F2508A" w:rsidRDefault="00F2508A" w:rsidP="00F2508A">
            <w:pPr>
              <w:spacing w:after="0" w:line="240" w:lineRule="auto"/>
              <w:jc w:val="right"/>
              <w:textAlignment w:val="center"/>
              <w:rPr>
                <w:rFonts w:eastAsia="Times New Roman"/>
                <w:lang w:eastAsia="en-GB"/>
              </w:rPr>
            </w:pPr>
            <w:r w:rsidRPr="00F2508A">
              <w:rPr>
                <w:rFonts w:eastAsia="Times New Roman"/>
                <w:color w:val="000000"/>
                <w:kern w:val="24"/>
                <w:lang w:eastAsia="en-GB"/>
              </w:rPr>
              <w:t>644</w:t>
            </w:r>
          </w:p>
        </w:tc>
        <w:tc>
          <w:tcPr>
            <w:tcW w:w="192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70</w:t>
            </w:r>
          </w:p>
        </w:tc>
        <w:tc>
          <w:tcPr>
            <w:tcW w:w="192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970</w:t>
            </w:r>
          </w:p>
        </w:tc>
      </w:tr>
      <w:tr w:rsidR="00F2508A" w:rsidRPr="00F2508A" w:rsidTr="00903F5A">
        <w:trPr>
          <w:trHeight w:val="584"/>
        </w:trPr>
        <w:tc>
          <w:tcPr>
            <w:tcW w:w="192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tcPr>
          <w:p w:rsidR="00F2508A" w:rsidRPr="00F2508A" w:rsidRDefault="00F2508A" w:rsidP="00F2508A">
            <w:pPr>
              <w:spacing w:after="0" w:line="240" w:lineRule="auto"/>
              <w:textAlignment w:val="center"/>
              <w:rPr>
                <w:rFonts w:eastAsia="Times New Roman"/>
                <w:color w:val="000000"/>
                <w:kern w:val="24"/>
                <w:lang w:eastAsia="en-GB"/>
              </w:rPr>
            </w:pPr>
            <w:r w:rsidRPr="00F2508A">
              <w:rPr>
                <w:rFonts w:eastAsia="Times New Roman"/>
                <w:color w:val="000000"/>
                <w:kern w:val="24"/>
                <w:lang w:eastAsia="en-GB"/>
              </w:rPr>
              <w:t>Percentage appointed</w:t>
            </w:r>
          </w:p>
        </w:tc>
        <w:tc>
          <w:tcPr>
            <w:tcW w:w="192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bottom"/>
          </w:tcPr>
          <w:p w:rsidR="00F2508A" w:rsidRPr="00F2508A" w:rsidRDefault="00F2508A" w:rsidP="00F2508A">
            <w:pPr>
              <w:spacing w:after="0" w:line="240" w:lineRule="auto"/>
              <w:jc w:val="right"/>
              <w:rPr>
                <w:rFonts w:eastAsia="Times New Roman"/>
                <w:color w:val="000000"/>
                <w:kern w:val="24"/>
                <w:lang w:eastAsia="en-GB"/>
              </w:rPr>
            </w:pPr>
            <w:r w:rsidRPr="00F2508A">
              <w:rPr>
                <w:rFonts w:eastAsia="Times New Roman"/>
                <w:color w:val="000000"/>
                <w:kern w:val="24"/>
                <w:lang w:eastAsia="en-GB"/>
              </w:rPr>
              <w:t>18.6</w:t>
            </w:r>
          </w:p>
        </w:tc>
        <w:tc>
          <w:tcPr>
            <w:tcW w:w="192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tcPr>
          <w:p w:rsidR="00F2508A" w:rsidRPr="00F2508A" w:rsidRDefault="00F2508A" w:rsidP="00F2508A">
            <w:pPr>
              <w:spacing w:after="0" w:line="240" w:lineRule="auto"/>
              <w:jc w:val="right"/>
              <w:textAlignment w:val="center"/>
              <w:rPr>
                <w:rFonts w:eastAsia="Times New Roman"/>
                <w:color w:val="000000"/>
                <w:kern w:val="24"/>
                <w:lang w:eastAsia="en-GB"/>
              </w:rPr>
            </w:pPr>
            <w:r w:rsidRPr="00F2508A">
              <w:rPr>
                <w:rFonts w:eastAsia="Times New Roman"/>
                <w:color w:val="000000"/>
                <w:kern w:val="24"/>
                <w:lang w:eastAsia="en-GB"/>
              </w:rPr>
              <w:t>15.7</w:t>
            </w:r>
          </w:p>
        </w:tc>
        <w:tc>
          <w:tcPr>
            <w:tcW w:w="192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tcPr>
          <w:p w:rsidR="00F2508A" w:rsidRPr="00F2508A" w:rsidRDefault="00F2508A" w:rsidP="00F2508A">
            <w:pPr>
              <w:spacing w:after="0" w:line="240" w:lineRule="auto"/>
              <w:jc w:val="right"/>
              <w:textAlignment w:val="bottom"/>
              <w:rPr>
                <w:rFonts w:eastAsia="Times New Roman"/>
                <w:color w:val="000000"/>
                <w:kern w:val="24"/>
                <w:lang w:eastAsia="en-GB"/>
              </w:rPr>
            </w:pPr>
            <w:r w:rsidRPr="00F2508A">
              <w:rPr>
                <w:rFonts w:eastAsia="Times New Roman"/>
                <w:color w:val="000000"/>
                <w:kern w:val="24"/>
                <w:lang w:eastAsia="en-GB"/>
              </w:rPr>
              <w:t>15.7</w:t>
            </w:r>
          </w:p>
        </w:tc>
        <w:tc>
          <w:tcPr>
            <w:tcW w:w="192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tcPr>
          <w:p w:rsidR="00F2508A" w:rsidRPr="00F2508A" w:rsidRDefault="00F2508A" w:rsidP="00F2508A">
            <w:pPr>
              <w:spacing w:after="0" w:line="240" w:lineRule="auto"/>
              <w:jc w:val="right"/>
              <w:textAlignment w:val="bottom"/>
              <w:rPr>
                <w:rFonts w:eastAsia="Times New Roman"/>
                <w:color w:val="000000"/>
                <w:kern w:val="24"/>
                <w:lang w:eastAsia="en-GB"/>
              </w:rPr>
            </w:pPr>
            <w:r w:rsidRPr="00F2508A">
              <w:rPr>
                <w:rFonts w:eastAsia="Times New Roman"/>
                <w:color w:val="000000"/>
                <w:kern w:val="24"/>
                <w:lang w:eastAsia="en-GB"/>
              </w:rPr>
              <w:t>16.3</w:t>
            </w:r>
          </w:p>
        </w:tc>
      </w:tr>
    </w:tbl>
    <w:p w:rsidR="00F2508A" w:rsidRPr="00F2508A" w:rsidRDefault="00F2508A" w:rsidP="00F2508A">
      <w:pPr>
        <w:ind w:left="720" w:hanging="720"/>
      </w:pPr>
    </w:p>
    <w:p w:rsidR="00F2508A" w:rsidRPr="00F2508A" w:rsidRDefault="00F2508A" w:rsidP="00F2508A">
      <w:pPr>
        <w:ind w:left="720" w:hanging="720"/>
      </w:pPr>
      <w:r w:rsidRPr="00F2508A">
        <w:t>Relative likelihood 2019 0.87</w:t>
      </w:r>
    </w:p>
    <w:p w:rsidR="001F4F3D" w:rsidRDefault="00F2508A" w:rsidP="001F4F3D">
      <w:pPr>
        <w:ind w:left="720" w:hanging="720"/>
      </w:pPr>
      <w:r w:rsidRPr="00F2508A">
        <w:t>Relative likelihood 2020 1.03</w:t>
      </w:r>
    </w:p>
    <w:p w:rsidR="00F2508A" w:rsidRPr="00F2508A" w:rsidRDefault="00F2508A" w:rsidP="001F4F3D">
      <w:pPr>
        <w:ind w:left="720" w:hanging="720"/>
      </w:pPr>
      <w:r w:rsidRPr="00F2508A">
        <w:t>(3)</w:t>
      </w:r>
      <w:r w:rsidRPr="00F2508A">
        <w:tab/>
        <w:t>Relative likelihood of Disabled staff compared to non-disabled staff entering the formal capability process, as measured by entry into the formal capability procedure.</w:t>
      </w:r>
    </w:p>
    <w:tbl>
      <w:tblPr>
        <w:tblW w:w="9355" w:type="dxa"/>
        <w:tblCellMar>
          <w:left w:w="0" w:type="dxa"/>
          <w:right w:w="0" w:type="dxa"/>
        </w:tblCellMar>
        <w:tblLook w:val="0420" w:firstRow="1" w:lastRow="0" w:firstColumn="0" w:lastColumn="0" w:noHBand="0" w:noVBand="1"/>
      </w:tblPr>
      <w:tblGrid>
        <w:gridCol w:w="1871"/>
        <w:gridCol w:w="1871"/>
        <w:gridCol w:w="1871"/>
        <w:gridCol w:w="1871"/>
        <w:gridCol w:w="1871"/>
      </w:tblGrid>
      <w:tr w:rsidR="00F2508A" w:rsidRPr="00F2508A" w:rsidTr="00903F5A">
        <w:trPr>
          <w:trHeight w:val="584"/>
        </w:trPr>
        <w:tc>
          <w:tcPr>
            <w:tcW w:w="187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bottom"/>
            <w:hideMark/>
          </w:tcPr>
          <w:p w:rsidR="00F2508A" w:rsidRPr="00F2508A" w:rsidRDefault="00F2508A" w:rsidP="00F2508A">
            <w:pPr>
              <w:spacing w:after="0" w:line="240" w:lineRule="auto"/>
              <w:jc w:val="right"/>
              <w:rPr>
                <w:rFonts w:ascii="Times New Roman" w:eastAsia="Times New Roman" w:hAnsi="Times New Roman" w:cs="Times New Roman"/>
                <w:lang w:eastAsia="en-GB"/>
              </w:rPr>
            </w:pPr>
          </w:p>
        </w:tc>
        <w:tc>
          <w:tcPr>
            <w:tcW w:w="187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bottom"/>
            <w:hideMark/>
          </w:tcPr>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b/>
                <w:bCs/>
                <w:color w:val="FFFFFF"/>
                <w:kern w:val="24"/>
                <w:lang w:eastAsia="en-GB"/>
              </w:rPr>
              <w:t>2019 Disabled staff</w:t>
            </w:r>
          </w:p>
        </w:tc>
        <w:tc>
          <w:tcPr>
            <w:tcW w:w="187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bottom"/>
            <w:hideMark/>
          </w:tcPr>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b/>
                <w:bCs/>
                <w:color w:val="FFFFFF"/>
                <w:kern w:val="24"/>
                <w:lang w:eastAsia="en-GB"/>
              </w:rPr>
              <w:t>2019 Not Disabled</w:t>
            </w:r>
          </w:p>
        </w:tc>
        <w:tc>
          <w:tcPr>
            <w:tcW w:w="187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bottom"/>
            <w:hideMark/>
          </w:tcPr>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b/>
                <w:bCs/>
                <w:color w:val="FFFFFF"/>
                <w:kern w:val="24"/>
                <w:lang w:eastAsia="en-GB"/>
              </w:rPr>
              <w:t>2020 Disabled Staff</w:t>
            </w:r>
          </w:p>
        </w:tc>
        <w:tc>
          <w:tcPr>
            <w:tcW w:w="187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bottom"/>
            <w:hideMark/>
          </w:tcPr>
          <w:p w:rsidR="00F2508A" w:rsidRPr="00F2508A" w:rsidRDefault="00F2508A" w:rsidP="00F2508A">
            <w:pPr>
              <w:spacing w:after="0" w:line="240" w:lineRule="auto"/>
              <w:rPr>
                <w:rFonts w:eastAsia="Times New Roman"/>
                <w:lang w:eastAsia="en-GB"/>
              </w:rPr>
            </w:pPr>
            <w:r w:rsidRPr="00F2508A">
              <w:rPr>
                <w:rFonts w:ascii="Calibri" w:eastAsia="Times New Roman" w:hAnsi="Calibri" w:cs="Calibri"/>
                <w:b/>
                <w:bCs/>
                <w:color w:val="FFFFFF"/>
                <w:kern w:val="24"/>
                <w:lang w:eastAsia="en-GB"/>
              </w:rPr>
              <w:t>2020 Not Disabled</w:t>
            </w:r>
          </w:p>
        </w:tc>
      </w:tr>
      <w:tr w:rsidR="00F2508A" w:rsidRPr="00F2508A" w:rsidTr="00903F5A">
        <w:trPr>
          <w:trHeight w:val="584"/>
        </w:trPr>
        <w:tc>
          <w:tcPr>
            <w:tcW w:w="187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textAlignment w:val="center"/>
              <w:rPr>
                <w:rFonts w:eastAsia="Times New Roman"/>
                <w:lang w:eastAsia="en-GB"/>
              </w:rPr>
            </w:pPr>
            <w:r w:rsidRPr="00F2508A">
              <w:rPr>
                <w:rFonts w:eastAsia="Times New Roman"/>
                <w:color w:val="000000"/>
                <w:kern w:val="24"/>
                <w:lang w:eastAsia="en-GB"/>
              </w:rPr>
              <w:t>Number of staff entering the capability process</w:t>
            </w:r>
          </w:p>
        </w:tc>
        <w:tc>
          <w:tcPr>
            <w:tcW w:w="187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bottom"/>
            <w:hideMark/>
          </w:tcPr>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0</w:t>
            </w:r>
          </w:p>
        </w:tc>
        <w:tc>
          <w:tcPr>
            <w:tcW w:w="187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bottom"/>
            <w:hideMark/>
          </w:tcPr>
          <w:p w:rsidR="00F2508A" w:rsidRPr="00F2508A" w:rsidRDefault="00F2508A" w:rsidP="00F2508A">
            <w:pPr>
              <w:spacing w:after="0" w:line="240" w:lineRule="auto"/>
              <w:jc w:val="right"/>
              <w:rPr>
                <w:rFonts w:eastAsia="Times New Roman"/>
                <w:lang w:eastAsia="en-GB"/>
              </w:rPr>
            </w:pPr>
            <w:r w:rsidRPr="00F2508A">
              <w:rPr>
                <w:rFonts w:ascii="Calibri" w:eastAsia="Times New Roman" w:hAnsi="Calibri" w:cs="Calibri"/>
                <w:color w:val="000000"/>
                <w:kern w:val="24"/>
                <w:lang w:eastAsia="en-GB"/>
              </w:rPr>
              <w:t>13</w:t>
            </w:r>
          </w:p>
        </w:tc>
        <w:tc>
          <w:tcPr>
            <w:tcW w:w="187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17</w:t>
            </w:r>
          </w:p>
        </w:tc>
        <w:tc>
          <w:tcPr>
            <w:tcW w:w="187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lang w:eastAsia="en-GB"/>
              </w:rPr>
            </w:pPr>
            <w:r w:rsidRPr="00F2508A">
              <w:rPr>
                <w:rFonts w:eastAsia="Times New Roman"/>
                <w:color w:val="000000"/>
                <w:kern w:val="24"/>
                <w:lang w:eastAsia="en-GB"/>
              </w:rPr>
              <w:t>162</w:t>
            </w:r>
          </w:p>
        </w:tc>
      </w:tr>
    </w:tbl>
    <w:p w:rsidR="00F2508A" w:rsidRPr="00F2508A" w:rsidRDefault="00F2508A" w:rsidP="00F2508A">
      <w:pPr>
        <w:ind w:left="720" w:hanging="720"/>
      </w:pPr>
    </w:p>
    <w:p w:rsidR="00F2508A" w:rsidRPr="00F2508A" w:rsidRDefault="00F2508A" w:rsidP="00F2508A">
      <w:r w:rsidRPr="00F2508A">
        <w:lastRenderedPageBreak/>
        <w:t>Disabled staff comprise 9.5% of those entering the formal capability process, but only comprise 5% of the workforce</w:t>
      </w:r>
    </w:p>
    <w:p w:rsidR="00F2508A" w:rsidRPr="00F2508A" w:rsidRDefault="00F2508A" w:rsidP="00F2508A">
      <w:pPr>
        <w:ind w:left="720" w:hanging="720"/>
      </w:pPr>
      <w:r w:rsidRPr="00F2508A">
        <w:t>(4)</w:t>
      </w:r>
      <w:r w:rsidRPr="00F2508A">
        <w:tab/>
        <w:t>Percentage of Disabled Staff compared to non-disabled staff experiencing harassment bullying or abuse from:</w:t>
      </w:r>
    </w:p>
    <w:p w:rsidR="00F2508A" w:rsidRPr="00F2508A" w:rsidRDefault="00F2508A" w:rsidP="00F2508A">
      <w:pPr>
        <w:ind w:left="720" w:hanging="720"/>
      </w:pPr>
      <w:proofErr w:type="spellStart"/>
      <w:r w:rsidRPr="00F2508A">
        <w:t>i</w:t>
      </w:r>
      <w:proofErr w:type="spellEnd"/>
      <w:r w:rsidRPr="00F2508A">
        <w:t xml:space="preserve">) </w:t>
      </w:r>
      <w:r w:rsidRPr="00F2508A">
        <w:tab/>
        <w:t>Patients/Service users, their relatives or other members of the public</w:t>
      </w:r>
    </w:p>
    <w:tbl>
      <w:tblPr>
        <w:tblStyle w:val="GridTable4-Accent1"/>
        <w:tblW w:w="9184" w:type="dxa"/>
        <w:tblLook w:val="04A0" w:firstRow="1" w:lastRow="0" w:firstColumn="1" w:lastColumn="0" w:noHBand="0" w:noVBand="1"/>
      </w:tblPr>
      <w:tblGrid>
        <w:gridCol w:w="3288"/>
        <w:gridCol w:w="2948"/>
        <w:gridCol w:w="2948"/>
      </w:tblGrid>
      <w:tr w:rsidR="00F2508A" w:rsidRPr="00F2508A" w:rsidTr="0090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pPr>
              <w:spacing w:after="160" w:line="259" w:lineRule="auto"/>
              <w:ind w:left="720" w:hanging="720"/>
            </w:pPr>
          </w:p>
        </w:tc>
        <w:tc>
          <w:tcPr>
            <w:tcW w:w="2948" w:type="dxa"/>
          </w:tcPr>
          <w:p w:rsidR="00F2508A" w:rsidRPr="00F2508A" w:rsidRDefault="00F2508A" w:rsidP="00F2508A">
            <w:pPr>
              <w:spacing w:after="160" w:line="259" w:lineRule="auto"/>
              <w:ind w:left="720" w:hanging="720"/>
              <w:cnfStyle w:val="100000000000" w:firstRow="1" w:lastRow="0" w:firstColumn="0" w:lastColumn="0" w:oddVBand="0" w:evenVBand="0" w:oddHBand="0" w:evenHBand="0" w:firstRowFirstColumn="0" w:firstRowLastColumn="0" w:lastRowFirstColumn="0" w:lastRowLastColumn="0"/>
            </w:pPr>
            <w:r w:rsidRPr="00F2508A">
              <w:t>2018</w:t>
            </w:r>
          </w:p>
        </w:tc>
        <w:tc>
          <w:tcPr>
            <w:tcW w:w="2948" w:type="dxa"/>
          </w:tcPr>
          <w:p w:rsidR="00F2508A" w:rsidRPr="00F2508A" w:rsidRDefault="00F2508A" w:rsidP="00F2508A">
            <w:pPr>
              <w:spacing w:after="160" w:line="259" w:lineRule="auto"/>
              <w:ind w:left="720" w:hanging="720"/>
              <w:cnfStyle w:val="100000000000" w:firstRow="1" w:lastRow="0" w:firstColumn="0" w:lastColumn="0" w:oddVBand="0" w:evenVBand="0" w:oddHBand="0" w:evenHBand="0" w:firstRowFirstColumn="0" w:firstRowLastColumn="0" w:lastRowFirstColumn="0" w:lastRowLastColumn="0"/>
            </w:pPr>
            <w:r w:rsidRPr="00F2508A">
              <w:t>2019</w:t>
            </w:r>
          </w:p>
        </w:tc>
      </w:tr>
      <w:tr w:rsidR="00F2508A" w:rsidRPr="00F2508A" w:rsidTr="00903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pPr>
              <w:spacing w:after="160" w:line="259" w:lineRule="auto"/>
              <w:ind w:left="720" w:hanging="720"/>
            </w:pPr>
            <w:r w:rsidRPr="00F2508A">
              <w:t>Disabled staff</w:t>
            </w:r>
          </w:p>
        </w:tc>
        <w:tc>
          <w:tcPr>
            <w:tcW w:w="2948"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39.8%</w:t>
            </w:r>
          </w:p>
        </w:tc>
        <w:tc>
          <w:tcPr>
            <w:tcW w:w="2948"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39.7%</w:t>
            </w:r>
          </w:p>
        </w:tc>
      </w:tr>
      <w:tr w:rsidR="00F2508A" w:rsidRPr="00F2508A" w:rsidTr="00903F5A">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pPr>
              <w:spacing w:after="160" w:line="259" w:lineRule="auto"/>
            </w:pPr>
            <w:r w:rsidRPr="00F2508A">
              <w:t>Non-disabled staff</w:t>
            </w:r>
          </w:p>
        </w:tc>
        <w:tc>
          <w:tcPr>
            <w:tcW w:w="2948"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37.3%</w:t>
            </w:r>
          </w:p>
        </w:tc>
        <w:tc>
          <w:tcPr>
            <w:tcW w:w="2948"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32.3%</w:t>
            </w:r>
          </w:p>
        </w:tc>
      </w:tr>
      <w:tr w:rsidR="00F2508A" w:rsidRPr="00F2508A" w:rsidTr="00903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pPr>
              <w:spacing w:after="160" w:line="259" w:lineRule="auto"/>
              <w:ind w:left="720" w:hanging="720"/>
            </w:pPr>
            <w:r w:rsidRPr="00F2508A">
              <w:t>Disabled staff Average</w:t>
            </w:r>
          </w:p>
        </w:tc>
        <w:tc>
          <w:tcPr>
            <w:tcW w:w="2948"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36.6%</w:t>
            </w:r>
          </w:p>
        </w:tc>
        <w:tc>
          <w:tcPr>
            <w:tcW w:w="2948"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37.1%</w:t>
            </w:r>
          </w:p>
        </w:tc>
      </w:tr>
      <w:tr w:rsidR="00F2508A" w:rsidRPr="00F2508A" w:rsidTr="00903F5A">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pPr>
              <w:spacing w:after="160" w:line="259" w:lineRule="auto"/>
            </w:pPr>
            <w:r w:rsidRPr="00F2508A">
              <w:t>Non-disabled staff Average</w:t>
            </w:r>
          </w:p>
        </w:tc>
        <w:tc>
          <w:tcPr>
            <w:tcW w:w="2948"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29.8%</w:t>
            </w:r>
          </w:p>
        </w:tc>
        <w:tc>
          <w:tcPr>
            <w:tcW w:w="2948"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30.7%</w:t>
            </w:r>
          </w:p>
        </w:tc>
      </w:tr>
    </w:tbl>
    <w:p w:rsidR="001F4F3D" w:rsidRDefault="001F4F3D" w:rsidP="00F2508A"/>
    <w:p w:rsidR="00F2508A" w:rsidRPr="00F2508A" w:rsidRDefault="00F2508A" w:rsidP="00F2508A">
      <w:r w:rsidRPr="00F2508A">
        <w:t xml:space="preserve">ii) </w:t>
      </w:r>
      <w:r w:rsidRPr="00F2508A">
        <w:tab/>
        <w:t>Managers</w:t>
      </w:r>
    </w:p>
    <w:tbl>
      <w:tblPr>
        <w:tblStyle w:val="GridTable4-Accent1"/>
        <w:tblW w:w="9184" w:type="dxa"/>
        <w:tblLook w:val="04A0" w:firstRow="1" w:lastRow="0" w:firstColumn="1" w:lastColumn="0" w:noHBand="0" w:noVBand="1"/>
      </w:tblPr>
      <w:tblGrid>
        <w:gridCol w:w="3288"/>
        <w:gridCol w:w="2948"/>
        <w:gridCol w:w="2948"/>
      </w:tblGrid>
      <w:tr w:rsidR="00F2508A" w:rsidRPr="00F2508A" w:rsidTr="0090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pPr>
              <w:spacing w:after="160" w:line="259" w:lineRule="auto"/>
              <w:ind w:left="720" w:hanging="720"/>
            </w:pPr>
          </w:p>
        </w:tc>
        <w:tc>
          <w:tcPr>
            <w:tcW w:w="2948" w:type="dxa"/>
          </w:tcPr>
          <w:p w:rsidR="00F2508A" w:rsidRPr="00F2508A" w:rsidRDefault="00F2508A" w:rsidP="00F2508A">
            <w:pPr>
              <w:spacing w:after="160" w:line="259" w:lineRule="auto"/>
              <w:ind w:left="720" w:hanging="720"/>
              <w:cnfStyle w:val="100000000000" w:firstRow="1" w:lastRow="0" w:firstColumn="0" w:lastColumn="0" w:oddVBand="0" w:evenVBand="0" w:oddHBand="0" w:evenHBand="0" w:firstRowFirstColumn="0" w:firstRowLastColumn="0" w:lastRowFirstColumn="0" w:lastRowLastColumn="0"/>
            </w:pPr>
            <w:r w:rsidRPr="00F2508A">
              <w:t>2018</w:t>
            </w:r>
          </w:p>
        </w:tc>
        <w:tc>
          <w:tcPr>
            <w:tcW w:w="2948" w:type="dxa"/>
          </w:tcPr>
          <w:p w:rsidR="00F2508A" w:rsidRPr="00F2508A" w:rsidRDefault="00F2508A" w:rsidP="00F2508A">
            <w:pPr>
              <w:spacing w:after="160" w:line="259" w:lineRule="auto"/>
              <w:ind w:left="720" w:hanging="720"/>
              <w:cnfStyle w:val="100000000000" w:firstRow="1" w:lastRow="0" w:firstColumn="0" w:lastColumn="0" w:oddVBand="0" w:evenVBand="0" w:oddHBand="0" w:evenHBand="0" w:firstRowFirstColumn="0" w:firstRowLastColumn="0" w:lastRowFirstColumn="0" w:lastRowLastColumn="0"/>
            </w:pPr>
            <w:r w:rsidRPr="00F2508A">
              <w:t>2019</w:t>
            </w:r>
          </w:p>
        </w:tc>
      </w:tr>
      <w:tr w:rsidR="00F2508A" w:rsidRPr="00F2508A" w:rsidTr="00903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pPr>
              <w:spacing w:after="160" w:line="259" w:lineRule="auto"/>
              <w:ind w:left="720" w:hanging="720"/>
            </w:pPr>
            <w:r w:rsidRPr="00F2508A">
              <w:t>Disabled staff</w:t>
            </w:r>
          </w:p>
        </w:tc>
        <w:tc>
          <w:tcPr>
            <w:tcW w:w="2948"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9.6%</w:t>
            </w:r>
          </w:p>
        </w:tc>
        <w:tc>
          <w:tcPr>
            <w:tcW w:w="2948"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11.8%</w:t>
            </w:r>
          </w:p>
        </w:tc>
      </w:tr>
      <w:tr w:rsidR="00F2508A" w:rsidRPr="00F2508A" w:rsidTr="00903F5A">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pPr>
              <w:spacing w:after="160" w:line="259" w:lineRule="auto"/>
            </w:pPr>
            <w:r w:rsidRPr="00F2508A">
              <w:t>Non-disabled staff</w:t>
            </w:r>
          </w:p>
        </w:tc>
        <w:tc>
          <w:tcPr>
            <w:tcW w:w="2948"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5.6%</w:t>
            </w:r>
          </w:p>
        </w:tc>
        <w:tc>
          <w:tcPr>
            <w:tcW w:w="2948"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5.5%</w:t>
            </w:r>
          </w:p>
        </w:tc>
      </w:tr>
      <w:tr w:rsidR="00F2508A" w:rsidRPr="00F2508A" w:rsidTr="00903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pPr>
              <w:spacing w:after="160" w:line="259" w:lineRule="auto"/>
              <w:ind w:left="720" w:hanging="720"/>
            </w:pPr>
            <w:r w:rsidRPr="00F2508A">
              <w:t>Disabled staff Average</w:t>
            </w:r>
          </w:p>
        </w:tc>
        <w:tc>
          <w:tcPr>
            <w:tcW w:w="2948"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18.0%</w:t>
            </w:r>
          </w:p>
        </w:tc>
        <w:tc>
          <w:tcPr>
            <w:tcW w:w="2948"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16.6%</w:t>
            </w:r>
          </w:p>
        </w:tc>
      </w:tr>
      <w:tr w:rsidR="00F2508A" w:rsidRPr="00F2508A" w:rsidTr="00903F5A">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pPr>
              <w:spacing w:after="160" w:line="259" w:lineRule="auto"/>
            </w:pPr>
            <w:r w:rsidRPr="00F2508A">
              <w:t>Non-disabled staff Average</w:t>
            </w:r>
          </w:p>
        </w:tc>
        <w:tc>
          <w:tcPr>
            <w:tcW w:w="2948"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10.8%</w:t>
            </w:r>
          </w:p>
        </w:tc>
        <w:tc>
          <w:tcPr>
            <w:tcW w:w="2948"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9.9%</w:t>
            </w:r>
          </w:p>
        </w:tc>
      </w:tr>
    </w:tbl>
    <w:p w:rsidR="00F2508A" w:rsidRPr="00F2508A" w:rsidRDefault="00F2508A" w:rsidP="00F2508A">
      <w:pPr>
        <w:ind w:left="720" w:hanging="720"/>
      </w:pPr>
    </w:p>
    <w:p w:rsidR="00F2508A" w:rsidRPr="00F2508A" w:rsidRDefault="00F2508A" w:rsidP="00F2508A">
      <w:pPr>
        <w:ind w:left="720" w:hanging="720"/>
      </w:pPr>
      <w:r w:rsidRPr="00F2508A">
        <w:t xml:space="preserve">iii) </w:t>
      </w:r>
      <w:r w:rsidRPr="00F2508A">
        <w:tab/>
        <w:t>Other colleagues</w:t>
      </w:r>
    </w:p>
    <w:tbl>
      <w:tblPr>
        <w:tblStyle w:val="GridTable4-Accent1"/>
        <w:tblW w:w="9184" w:type="dxa"/>
        <w:tblLook w:val="04A0" w:firstRow="1" w:lastRow="0" w:firstColumn="1" w:lastColumn="0" w:noHBand="0" w:noVBand="1"/>
      </w:tblPr>
      <w:tblGrid>
        <w:gridCol w:w="3288"/>
        <w:gridCol w:w="2948"/>
        <w:gridCol w:w="2948"/>
      </w:tblGrid>
      <w:tr w:rsidR="00F2508A" w:rsidRPr="00F2508A" w:rsidTr="0090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pPr>
              <w:spacing w:after="160" w:line="259" w:lineRule="auto"/>
              <w:ind w:left="720" w:hanging="720"/>
            </w:pPr>
          </w:p>
        </w:tc>
        <w:tc>
          <w:tcPr>
            <w:tcW w:w="2948" w:type="dxa"/>
          </w:tcPr>
          <w:p w:rsidR="00F2508A" w:rsidRPr="00F2508A" w:rsidRDefault="00F2508A" w:rsidP="00F2508A">
            <w:pPr>
              <w:spacing w:after="160" w:line="259" w:lineRule="auto"/>
              <w:ind w:left="720" w:hanging="720"/>
              <w:cnfStyle w:val="100000000000" w:firstRow="1" w:lastRow="0" w:firstColumn="0" w:lastColumn="0" w:oddVBand="0" w:evenVBand="0" w:oddHBand="0" w:evenHBand="0" w:firstRowFirstColumn="0" w:firstRowLastColumn="0" w:lastRowFirstColumn="0" w:lastRowLastColumn="0"/>
            </w:pPr>
            <w:r w:rsidRPr="00F2508A">
              <w:t>2018</w:t>
            </w:r>
          </w:p>
        </w:tc>
        <w:tc>
          <w:tcPr>
            <w:tcW w:w="2948" w:type="dxa"/>
          </w:tcPr>
          <w:p w:rsidR="00F2508A" w:rsidRPr="00F2508A" w:rsidRDefault="00F2508A" w:rsidP="00F2508A">
            <w:pPr>
              <w:spacing w:after="160" w:line="259" w:lineRule="auto"/>
              <w:ind w:left="720" w:hanging="720"/>
              <w:cnfStyle w:val="100000000000" w:firstRow="1" w:lastRow="0" w:firstColumn="0" w:lastColumn="0" w:oddVBand="0" w:evenVBand="0" w:oddHBand="0" w:evenHBand="0" w:firstRowFirstColumn="0" w:firstRowLastColumn="0" w:lastRowFirstColumn="0" w:lastRowLastColumn="0"/>
            </w:pPr>
            <w:r w:rsidRPr="00F2508A">
              <w:t>2019</w:t>
            </w:r>
          </w:p>
        </w:tc>
      </w:tr>
      <w:tr w:rsidR="00F2508A" w:rsidRPr="00F2508A" w:rsidTr="00903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pPr>
              <w:spacing w:after="160" w:line="259" w:lineRule="auto"/>
              <w:ind w:left="720" w:hanging="720"/>
            </w:pPr>
            <w:r w:rsidRPr="00F2508A">
              <w:t>Disabled staff</w:t>
            </w:r>
          </w:p>
        </w:tc>
        <w:tc>
          <w:tcPr>
            <w:tcW w:w="2948"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16.6%</w:t>
            </w:r>
          </w:p>
        </w:tc>
        <w:tc>
          <w:tcPr>
            <w:tcW w:w="2948"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18.2%</w:t>
            </w:r>
          </w:p>
        </w:tc>
      </w:tr>
      <w:tr w:rsidR="00F2508A" w:rsidRPr="00F2508A" w:rsidTr="00903F5A">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pPr>
              <w:spacing w:after="160" w:line="259" w:lineRule="auto"/>
            </w:pPr>
            <w:r w:rsidRPr="00F2508A">
              <w:t>Non-disabled staff</w:t>
            </w:r>
          </w:p>
        </w:tc>
        <w:tc>
          <w:tcPr>
            <w:tcW w:w="2948"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10.6%</w:t>
            </w:r>
          </w:p>
        </w:tc>
        <w:tc>
          <w:tcPr>
            <w:tcW w:w="2948"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9.7%</w:t>
            </w:r>
          </w:p>
        </w:tc>
      </w:tr>
      <w:tr w:rsidR="00F2508A" w:rsidRPr="00F2508A" w:rsidTr="00903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pPr>
              <w:spacing w:after="160" w:line="259" w:lineRule="auto"/>
              <w:ind w:left="720" w:hanging="720"/>
            </w:pPr>
            <w:r w:rsidRPr="00F2508A">
              <w:t>Disabled staff Average</w:t>
            </w:r>
          </w:p>
        </w:tc>
        <w:tc>
          <w:tcPr>
            <w:tcW w:w="2948"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23.1%</w:t>
            </w:r>
          </w:p>
        </w:tc>
        <w:tc>
          <w:tcPr>
            <w:tcW w:w="2948"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23.0%</w:t>
            </w:r>
          </w:p>
        </w:tc>
      </w:tr>
      <w:tr w:rsidR="00F2508A" w:rsidRPr="00F2508A" w:rsidTr="00903F5A">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pPr>
              <w:spacing w:after="160" w:line="259" w:lineRule="auto"/>
            </w:pPr>
            <w:r w:rsidRPr="00F2508A">
              <w:t>Non-disabled staff Average</w:t>
            </w:r>
          </w:p>
        </w:tc>
        <w:tc>
          <w:tcPr>
            <w:tcW w:w="2948"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14.0%</w:t>
            </w:r>
          </w:p>
        </w:tc>
        <w:tc>
          <w:tcPr>
            <w:tcW w:w="2948"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13.6%</w:t>
            </w:r>
          </w:p>
        </w:tc>
      </w:tr>
    </w:tbl>
    <w:p w:rsidR="001F4F3D" w:rsidRDefault="001F4F3D" w:rsidP="00F2508A">
      <w:pPr>
        <w:ind w:left="720" w:hanging="720"/>
      </w:pPr>
    </w:p>
    <w:p w:rsidR="00F2508A" w:rsidRDefault="00F2508A" w:rsidP="00F2508A">
      <w:pPr>
        <w:ind w:left="720" w:hanging="720"/>
      </w:pPr>
      <w:r w:rsidRPr="00F2508A">
        <w:t>b)</w:t>
      </w:r>
      <w:r w:rsidRPr="00F2508A">
        <w:tab/>
        <w:t>Percentage of Disabled staff compared to non-disabled staff saying that the last time they experienced harassment bullying or abuse at work they or a colleague reported it.</w:t>
      </w:r>
    </w:p>
    <w:p w:rsidR="001F4F3D" w:rsidRPr="00F2508A" w:rsidRDefault="001F4F3D" w:rsidP="00F2508A">
      <w:pPr>
        <w:ind w:left="720" w:hanging="720"/>
      </w:pPr>
    </w:p>
    <w:tbl>
      <w:tblPr>
        <w:tblStyle w:val="GridTable4-Accent1"/>
        <w:tblW w:w="9184" w:type="dxa"/>
        <w:tblLook w:val="04A0" w:firstRow="1" w:lastRow="0" w:firstColumn="1" w:lastColumn="0" w:noHBand="0" w:noVBand="1"/>
      </w:tblPr>
      <w:tblGrid>
        <w:gridCol w:w="3288"/>
        <w:gridCol w:w="2948"/>
        <w:gridCol w:w="2948"/>
      </w:tblGrid>
      <w:tr w:rsidR="00F2508A" w:rsidRPr="00F2508A" w:rsidTr="0090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pPr>
              <w:spacing w:after="160" w:line="259" w:lineRule="auto"/>
              <w:ind w:left="720" w:hanging="720"/>
            </w:pPr>
          </w:p>
        </w:tc>
        <w:tc>
          <w:tcPr>
            <w:tcW w:w="2948" w:type="dxa"/>
          </w:tcPr>
          <w:p w:rsidR="00F2508A" w:rsidRPr="00F2508A" w:rsidRDefault="00F2508A" w:rsidP="00F2508A">
            <w:pPr>
              <w:spacing w:after="160" w:line="259" w:lineRule="auto"/>
              <w:ind w:left="720" w:hanging="720"/>
              <w:cnfStyle w:val="100000000000" w:firstRow="1" w:lastRow="0" w:firstColumn="0" w:lastColumn="0" w:oddVBand="0" w:evenVBand="0" w:oddHBand="0" w:evenHBand="0" w:firstRowFirstColumn="0" w:firstRowLastColumn="0" w:lastRowFirstColumn="0" w:lastRowLastColumn="0"/>
            </w:pPr>
            <w:r w:rsidRPr="00F2508A">
              <w:t>2018</w:t>
            </w:r>
          </w:p>
        </w:tc>
        <w:tc>
          <w:tcPr>
            <w:tcW w:w="2948" w:type="dxa"/>
          </w:tcPr>
          <w:p w:rsidR="00F2508A" w:rsidRPr="00F2508A" w:rsidRDefault="00F2508A" w:rsidP="00F2508A">
            <w:pPr>
              <w:spacing w:after="160" w:line="259" w:lineRule="auto"/>
              <w:ind w:left="720" w:hanging="720"/>
              <w:cnfStyle w:val="100000000000" w:firstRow="1" w:lastRow="0" w:firstColumn="0" w:lastColumn="0" w:oddVBand="0" w:evenVBand="0" w:oddHBand="0" w:evenHBand="0" w:firstRowFirstColumn="0" w:firstRowLastColumn="0" w:lastRowFirstColumn="0" w:lastRowLastColumn="0"/>
            </w:pPr>
            <w:r w:rsidRPr="00F2508A">
              <w:t>2019</w:t>
            </w:r>
          </w:p>
        </w:tc>
      </w:tr>
      <w:tr w:rsidR="00F2508A" w:rsidRPr="00F2508A" w:rsidTr="00903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pPr>
              <w:spacing w:after="160" w:line="259" w:lineRule="auto"/>
              <w:ind w:left="720" w:hanging="720"/>
            </w:pPr>
            <w:r w:rsidRPr="00F2508A">
              <w:t>Disabled staff</w:t>
            </w:r>
          </w:p>
        </w:tc>
        <w:tc>
          <w:tcPr>
            <w:tcW w:w="2948"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70.5%</w:t>
            </w:r>
          </w:p>
        </w:tc>
        <w:tc>
          <w:tcPr>
            <w:tcW w:w="2948"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65.3%</w:t>
            </w:r>
          </w:p>
        </w:tc>
      </w:tr>
      <w:tr w:rsidR="00F2508A" w:rsidRPr="00F2508A" w:rsidTr="00903F5A">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pPr>
              <w:spacing w:after="160" w:line="259" w:lineRule="auto"/>
            </w:pPr>
            <w:r w:rsidRPr="00F2508A">
              <w:t>Non-disabled staff</w:t>
            </w:r>
          </w:p>
        </w:tc>
        <w:tc>
          <w:tcPr>
            <w:tcW w:w="2948"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74.3%</w:t>
            </w:r>
          </w:p>
        </w:tc>
        <w:tc>
          <w:tcPr>
            <w:tcW w:w="2948"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74.4%</w:t>
            </w:r>
          </w:p>
        </w:tc>
      </w:tr>
      <w:tr w:rsidR="00F2508A" w:rsidRPr="00F2508A" w:rsidTr="00903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pPr>
              <w:spacing w:after="160" w:line="259" w:lineRule="auto"/>
              <w:ind w:left="720" w:hanging="720"/>
            </w:pPr>
            <w:r w:rsidRPr="00F2508A">
              <w:t>Disabled staff Average</w:t>
            </w:r>
          </w:p>
        </w:tc>
        <w:tc>
          <w:tcPr>
            <w:tcW w:w="2948"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56.1%</w:t>
            </w:r>
          </w:p>
        </w:tc>
        <w:tc>
          <w:tcPr>
            <w:tcW w:w="2948"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58.2%</w:t>
            </w:r>
          </w:p>
        </w:tc>
      </w:tr>
      <w:tr w:rsidR="00F2508A" w:rsidRPr="00F2508A" w:rsidTr="00903F5A">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pPr>
              <w:spacing w:after="160" w:line="259" w:lineRule="auto"/>
            </w:pPr>
            <w:r w:rsidRPr="00F2508A">
              <w:t>Non-disabled staff Average</w:t>
            </w:r>
          </w:p>
        </w:tc>
        <w:tc>
          <w:tcPr>
            <w:tcW w:w="2948"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58.2%</w:t>
            </w:r>
          </w:p>
        </w:tc>
        <w:tc>
          <w:tcPr>
            <w:tcW w:w="2948"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59.9%</w:t>
            </w:r>
          </w:p>
        </w:tc>
      </w:tr>
    </w:tbl>
    <w:p w:rsidR="00F2508A" w:rsidRPr="00F2508A" w:rsidRDefault="00F2508A" w:rsidP="00F2508A">
      <w:pPr>
        <w:ind w:left="720" w:hanging="720"/>
      </w:pPr>
    </w:p>
    <w:p w:rsidR="00F2508A" w:rsidRPr="00F2508A" w:rsidRDefault="00F2508A" w:rsidP="00F2508A">
      <w:pPr>
        <w:ind w:left="720" w:hanging="720"/>
      </w:pPr>
      <w:r w:rsidRPr="00F2508A">
        <w:t xml:space="preserve">(5) </w:t>
      </w:r>
      <w:r w:rsidRPr="00F2508A">
        <w:tab/>
        <w:t>Percentage of Disabled staff compared to non-disabled staff believing that the Trust provides equal opportunities for career progression or promotion.</w:t>
      </w:r>
    </w:p>
    <w:tbl>
      <w:tblPr>
        <w:tblStyle w:val="GridTable4-Accent1"/>
        <w:tblW w:w="9184" w:type="dxa"/>
        <w:tblLook w:val="04A0" w:firstRow="1" w:lastRow="0" w:firstColumn="1" w:lastColumn="0" w:noHBand="0" w:noVBand="1"/>
      </w:tblPr>
      <w:tblGrid>
        <w:gridCol w:w="3539"/>
        <w:gridCol w:w="2697"/>
        <w:gridCol w:w="2948"/>
      </w:tblGrid>
      <w:tr w:rsidR="00F2508A" w:rsidRPr="00F2508A" w:rsidTr="001F4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F2508A" w:rsidRPr="00F2508A" w:rsidRDefault="00F2508A" w:rsidP="00F2508A">
            <w:pPr>
              <w:spacing w:after="160" w:line="259" w:lineRule="auto"/>
              <w:ind w:left="720" w:hanging="720"/>
            </w:pPr>
          </w:p>
        </w:tc>
        <w:tc>
          <w:tcPr>
            <w:tcW w:w="2697" w:type="dxa"/>
          </w:tcPr>
          <w:p w:rsidR="00F2508A" w:rsidRPr="00F2508A" w:rsidRDefault="00F2508A" w:rsidP="00F2508A">
            <w:pPr>
              <w:spacing w:after="160" w:line="259" w:lineRule="auto"/>
              <w:ind w:left="720" w:hanging="720"/>
              <w:cnfStyle w:val="100000000000" w:firstRow="1" w:lastRow="0" w:firstColumn="0" w:lastColumn="0" w:oddVBand="0" w:evenVBand="0" w:oddHBand="0" w:evenHBand="0" w:firstRowFirstColumn="0" w:firstRowLastColumn="0" w:lastRowFirstColumn="0" w:lastRowLastColumn="0"/>
            </w:pPr>
            <w:r w:rsidRPr="00F2508A">
              <w:t>2018</w:t>
            </w:r>
          </w:p>
        </w:tc>
        <w:tc>
          <w:tcPr>
            <w:tcW w:w="2948" w:type="dxa"/>
          </w:tcPr>
          <w:p w:rsidR="00F2508A" w:rsidRPr="00F2508A" w:rsidRDefault="00F2508A" w:rsidP="00F2508A">
            <w:pPr>
              <w:spacing w:after="160" w:line="259" w:lineRule="auto"/>
              <w:ind w:left="720" w:hanging="720"/>
              <w:cnfStyle w:val="100000000000" w:firstRow="1" w:lastRow="0" w:firstColumn="0" w:lastColumn="0" w:oddVBand="0" w:evenVBand="0" w:oddHBand="0" w:evenHBand="0" w:firstRowFirstColumn="0" w:firstRowLastColumn="0" w:lastRowFirstColumn="0" w:lastRowLastColumn="0"/>
            </w:pPr>
            <w:r w:rsidRPr="00F2508A">
              <w:t>2019</w:t>
            </w:r>
          </w:p>
        </w:tc>
      </w:tr>
      <w:tr w:rsidR="00F2508A" w:rsidRPr="00F2508A" w:rsidTr="001F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F2508A" w:rsidRPr="00F2508A" w:rsidRDefault="00F2508A" w:rsidP="00F2508A">
            <w:pPr>
              <w:spacing w:after="160" w:line="259" w:lineRule="auto"/>
              <w:ind w:left="720" w:hanging="720"/>
            </w:pPr>
            <w:r w:rsidRPr="00F2508A">
              <w:t>Disabled staff</w:t>
            </w:r>
          </w:p>
        </w:tc>
        <w:tc>
          <w:tcPr>
            <w:tcW w:w="2697"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89.1%</w:t>
            </w:r>
          </w:p>
        </w:tc>
        <w:tc>
          <w:tcPr>
            <w:tcW w:w="2948"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85.9%</w:t>
            </w:r>
          </w:p>
        </w:tc>
      </w:tr>
      <w:tr w:rsidR="00F2508A" w:rsidRPr="00F2508A" w:rsidTr="001F4F3D">
        <w:tc>
          <w:tcPr>
            <w:cnfStyle w:val="001000000000" w:firstRow="0" w:lastRow="0" w:firstColumn="1" w:lastColumn="0" w:oddVBand="0" w:evenVBand="0" w:oddHBand="0" w:evenHBand="0" w:firstRowFirstColumn="0" w:firstRowLastColumn="0" w:lastRowFirstColumn="0" w:lastRowLastColumn="0"/>
            <w:tcW w:w="3539" w:type="dxa"/>
          </w:tcPr>
          <w:p w:rsidR="00F2508A" w:rsidRPr="00F2508A" w:rsidRDefault="00F2508A" w:rsidP="00F2508A">
            <w:pPr>
              <w:spacing w:after="160" w:line="259" w:lineRule="auto"/>
            </w:pPr>
            <w:r w:rsidRPr="00F2508A">
              <w:t>Non-disabled staff</w:t>
            </w:r>
          </w:p>
        </w:tc>
        <w:tc>
          <w:tcPr>
            <w:tcW w:w="2697"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93.1%</w:t>
            </w:r>
          </w:p>
        </w:tc>
        <w:tc>
          <w:tcPr>
            <w:tcW w:w="2948"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91.6%</w:t>
            </w:r>
          </w:p>
        </w:tc>
      </w:tr>
      <w:tr w:rsidR="00F2508A" w:rsidRPr="00F2508A" w:rsidTr="001F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F2508A" w:rsidRPr="00F2508A" w:rsidRDefault="00F2508A" w:rsidP="00F2508A">
            <w:pPr>
              <w:spacing w:after="160" w:line="259" w:lineRule="auto"/>
              <w:ind w:left="720" w:hanging="720"/>
            </w:pPr>
            <w:r w:rsidRPr="00F2508A">
              <w:t>Disabled staff Average</w:t>
            </w:r>
          </w:p>
        </w:tc>
        <w:tc>
          <w:tcPr>
            <w:tcW w:w="2697"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75.9%</w:t>
            </w:r>
          </w:p>
        </w:tc>
        <w:tc>
          <w:tcPr>
            <w:tcW w:w="2948"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79.3%</w:t>
            </w:r>
          </w:p>
        </w:tc>
      </w:tr>
      <w:tr w:rsidR="00F2508A" w:rsidRPr="00F2508A" w:rsidTr="001F4F3D">
        <w:tc>
          <w:tcPr>
            <w:cnfStyle w:val="001000000000" w:firstRow="0" w:lastRow="0" w:firstColumn="1" w:lastColumn="0" w:oddVBand="0" w:evenVBand="0" w:oddHBand="0" w:evenHBand="0" w:firstRowFirstColumn="0" w:firstRowLastColumn="0" w:lastRowFirstColumn="0" w:lastRowLastColumn="0"/>
            <w:tcW w:w="3539" w:type="dxa"/>
          </w:tcPr>
          <w:p w:rsidR="00F2508A" w:rsidRPr="00F2508A" w:rsidRDefault="00F2508A" w:rsidP="00F2508A">
            <w:pPr>
              <w:spacing w:after="160" w:line="259" w:lineRule="auto"/>
            </w:pPr>
            <w:r w:rsidRPr="00F2508A">
              <w:t>Non-disabled staff Average</w:t>
            </w:r>
          </w:p>
        </w:tc>
        <w:tc>
          <w:tcPr>
            <w:tcW w:w="2697"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85.3%</w:t>
            </w:r>
          </w:p>
        </w:tc>
        <w:tc>
          <w:tcPr>
            <w:tcW w:w="2948"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86.6%</w:t>
            </w:r>
          </w:p>
        </w:tc>
      </w:tr>
    </w:tbl>
    <w:p w:rsidR="00F2508A" w:rsidRPr="00F2508A" w:rsidRDefault="00F2508A" w:rsidP="00F2508A">
      <w:pPr>
        <w:ind w:left="720" w:hanging="720"/>
      </w:pPr>
    </w:p>
    <w:p w:rsidR="00F2508A" w:rsidRPr="00F2508A" w:rsidRDefault="00F2508A" w:rsidP="00F2508A">
      <w:pPr>
        <w:ind w:left="720" w:hanging="720"/>
      </w:pPr>
      <w:r w:rsidRPr="00F2508A">
        <w:t xml:space="preserve">(6) </w:t>
      </w:r>
      <w:r w:rsidRPr="00F2508A">
        <w:tab/>
        <w:t>Percentage of Disabled staff compared to non-disabled staff saying that they have felt pressure from their manager to come to work, despite not feeling well enough to perform their duties.</w:t>
      </w:r>
    </w:p>
    <w:tbl>
      <w:tblPr>
        <w:tblStyle w:val="GridTable4-Accent1"/>
        <w:tblW w:w="9184" w:type="dxa"/>
        <w:tblLook w:val="04A0" w:firstRow="1" w:lastRow="0" w:firstColumn="1" w:lastColumn="0" w:noHBand="0" w:noVBand="1"/>
      </w:tblPr>
      <w:tblGrid>
        <w:gridCol w:w="3397"/>
        <w:gridCol w:w="2839"/>
        <w:gridCol w:w="2948"/>
      </w:tblGrid>
      <w:tr w:rsidR="00F2508A" w:rsidRPr="00F2508A" w:rsidTr="001F4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F2508A" w:rsidRPr="00F2508A" w:rsidRDefault="00F2508A" w:rsidP="00F2508A">
            <w:pPr>
              <w:spacing w:after="160" w:line="259" w:lineRule="auto"/>
              <w:ind w:left="720" w:hanging="720"/>
            </w:pPr>
          </w:p>
        </w:tc>
        <w:tc>
          <w:tcPr>
            <w:tcW w:w="2839" w:type="dxa"/>
          </w:tcPr>
          <w:p w:rsidR="00F2508A" w:rsidRPr="00F2508A" w:rsidRDefault="00F2508A" w:rsidP="00F2508A">
            <w:pPr>
              <w:spacing w:after="160" w:line="259" w:lineRule="auto"/>
              <w:ind w:left="720" w:hanging="720"/>
              <w:cnfStyle w:val="100000000000" w:firstRow="1" w:lastRow="0" w:firstColumn="0" w:lastColumn="0" w:oddVBand="0" w:evenVBand="0" w:oddHBand="0" w:evenHBand="0" w:firstRowFirstColumn="0" w:firstRowLastColumn="0" w:lastRowFirstColumn="0" w:lastRowLastColumn="0"/>
            </w:pPr>
            <w:r w:rsidRPr="00F2508A">
              <w:t>2018</w:t>
            </w:r>
          </w:p>
        </w:tc>
        <w:tc>
          <w:tcPr>
            <w:tcW w:w="2948" w:type="dxa"/>
          </w:tcPr>
          <w:p w:rsidR="00F2508A" w:rsidRPr="00F2508A" w:rsidRDefault="00F2508A" w:rsidP="00F2508A">
            <w:pPr>
              <w:spacing w:after="160" w:line="259" w:lineRule="auto"/>
              <w:ind w:left="720" w:hanging="720"/>
              <w:cnfStyle w:val="100000000000" w:firstRow="1" w:lastRow="0" w:firstColumn="0" w:lastColumn="0" w:oddVBand="0" w:evenVBand="0" w:oddHBand="0" w:evenHBand="0" w:firstRowFirstColumn="0" w:firstRowLastColumn="0" w:lastRowFirstColumn="0" w:lastRowLastColumn="0"/>
            </w:pPr>
            <w:r w:rsidRPr="00F2508A">
              <w:t>2019</w:t>
            </w:r>
          </w:p>
        </w:tc>
      </w:tr>
      <w:tr w:rsidR="00F2508A" w:rsidRPr="00F2508A" w:rsidTr="001F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F2508A" w:rsidRPr="00F2508A" w:rsidRDefault="00F2508A" w:rsidP="00F2508A">
            <w:pPr>
              <w:spacing w:after="160" w:line="259" w:lineRule="auto"/>
              <w:ind w:left="720" w:hanging="720"/>
            </w:pPr>
            <w:r w:rsidRPr="00F2508A">
              <w:t>Disabled staff</w:t>
            </w:r>
          </w:p>
        </w:tc>
        <w:tc>
          <w:tcPr>
            <w:tcW w:w="2839"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21.8%</w:t>
            </w:r>
          </w:p>
        </w:tc>
        <w:tc>
          <w:tcPr>
            <w:tcW w:w="2948"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23.0%</w:t>
            </w:r>
          </w:p>
        </w:tc>
      </w:tr>
      <w:tr w:rsidR="00F2508A" w:rsidRPr="00F2508A" w:rsidTr="001F4F3D">
        <w:tc>
          <w:tcPr>
            <w:cnfStyle w:val="001000000000" w:firstRow="0" w:lastRow="0" w:firstColumn="1" w:lastColumn="0" w:oddVBand="0" w:evenVBand="0" w:oddHBand="0" w:evenHBand="0" w:firstRowFirstColumn="0" w:firstRowLastColumn="0" w:lastRowFirstColumn="0" w:lastRowLastColumn="0"/>
            <w:tcW w:w="3397" w:type="dxa"/>
          </w:tcPr>
          <w:p w:rsidR="00F2508A" w:rsidRPr="00F2508A" w:rsidRDefault="00F2508A" w:rsidP="00F2508A">
            <w:pPr>
              <w:spacing w:after="160" w:line="259" w:lineRule="auto"/>
            </w:pPr>
            <w:r w:rsidRPr="00F2508A">
              <w:t>Non-disabled staff</w:t>
            </w:r>
          </w:p>
        </w:tc>
        <w:tc>
          <w:tcPr>
            <w:tcW w:w="2839"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12.7%</w:t>
            </w:r>
          </w:p>
        </w:tc>
        <w:tc>
          <w:tcPr>
            <w:tcW w:w="2948"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12.5%</w:t>
            </w:r>
          </w:p>
        </w:tc>
      </w:tr>
      <w:tr w:rsidR="00F2508A" w:rsidRPr="00F2508A" w:rsidTr="001F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F2508A" w:rsidRPr="00F2508A" w:rsidRDefault="00F2508A" w:rsidP="00F2508A">
            <w:pPr>
              <w:spacing w:after="160" w:line="259" w:lineRule="auto"/>
              <w:ind w:left="720" w:hanging="720"/>
            </w:pPr>
            <w:r w:rsidRPr="00F2508A">
              <w:t>Disabled staff Average</w:t>
            </w:r>
          </w:p>
        </w:tc>
        <w:tc>
          <w:tcPr>
            <w:tcW w:w="2839"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24.6%</w:t>
            </w:r>
          </w:p>
        </w:tc>
        <w:tc>
          <w:tcPr>
            <w:tcW w:w="2948"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22.3%</w:t>
            </w:r>
          </w:p>
        </w:tc>
      </w:tr>
      <w:tr w:rsidR="00F2508A" w:rsidRPr="00F2508A" w:rsidTr="001F4F3D">
        <w:tc>
          <w:tcPr>
            <w:cnfStyle w:val="001000000000" w:firstRow="0" w:lastRow="0" w:firstColumn="1" w:lastColumn="0" w:oddVBand="0" w:evenVBand="0" w:oddHBand="0" w:evenHBand="0" w:firstRowFirstColumn="0" w:firstRowLastColumn="0" w:lastRowFirstColumn="0" w:lastRowLastColumn="0"/>
            <w:tcW w:w="3397" w:type="dxa"/>
          </w:tcPr>
          <w:p w:rsidR="00F2508A" w:rsidRPr="00F2508A" w:rsidRDefault="00F2508A" w:rsidP="00F2508A">
            <w:pPr>
              <w:spacing w:after="160" w:line="259" w:lineRule="auto"/>
            </w:pPr>
            <w:r w:rsidRPr="00F2508A">
              <w:t>Non-disabled staff Average</w:t>
            </w:r>
          </w:p>
        </w:tc>
        <w:tc>
          <w:tcPr>
            <w:tcW w:w="2839"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16.4%</w:t>
            </w:r>
          </w:p>
        </w:tc>
        <w:tc>
          <w:tcPr>
            <w:tcW w:w="2948"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14.3%</w:t>
            </w:r>
          </w:p>
        </w:tc>
      </w:tr>
    </w:tbl>
    <w:p w:rsidR="00F2508A" w:rsidRPr="00F2508A" w:rsidRDefault="00F2508A" w:rsidP="00F2508A">
      <w:pPr>
        <w:ind w:left="720" w:hanging="720"/>
      </w:pPr>
    </w:p>
    <w:p w:rsidR="00F2508A" w:rsidRPr="00F2508A" w:rsidRDefault="00F2508A" w:rsidP="00F2508A">
      <w:pPr>
        <w:ind w:left="720" w:hanging="720"/>
      </w:pPr>
      <w:r w:rsidRPr="00F2508A">
        <w:t>(7)</w:t>
      </w:r>
      <w:r w:rsidRPr="00F2508A">
        <w:tab/>
        <w:t>Percentage of Disabled staff compared to non-disabled staff saying that they are satisfied with the extent to which their organisation values their work.</w:t>
      </w:r>
    </w:p>
    <w:tbl>
      <w:tblPr>
        <w:tblStyle w:val="GridTable4-Accent1"/>
        <w:tblW w:w="9184" w:type="dxa"/>
        <w:tblLook w:val="04A0" w:firstRow="1" w:lastRow="0" w:firstColumn="1" w:lastColumn="0" w:noHBand="0" w:noVBand="1"/>
      </w:tblPr>
      <w:tblGrid>
        <w:gridCol w:w="3288"/>
        <w:gridCol w:w="2948"/>
        <w:gridCol w:w="2948"/>
      </w:tblGrid>
      <w:tr w:rsidR="00F2508A" w:rsidRPr="00F2508A" w:rsidTr="0090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pPr>
              <w:spacing w:after="160" w:line="259" w:lineRule="auto"/>
              <w:ind w:left="720" w:hanging="720"/>
            </w:pPr>
          </w:p>
        </w:tc>
        <w:tc>
          <w:tcPr>
            <w:tcW w:w="2948" w:type="dxa"/>
          </w:tcPr>
          <w:p w:rsidR="00F2508A" w:rsidRPr="00F2508A" w:rsidRDefault="00F2508A" w:rsidP="00F2508A">
            <w:pPr>
              <w:spacing w:after="160" w:line="259" w:lineRule="auto"/>
              <w:ind w:left="720" w:hanging="720"/>
              <w:cnfStyle w:val="100000000000" w:firstRow="1" w:lastRow="0" w:firstColumn="0" w:lastColumn="0" w:oddVBand="0" w:evenVBand="0" w:oddHBand="0" w:evenHBand="0" w:firstRowFirstColumn="0" w:firstRowLastColumn="0" w:lastRowFirstColumn="0" w:lastRowLastColumn="0"/>
            </w:pPr>
            <w:r w:rsidRPr="00F2508A">
              <w:t>2018</w:t>
            </w:r>
          </w:p>
        </w:tc>
        <w:tc>
          <w:tcPr>
            <w:tcW w:w="2948" w:type="dxa"/>
          </w:tcPr>
          <w:p w:rsidR="00F2508A" w:rsidRPr="00F2508A" w:rsidRDefault="00F2508A" w:rsidP="00F2508A">
            <w:pPr>
              <w:spacing w:after="160" w:line="259" w:lineRule="auto"/>
              <w:ind w:left="720" w:hanging="720"/>
              <w:cnfStyle w:val="100000000000" w:firstRow="1" w:lastRow="0" w:firstColumn="0" w:lastColumn="0" w:oddVBand="0" w:evenVBand="0" w:oddHBand="0" w:evenHBand="0" w:firstRowFirstColumn="0" w:firstRowLastColumn="0" w:lastRowFirstColumn="0" w:lastRowLastColumn="0"/>
            </w:pPr>
            <w:r w:rsidRPr="00F2508A">
              <w:t>2019</w:t>
            </w:r>
          </w:p>
        </w:tc>
      </w:tr>
      <w:tr w:rsidR="00F2508A" w:rsidRPr="00F2508A" w:rsidTr="00903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pPr>
              <w:spacing w:after="160" w:line="259" w:lineRule="auto"/>
              <w:ind w:left="720" w:hanging="720"/>
            </w:pPr>
            <w:r w:rsidRPr="00F2508A">
              <w:t>Disabled staff</w:t>
            </w:r>
          </w:p>
        </w:tc>
        <w:tc>
          <w:tcPr>
            <w:tcW w:w="2948"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43.2%</w:t>
            </w:r>
          </w:p>
        </w:tc>
        <w:tc>
          <w:tcPr>
            <w:tcW w:w="2948"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43.4%</w:t>
            </w:r>
          </w:p>
        </w:tc>
      </w:tr>
      <w:tr w:rsidR="00F2508A" w:rsidRPr="00F2508A" w:rsidTr="00903F5A">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pPr>
              <w:spacing w:after="160" w:line="259" w:lineRule="auto"/>
            </w:pPr>
            <w:r w:rsidRPr="00F2508A">
              <w:t>Non-disabled staff</w:t>
            </w:r>
          </w:p>
        </w:tc>
        <w:tc>
          <w:tcPr>
            <w:tcW w:w="2948"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54.0%</w:t>
            </w:r>
          </w:p>
        </w:tc>
        <w:tc>
          <w:tcPr>
            <w:tcW w:w="2948"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55.3%</w:t>
            </w:r>
          </w:p>
        </w:tc>
      </w:tr>
      <w:tr w:rsidR="00F2508A" w:rsidRPr="00F2508A" w:rsidTr="00903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pPr>
              <w:spacing w:after="160" w:line="259" w:lineRule="auto"/>
              <w:ind w:left="720" w:hanging="720"/>
            </w:pPr>
            <w:r w:rsidRPr="00F2508A">
              <w:t>Disabled staff Average</w:t>
            </w:r>
          </w:p>
        </w:tc>
        <w:tc>
          <w:tcPr>
            <w:tcW w:w="2948"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38.5%</w:t>
            </w:r>
          </w:p>
        </w:tc>
        <w:tc>
          <w:tcPr>
            <w:tcW w:w="2948"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41.7%</w:t>
            </w:r>
          </w:p>
        </w:tc>
      </w:tr>
      <w:tr w:rsidR="00F2508A" w:rsidRPr="00F2508A" w:rsidTr="00903F5A">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pPr>
              <w:spacing w:after="160" w:line="259" w:lineRule="auto"/>
            </w:pPr>
            <w:r w:rsidRPr="00F2508A">
              <w:t>Non-disabled staff Average</w:t>
            </w:r>
          </w:p>
        </w:tc>
        <w:tc>
          <w:tcPr>
            <w:tcW w:w="2948"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52.8%</w:t>
            </w:r>
          </w:p>
        </w:tc>
        <w:tc>
          <w:tcPr>
            <w:tcW w:w="2948"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53.5%</w:t>
            </w:r>
          </w:p>
        </w:tc>
      </w:tr>
    </w:tbl>
    <w:p w:rsidR="00F2508A" w:rsidRPr="00F2508A" w:rsidRDefault="00F2508A" w:rsidP="00F2508A">
      <w:pPr>
        <w:ind w:left="720" w:hanging="720"/>
      </w:pPr>
      <w:r w:rsidRPr="00F2508A">
        <w:lastRenderedPageBreak/>
        <w:t>(8)</w:t>
      </w:r>
      <w:r w:rsidRPr="00F2508A">
        <w:tab/>
        <w:t>Percentage of Disabled staff saying that their employer has made adequate adjustment(s)</w:t>
      </w:r>
    </w:p>
    <w:tbl>
      <w:tblPr>
        <w:tblStyle w:val="GridTable4-Accent1"/>
        <w:tblW w:w="9184" w:type="dxa"/>
        <w:tblLook w:val="04A0" w:firstRow="1" w:lastRow="0" w:firstColumn="1" w:lastColumn="0" w:noHBand="0" w:noVBand="1"/>
      </w:tblPr>
      <w:tblGrid>
        <w:gridCol w:w="3288"/>
        <w:gridCol w:w="2948"/>
        <w:gridCol w:w="2948"/>
      </w:tblGrid>
      <w:tr w:rsidR="00F2508A" w:rsidRPr="00F2508A" w:rsidTr="0090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pPr>
              <w:spacing w:after="160" w:line="259" w:lineRule="auto"/>
              <w:ind w:left="720" w:hanging="720"/>
            </w:pPr>
          </w:p>
        </w:tc>
        <w:tc>
          <w:tcPr>
            <w:tcW w:w="2948" w:type="dxa"/>
          </w:tcPr>
          <w:p w:rsidR="00F2508A" w:rsidRPr="00F2508A" w:rsidRDefault="00F2508A" w:rsidP="00F2508A">
            <w:pPr>
              <w:spacing w:after="160" w:line="259" w:lineRule="auto"/>
              <w:ind w:left="720" w:hanging="720"/>
              <w:cnfStyle w:val="100000000000" w:firstRow="1" w:lastRow="0" w:firstColumn="0" w:lastColumn="0" w:oddVBand="0" w:evenVBand="0" w:oddHBand="0" w:evenHBand="0" w:firstRowFirstColumn="0" w:firstRowLastColumn="0" w:lastRowFirstColumn="0" w:lastRowLastColumn="0"/>
            </w:pPr>
            <w:r w:rsidRPr="00F2508A">
              <w:t>2018</w:t>
            </w:r>
          </w:p>
        </w:tc>
        <w:tc>
          <w:tcPr>
            <w:tcW w:w="2948" w:type="dxa"/>
          </w:tcPr>
          <w:p w:rsidR="00F2508A" w:rsidRPr="00F2508A" w:rsidRDefault="00F2508A" w:rsidP="00F2508A">
            <w:pPr>
              <w:spacing w:after="160" w:line="259" w:lineRule="auto"/>
              <w:ind w:left="720" w:hanging="720"/>
              <w:cnfStyle w:val="100000000000" w:firstRow="1" w:lastRow="0" w:firstColumn="0" w:lastColumn="0" w:oddVBand="0" w:evenVBand="0" w:oddHBand="0" w:evenHBand="0" w:firstRowFirstColumn="0" w:firstRowLastColumn="0" w:lastRowFirstColumn="0" w:lastRowLastColumn="0"/>
            </w:pPr>
            <w:r w:rsidRPr="00F2508A">
              <w:t>2019</w:t>
            </w:r>
          </w:p>
        </w:tc>
      </w:tr>
      <w:tr w:rsidR="00F2508A" w:rsidRPr="00F2508A" w:rsidTr="00903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pPr>
              <w:spacing w:after="160" w:line="259" w:lineRule="auto"/>
              <w:ind w:left="720" w:hanging="720"/>
            </w:pPr>
            <w:r w:rsidRPr="00F2508A">
              <w:t>Disabled staff</w:t>
            </w:r>
          </w:p>
        </w:tc>
        <w:tc>
          <w:tcPr>
            <w:tcW w:w="2948"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83.0%</w:t>
            </w:r>
          </w:p>
        </w:tc>
        <w:tc>
          <w:tcPr>
            <w:tcW w:w="2948"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83.1%</w:t>
            </w:r>
          </w:p>
        </w:tc>
      </w:tr>
      <w:tr w:rsidR="00F2508A" w:rsidRPr="00F2508A" w:rsidTr="00903F5A">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pPr>
              <w:spacing w:after="160" w:line="259" w:lineRule="auto"/>
              <w:ind w:left="720" w:hanging="720"/>
            </w:pPr>
            <w:r w:rsidRPr="00F2508A">
              <w:t>Disabled staff Average</w:t>
            </w:r>
          </w:p>
        </w:tc>
        <w:tc>
          <w:tcPr>
            <w:tcW w:w="2948"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77.3%</w:t>
            </w:r>
          </w:p>
        </w:tc>
        <w:tc>
          <w:tcPr>
            <w:tcW w:w="2948"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77.1%</w:t>
            </w:r>
          </w:p>
        </w:tc>
      </w:tr>
    </w:tbl>
    <w:p w:rsidR="00F2508A" w:rsidRPr="00F2508A" w:rsidRDefault="00F2508A" w:rsidP="00F2508A">
      <w:pPr>
        <w:ind w:left="720" w:hanging="720"/>
      </w:pPr>
    </w:p>
    <w:p w:rsidR="00F2508A" w:rsidRPr="00F2508A" w:rsidRDefault="00F2508A" w:rsidP="00F2508A">
      <w:pPr>
        <w:ind w:left="720" w:hanging="720"/>
      </w:pPr>
      <w:r w:rsidRPr="00F2508A">
        <w:t>(9)</w:t>
      </w:r>
      <w:r w:rsidRPr="00F2508A">
        <w:tab/>
        <w:t>The staff engagement score for Disabled staff compared to non-disabled staff</w:t>
      </w:r>
    </w:p>
    <w:tbl>
      <w:tblPr>
        <w:tblStyle w:val="GridTable4-Accent1"/>
        <w:tblW w:w="9184" w:type="dxa"/>
        <w:tblLook w:val="04A0" w:firstRow="1" w:lastRow="0" w:firstColumn="1" w:lastColumn="0" w:noHBand="0" w:noVBand="1"/>
      </w:tblPr>
      <w:tblGrid>
        <w:gridCol w:w="3288"/>
        <w:gridCol w:w="2948"/>
        <w:gridCol w:w="2948"/>
      </w:tblGrid>
      <w:tr w:rsidR="00F2508A" w:rsidRPr="00F2508A" w:rsidTr="0090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pPr>
              <w:spacing w:after="160" w:line="259" w:lineRule="auto"/>
              <w:ind w:left="720" w:hanging="720"/>
            </w:pPr>
          </w:p>
        </w:tc>
        <w:tc>
          <w:tcPr>
            <w:tcW w:w="2948" w:type="dxa"/>
          </w:tcPr>
          <w:p w:rsidR="00F2508A" w:rsidRPr="00F2508A" w:rsidRDefault="00F2508A" w:rsidP="00F2508A">
            <w:pPr>
              <w:spacing w:after="160" w:line="259" w:lineRule="auto"/>
              <w:ind w:left="720" w:hanging="720"/>
              <w:cnfStyle w:val="100000000000" w:firstRow="1" w:lastRow="0" w:firstColumn="0" w:lastColumn="0" w:oddVBand="0" w:evenVBand="0" w:oddHBand="0" w:evenHBand="0" w:firstRowFirstColumn="0" w:firstRowLastColumn="0" w:lastRowFirstColumn="0" w:lastRowLastColumn="0"/>
            </w:pPr>
            <w:r w:rsidRPr="00F2508A">
              <w:t>2018</w:t>
            </w:r>
          </w:p>
        </w:tc>
        <w:tc>
          <w:tcPr>
            <w:tcW w:w="2948" w:type="dxa"/>
          </w:tcPr>
          <w:p w:rsidR="00F2508A" w:rsidRPr="00F2508A" w:rsidRDefault="00F2508A" w:rsidP="00F2508A">
            <w:pPr>
              <w:spacing w:after="160" w:line="259" w:lineRule="auto"/>
              <w:ind w:left="720" w:hanging="720"/>
              <w:cnfStyle w:val="100000000000" w:firstRow="1" w:lastRow="0" w:firstColumn="0" w:lastColumn="0" w:oddVBand="0" w:evenVBand="0" w:oddHBand="0" w:evenHBand="0" w:firstRowFirstColumn="0" w:firstRowLastColumn="0" w:lastRowFirstColumn="0" w:lastRowLastColumn="0"/>
            </w:pPr>
            <w:r w:rsidRPr="00F2508A">
              <w:t>2019</w:t>
            </w:r>
          </w:p>
        </w:tc>
      </w:tr>
      <w:tr w:rsidR="00F2508A" w:rsidRPr="00F2508A" w:rsidTr="00903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pPr>
              <w:spacing w:after="160" w:line="259" w:lineRule="auto"/>
              <w:ind w:left="720" w:hanging="720"/>
            </w:pPr>
            <w:r w:rsidRPr="00F2508A">
              <w:t>Organisation average</w:t>
            </w:r>
          </w:p>
        </w:tc>
        <w:tc>
          <w:tcPr>
            <w:tcW w:w="2948"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7.1</w:t>
            </w:r>
          </w:p>
        </w:tc>
        <w:tc>
          <w:tcPr>
            <w:tcW w:w="2948"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7.1</w:t>
            </w:r>
          </w:p>
        </w:tc>
      </w:tr>
      <w:tr w:rsidR="00F2508A" w:rsidRPr="00F2508A" w:rsidTr="00903F5A">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pPr>
              <w:spacing w:after="160" w:line="259" w:lineRule="auto"/>
            </w:pPr>
            <w:r w:rsidRPr="00F2508A">
              <w:t>Disabled staff</w:t>
            </w:r>
          </w:p>
        </w:tc>
        <w:tc>
          <w:tcPr>
            <w:tcW w:w="2948"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6.8</w:t>
            </w:r>
          </w:p>
        </w:tc>
        <w:tc>
          <w:tcPr>
            <w:tcW w:w="2948"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6.8</w:t>
            </w:r>
          </w:p>
        </w:tc>
      </w:tr>
      <w:tr w:rsidR="00F2508A" w:rsidRPr="00F2508A" w:rsidTr="00903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pPr>
              <w:spacing w:after="160" w:line="259" w:lineRule="auto"/>
              <w:ind w:left="720" w:hanging="720"/>
            </w:pPr>
            <w:r w:rsidRPr="00F2508A">
              <w:t>Non-disabled staff</w:t>
            </w:r>
          </w:p>
        </w:tc>
        <w:tc>
          <w:tcPr>
            <w:tcW w:w="2948"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7.2</w:t>
            </w:r>
          </w:p>
        </w:tc>
        <w:tc>
          <w:tcPr>
            <w:tcW w:w="2948" w:type="dxa"/>
          </w:tcPr>
          <w:p w:rsidR="00F2508A" w:rsidRPr="00F2508A" w:rsidRDefault="00F2508A" w:rsidP="00F2508A">
            <w:pPr>
              <w:spacing w:after="160" w:line="259" w:lineRule="auto"/>
              <w:ind w:left="720" w:hanging="720"/>
              <w:cnfStyle w:val="000000100000" w:firstRow="0" w:lastRow="0" w:firstColumn="0" w:lastColumn="0" w:oddVBand="0" w:evenVBand="0" w:oddHBand="1" w:evenHBand="0" w:firstRowFirstColumn="0" w:firstRowLastColumn="0" w:lastRowFirstColumn="0" w:lastRowLastColumn="0"/>
            </w:pPr>
            <w:r w:rsidRPr="00F2508A">
              <w:t>7.2</w:t>
            </w:r>
          </w:p>
        </w:tc>
      </w:tr>
      <w:tr w:rsidR="00F2508A" w:rsidRPr="00F2508A" w:rsidTr="00903F5A">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pPr>
              <w:spacing w:after="160" w:line="259" w:lineRule="auto"/>
            </w:pPr>
            <w:r w:rsidRPr="00F2508A">
              <w:t>Disabled staff average</w:t>
            </w:r>
          </w:p>
        </w:tc>
        <w:tc>
          <w:tcPr>
            <w:tcW w:w="2948"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6.7</w:t>
            </w:r>
          </w:p>
        </w:tc>
        <w:tc>
          <w:tcPr>
            <w:tcW w:w="2948" w:type="dxa"/>
          </w:tcPr>
          <w:p w:rsidR="00F2508A" w:rsidRPr="00F2508A" w:rsidRDefault="00F2508A" w:rsidP="00F2508A">
            <w:pPr>
              <w:spacing w:after="160" w:line="259" w:lineRule="auto"/>
              <w:ind w:left="720" w:hanging="720"/>
              <w:cnfStyle w:val="000000000000" w:firstRow="0" w:lastRow="0" w:firstColumn="0" w:lastColumn="0" w:oddVBand="0" w:evenVBand="0" w:oddHBand="0" w:evenHBand="0" w:firstRowFirstColumn="0" w:firstRowLastColumn="0" w:lastRowFirstColumn="0" w:lastRowLastColumn="0"/>
            </w:pPr>
            <w:r w:rsidRPr="00F2508A">
              <w:t>6.7.</w:t>
            </w:r>
          </w:p>
        </w:tc>
      </w:tr>
      <w:tr w:rsidR="00F2508A" w:rsidRPr="00F2508A" w:rsidTr="00903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F2508A" w:rsidRPr="00F2508A" w:rsidRDefault="00F2508A" w:rsidP="00F2508A">
            <w:r w:rsidRPr="00F2508A">
              <w:t>Non-disabled staff average</w:t>
            </w:r>
          </w:p>
        </w:tc>
        <w:tc>
          <w:tcPr>
            <w:tcW w:w="2948" w:type="dxa"/>
          </w:tcPr>
          <w:p w:rsidR="00F2508A" w:rsidRPr="00F2508A" w:rsidRDefault="00F2508A" w:rsidP="00F2508A">
            <w:pPr>
              <w:ind w:left="720" w:hanging="720"/>
              <w:cnfStyle w:val="000000100000" w:firstRow="0" w:lastRow="0" w:firstColumn="0" w:lastColumn="0" w:oddVBand="0" w:evenVBand="0" w:oddHBand="1" w:evenHBand="0" w:firstRowFirstColumn="0" w:firstRowLastColumn="0" w:lastRowFirstColumn="0" w:lastRowLastColumn="0"/>
            </w:pPr>
            <w:r w:rsidRPr="00F2508A">
              <w:t>7.1</w:t>
            </w:r>
          </w:p>
        </w:tc>
        <w:tc>
          <w:tcPr>
            <w:tcW w:w="2948" w:type="dxa"/>
          </w:tcPr>
          <w:p w:rsidR="00F2508A" w:rsidRPr="00F2508A" w:rsidRDefault="00F2508A" w:rsidP="00F2508A">
            <w:pPr>
              <w:ind w:left="720" w:hanging="720"/>
              <w:cnfStyle w:val="000000100000" w:firstRow="0" w:lastRow="0" w:firstColumn="0" w:lastColumn="0" w:oddVBand="0" w:evenVBand="0" w:oddHBand="1" w:evenHBand="0" w:firstRowFirstColumn="0" w:firstRowLastColumn="0" w:lastRowFirstColumn="0" w:lastRowLastColumn="0"/>
            </w:pPr>
            <w:r w:rsidRPr="00F2508A">
              <w:t>7.2</w:t>
            </w:r>
          </w:p>
        </w:tc>
      </w:tr>
    </w:tbl>
    <w:p w:rsidR="00F2508A" w:rsidRPr="00F2508A" w:rsidRDefault="00F2508A" w:rsidP="00F2508A">
      <w:pPr>
        <w:ind w:left="720" w:hanging="720"/>
      </w:pPr>
    </w:p>
    <w:p w:rsidR="00F2508A" w:rsidRPr="00F2508A" w:rsidRDefault="00F2508A" w:rsidP="00F2508A">
      <w:pPr>
        <w:ind w:left="720" w:hanging="720"/>
      </w:pPr>
      <w:r w:rsidRPr="00F2508A">
        <w:t>(10)</w:t>
      </w:r>
      <w:r w:rsidRPr="00F2508A">
        <w:tab/>
        <w:t xml:space="preserve">Percentage difference between the organisation’s Board voting membership and its organisation’s overall workforce disaggregated </w:t>
      </w:r>
    </w:p>
    <w:p w:rsidR="00F2508A" w:rsidRPr="00F2508A" w:rsidRDefault="00F2508A" w:rsidP="00F2508A">
      <w:pPr>
        <w:numPr>
          <w:ilvl w:val="0"/>
          <w:numId w:val="18"/>
        </w:numPr>
        <w:contextualSpacing/>
      </w:pPr>
      <w:r w:rsidRPr="00F2508A">
        <w:t>By voting membership of the Board</w:t>
      </w:r>
    </w:p>
    <w:p w:rsidR="00F2508A" w:rsidRPr="00F2508A" w:rsidRDefault="00F2508A" w:rsidP="00F2508A">
      <w:pPr>
        <w:numPr>
          <w:ilvl w:val="0"/>
          <w:numId w:val="18"/>
        </w:numPr>
        <w:contextualSpacing/>
      </w:pPr>
      <w:r w:rsidRPr="00F2508A">
        <w:t>By Executive membership of the Board</w:t>
      </w:r>
    </w:p>
    <w:tbl>
      <w:tblPr>
        <w:tblW w:w="9646" w:type="dxa"/>
        <w:tblCellMar>
          <w:left w:w="0" w:type="dxa"/>
          <w:right w:w="0" w:type="dxa"/>
        </w:tblCellMar>
        <w:tblLook w:val="0420" w:firstRow="1" w:lastRow="0" w:firstColumn="0" w:lastColumn="0" w:noHBand="0" w:noVBand="1"/>
      </w:tblPr>
      <w:tblGrid>
        <w:gridCol w:w="1378"/>
        <w:gridCol w:w="1378"/>
        <w:gridCol w:w="1378"/>
        <w:gridCol w:w="1378"/>
        <w:gridCol w:w="1378"/>
        <w:gridCol w:w="1378"/>
        <w:gridCol w:w="1378"/>
      </w:tblGrid>
      <w:tr w:rsidR="00F2508A" w:rsidRPr="00F2508A" w:rsidTr="00903F5A">
        <w:trPr>
          <w:trHeight w:val="584"/>
        </w:trPr>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ascii="Times New Roman" w:eastAsia="Times New Roman" w:hAnsi="Times New Roman" w:cs="Times New Roman"/>
                <w:lang w:eastAsia="en-GB"/>
              </w:rPr>
            </w:pP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2019 Disabled staff</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2019 Not Disabled</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2019 Unknown</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2020 Disabled Staff</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2020 Not Disabled</w:t>
            </w:r>
          </w:p>
        </w:tc>
        <w:tc>
          <w:tcPr>
            <w:tcW w:w="1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b/>
                <w:bCs/>
                <w:color w:val="FFFFFF"/>
                <w:kern w:val="24"/>
                <w:lang w:eastAsia="en-GB"/>
              </w:rPr>
              <w:t>2020 Unknown</w:t>
            </w:r>
          </w:p>
        </w:tc>
      </w:tr>
      <w:tr w:rsidR="00F2508A" w:rsidRPr="00F2508A" w:rsidTr="00903F5A">
        <w:trPr>
          <w:trHeight w:val="584"/>
        </w:trPr>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bottom"/>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Total Board members</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bottom"/>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3</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bottom"/>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6</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bottom"/>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4</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3</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11</w:t>
            </w:r>
          </w:p>
        </w:tc>
        <w:tc>
          <w:tcPr>
            <w:tcW w:w="137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p>
        </w:tc>
      </w:tr>
      <w:tr w:rsidR="00F2508A" w:rsidRPr="00F2508A" w:rsidTr="00903F5A">
        <w:trPr>
          <w:trHeight w:val="584"/>
        </w:trPr>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bottom"/>
            <w:hideMark/>
          </w:tcPr>
          <w:p w:rsidR="00F2508A" w:rsidRPr="00F2508A" w:rsidRDefault="00F2508A" w:rsidP="00F2508A">
            <w:pPr>
              <w:spacing w:after="0" w:line="240" w:lineRule="auto"/>
              <w:rPr>
                <w:rFonts w:eastAsia="Times New Roman"/>
                <w:sz w:val="36"/>
                <w:szCs w:val="36"/>
                <w:lang w:eastAsia="en-GB"/>
              </w:rPr>
            </w:pPr>
            <w:r w:rsidRPr="00F2508A">
              <w:rPr>
                <w:rFonts w:ascii="Calibri" w:eastAsia="Times New Roman" w:hAnsi="Calibri" w:cs="Calibri"/>
                <w:color w:val="000000"/>
                <w:kern w:val="24"/>
                <w:lang w:eastAsia="en-GB"/>
              </w:rPr>
              <w:t>Execs</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bottom"/>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bottom"/>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4</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bottom"/>
            <w:hideMark/>
          </w:tcPr>
          <w:p w:rsidR="00F2508A" w:rsidRPr="00F2508A" w:rsidRDefault="00F2508A" w:rsidP="00F2508A">
            <w:pPr>
              <w:spacing w:after="0" w:line="240" w:lineRule="auto"/>
              <w:jc w:val="right"/>
              <w:rPr>
                <w:rFonts w:eastAsia="Times New Roman"/>
                <w:sz w:val="36"/>
                <w:szCs w:val="36"/>
                <w:lang w:eastAsia="en-GB"/>
              </w:rPr>
            </w:pPr>
            <w:r w:rsidRPr="00F2508A">
              <w:rPr>
                <w:rFonts w:ascii="Calibri" w:eastAsia="Times New Roman" w:hAnsi="Calibri" w:cs="Calibri"/>
                <w:color w:val="000000"/>
                <w:kern w:val="24"/>
                <w:lang w:eastAsia="en-GB"/>
              </w:rPr>
              <w:t>1</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1</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r w:rsidRPr="00F2508A">
              <w:rPr>
                <w:rFonts w:eastAsia="Times New Roman"/>
                <w:color w:val="000000"/>
                <w:kern w:val="24"/>
                <w:lang w:eastAsia="en-GB"/>
              </w:rPr>
              <w:t>5</w:t>
            </w:r>
          </w:p>
        </w:tc>
        <w:tc>
          <w:tcPr>
            <w:tcW w:w="137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F2508A" w:rsidRPr="00F2508A" w:rsidRDefault="00F2508A" w:rsidP="00F2508A">
            <w:pPr>
              <w:spacing w:after="0" w:line="240" w:lineRule="auto"/>
              <w:jc w:val="right"/>
              <w:textAlignment w:val="bottom"/>
              <w:rPr>
                <w:rFonts w:eastAsia="Times New Roman"/>
                <w:sz w:val="36"/>
                <w:szCs w:val="36"/>
                <w:lang w:eastAsia="en-GB"/>
              </w:rPr>
            </w:pPr>
          </w:p>
        </w:tc>
      </w:tr>
    </w:tbl>
    <w:p w:rsidR="00F2508A" w:rsidRDefault="00F2508A" w:rsidP="00BB4AEE">
      <w:pPr>
        <w:ind w:left="5040" w:hanging="5040"/>
      </w:pPr>
    </w:p>
    <w:p w:rsidR="00B50C2A" w:rsidRPr="00B60725" w:rsidRDefault="00B50C2A" w:rsidP="00BB4AEE">
      <w:pPr>
        <w:ind w:left="5040" w:hanging="5040"/>
      </w:pPr>
      <w:r>
        <w:tab/>
      </w:r>
    </w:p>
    <w:sectPr w:rsidR="00B50C2A" w:rsidRPr="00B60725" w:rsidSect="00E0573B">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6E0" w:rsidRDefault="002726E0" w:rsidP="002726E0">
      <w:pPr>
        <w:spacing w:after="0" w:line="240" w:lineRule="auto"/>
      </w:pPr>
      <w:r>
        <w:separator/>
      </w:r>
    </w:p>
  </w:endnote>
  <w:endnote w:type="continuationSeparator" w:id="0">
    <w:p w:rsidR="002726E0" w:rsidRDefault="002726E0" w:rsidP="0027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98327"/>
      <w:docPartObj>
        <w:docPartGallery w:val="Page Numbers (Bottom of Page)"/>
        <w:docPartUnique/>
      </w:docPartObj>
    </w:sdtPr>
    <w:sdtEndPr>
      <w:rPr>
        <w:noProof/>
      </w:rPr>
    </w:sdtEndPr>
    <w:sdtContent>
      <w:p w:rsidR="002726E0" w:rsidRDefault="002726E0">
        <w:pPr>
          <w:pStyle w:val="Footer"/>
          <w:jc w:val="center"/>
        </w:pPr>
        <w:r>
          <w:fldChar w:fldCharType="begin"/>
        </w:r>
        <w:r>
          <w:instrText xml:space="preserve"> PAGE   \* MERGEFORMAT </w:instrText>
        </w:r>
        <w:r>
          <w:fldChar w:fldCharType="separate"/>
        </w:r>
        <w:r w:rsidR="009678D2">
          <w:rPr>
            <w:noProof/>
          </w:rPr>
          <w:t>9</w:t>
        </w:r>
        <w:r>
          <w:rPr>
            <w:noProof/>
          </w:rPr>
          <w:fldChar w:fldCharType="end"/>
        </w:r>
      </w:p>
    </w:sdtContent>
  </w:sdt>
  <w:p w:rsidR="002726E0" w:rsidRDefault="0027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6E0" w:rsidRDefault="002726E0" w:rsidP="002726E0">
      <w:pPr>
        <w:spacing w:after="0" w:line="240" w:lineRule="auto"/>
      </w:pPr>
      <w:r>
        <w:separator/>
      </w:r>
    </w:p>
  </w:footnote>
  <w:footnote w:type="continuationSeparator" w:id="0">
    <w:p w:rsidR="002726E0" w:rsidRDefault="002726E0" w:rsidP="00272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68E"/>
    <w:multiLevelType w:val="hybridMultilevel"/>
    <w:tmpl w:val="9E082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F21A60"/>
    <w:multiLevelType w:val="hybridMultilevel"/>
    <w:tmpl w:val="FEB63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C14E66"/>
    <w:multiLevelType w:val="hybridMultilevel"/>
    <w:tmpl w:val="CBCA8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84A92"/>
    <w:multiLevelType w:val="hybridMultilevel"/>
    <w:tmpl w:val="F9783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275D99"/>
    <w:multiLevelType w:val="hybridMultilevel"/>
    <w:tmpl w:val="226C0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4E3FED"/>
    <w:multiLevelType w:val="hybridMultilevel"/>
    <w:tmpl w:val="51EE9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C86376"/>
    <w:multiLevelType w:val="hybridMultilevel"/>
    <w:tmpl w:val="BFBAD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CA116B"/>
    <w:multiLevelType w:val="hybridMultilevel"/>
    <w:tmpl w:val="DDF0C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8E5D72"/>
    <w:multiLevelType w:val="hybridMultilevel"/>
    <w:tmpl w:val="6EE27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A80C91"/>
    <w:multiLevelType w:val="hybridMultilevel"/>
    <w:tmpl w:val="B3D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642C8"/>
    <w:multiLevelType w:val="hybridMultilevel"/>
    <w:tmpl w:val="37703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1F01E9"/>
    <w:multiLevelType w:val="hybridMultilevel"/>
    <w:tmpl w:val="0C9AB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7368A1"/>
    <w:multiLevelType w:val="hybridMultilevel"/>
    <w:tmpl w:val="FF68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D17A2"/>
    <w:multiLevelType w:val="hybridMultilevel"/>
    <w:tmpl w:val="658AB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0F3549"/>
    <w:multiLevelType w:val="hybridMultilevel"/>
    <w:tmpl w:val="F6AA7F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F41929"/>
    <w:multiLevelType w:val="hybridMultilevel"/>
    <w:tmpl w:val="E976E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37756D"/>
    <w:multiLevelType w:val="hybridMultilevel"/>
    <w:tmpl w:val="761CA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1A0067"/>
    <w:multiLevelType w:val="hybridMultilevel"/>
    <w:tmpl w:val="1784A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0F4C3A"/>
    <w:multiLevelType w:val="hybridMultilevel"/>
    <w:tmpl w:val="22E06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76ED8"/>
    <w:multiLevelType w:val="hybridMultilevel"/>
    <w:tmpl w:val="2AC42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2D7FD8"/>
    <w:multiLevelType w:val="hybridMultilevel"/>
    <w:tmpl w:val="994A4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650360"/>
    <w:multiLevelType w:val="hybridMultilevel"/>
    <w:tmpl w:val="4BF0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8C7406"/>
    <w:multiLevelType w:val="hybridMultilevel"/>
    <w:tmpl w:val="B4849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EF3D40"/>
    <w:multiLevelType w:val="hybridMultilevel"/>
    <w:tmpl w:val="141E2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1A2501"/>
    <w:multiLevelType w:val="hybridMultilevel"/>
    <w:tmpl w:val="ACAE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F519EF"/>
    <w:multiLevelType w:val="hybridMultilevel"/>
    <w:tmpl w:val="1D084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E1E2541"/>
    <w:multiLevelType w:val="hybridMultilevel"/>
    <w:tmpl w:val="B9022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0"/>
  </w:num>
  <w:num w:numId="3">
    <w:abstractNumId w:val="2"/>
  </w:num>
  <w:num w:numId="4">
    <w:abstractNumId w:val="12"/>
  </w:num>
  <w:num w:numId="5">
    <w:abstractNumId w:val="25"/>
  </w:num>
  <w:num w:numId="6">
    <w:abstractNumId w:val="10"/>
  </w:num>
  <w:num w:numId="7">
    <w:abstractNumId w:val="24"/>
  </w:num>
  <w:num w:numId="8">
    <w:abstractNumId w:val="22"/>
  </w:num>
  <w:num w:numId="9">
    <w:abstractNumId w:val="21"/>
  </w:num>
  <w:num w:numId="10">
    <w:abstractNumId w:val="26"/>
  </w:num>
  <w:num w:numId="11">
    <w:abstractNumId w:val="5"/>
  </w:num>
  <w:num w:numId="12">
    <w:abstractNumId w:val="11"/>
  </w:num>
  <w:num w:numId="13">
    <w:abstractNumId w:val="13"/>
  </w:num>
  <w:num w:numId="14">
    <w:abstractNumId w:val="1"/>
  </w:num>
  <w:num w:numId="15">
    <w:abstractNumId w:val="16"/>
  </w:num>
  <w:num w:numId="16">
    <w:abstractNumId w:val="0"/>
  </w:num>
  <w:num w:numId="17">
    <w:abstractNumId w:val="6"/>
  </w:num>
  <w:num w:numId="18">
    <w:abstractNumId w:val="14"/>
  </w:num>
  <w:num w:numId="19">
    <w:abstractNumId w:val="15"/>
  </w:num>
  <w:num w:numId="20">
    <w:abstractNumId w:val="4"/>
  </w:num>
  <w:num w:numId="21">
    <w:abstractNumId w:val="19"/>
  </w:num>
  <w:num w:numId="22">
    <w:abstractNumId w:val="3"/>
  </w:num>
  <w:num w:numId="23">
    <w:abstractNumId w:val="8"/>
  </w:num>
  <w:num w:numId="24">
    <w:abstractNumId w:val="7"/>
  </w:num>
  <w:num w:numId="25">
    <w:abstractNumId w:val="17"/>
  </w:num>
  <w:num w:numId="26">
    <w:abstractNumId w:val="1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D8"/>
    <w:rsid w:val="00017BEB"/>
    <w:rsid w:val="00023038"/>
    <w:rsid w:val="000308A7"/>
    <w:rsid w:val="00032AF9"/>
    <w:rsid w:val="000A6392"/>
    <w:rsid w:val="000C7AE7"/>
    <w:rsid w:val="000D0654"/>
    <w:rsid w:val="00174B92"/>
    <w:rsid w:val="00195C00"/>
    <w:rsid w:val="001B0AD8"/>
    <w:rsid w:val="001C2B8C"/>
    <w:rsid w:val="001F0D86"/>
    <w:rsid w:val="001F4F3D"/>
    <w:rsid w:val="001F7262"/>
    <w:rsid w:val="00234400"/>
    <w:rsid w:val="00244FB0"/>
    <w:rsid w:val="002726E0"/>
    <w:rsid w:val="002878F6"/>
    <w:rsid w:val="00287FD8"/>
    <w:rsid w:val="002E057C"/>
    <w:rsid w:val="00302636"/>
    <w:rsid w:val="00377C05"/>
    <w:rsid w:val="00383C06"/>
    <w:rsid w:val="00384064"/>
    <w:rsid w:val="00390BBC"/>
    <w:rsid w:val="003A0E97"/>
    <w:rsid w:val="003C6717"/>
    <w:rsid w:val="003F5EED"/>
    <w:rsid w:val="004012D0"/>
    <w:rsid w:val="00433E12"/>
    <w:rsid w:val="00465AEA"/>
    <w:rsid w:val="004A3A61"/>
    <w:rsid w:val="004B462D"/>
    <w:rsid w:val="004C1FE5"/>
    <w:rsid w:val="004D601A"/>
    <w:rsid w:val="004E7392"/>
    <w:rsid w:val="005758C1"/>
    <w:rsid w:val="005C0CF8"/>
    <w:rsid w:val="005C7B81"/>
    <w:rsid w:val="00612368"/>
    <w:rsid w:val="006602A3"/>
    <w:rsid w:val="00675287"/>
    <w:rsid w:val="00683C52"/>
    <w:rsid w:val="0069115E"/>
    <w:rsid w:val="006A283A"/>
    <w:rsid w:val="006A7597"/>
    <w:rsid w:val="006B0607"/>
    <w:rsid w:val="006C11C7"/>
    <w:rsid w:val="006D751C"/>
    <w:rsid w:val="00770510"/>
    <w:rsid w:val="00784E39"/>
    <w:rsid w:val="00793AC4"/>
    <w:rsid w:val="00797972"/>
    <w:rsid w:val="007A3868"/>
    <w:rsid w:val="007B46E1"/>
    <w:rsid w:val="00801EF9"/>
    <w:rsid w:val="008412EE"/>
    <w:rsid w:val="00842C54"/>
    <w:rsid w:val="008A16CF"/>
    <w:rsid w:val="008D6C67"/>
    <w:rsid w:val="008D7869"/>
    <w:rsid w:val="00903F5A"/>
    <w:rsid w:val="00924F12"/>
    <w:rsid w:val="00926B03"/>
    <w:rsid w:val="00930E52"/>
    <w:rsid w:val="00931A56"/>
    <w:rsid w:val="00951BCB"/>
    <w:rsid w:val="009678D2"/>
    <w:rsid w:val="009859FE"/>
    <w:rsid w:val="0099274B"/>
    <w:rsid w:val="009A66F7"/>
    <w:rsid w:val="009D548A"/>
    <w:rsid w:val="009D76C0"/>
    <w:rsid w:val="00A27531"/>
    <w:rsid w:val="00A768B4"/>
    <w:rsid w:val="00AA252B"/>
    <w:rsid w:val="00AA49C8"/>
    <w:rsid w:val="00AA57D6"/>
    <w:rsid w:val="00AA7025"/>
    <w:rsid w:val="00AA7E12"/>
    <w:rsid w:val="00AD12DA"/>
    <w:rsid w:val="00B222DA"/>
    <w:rsid w:val="00B50C2A"/>
    <w:rsid w:val="00B60725"/>
    <w:rsid w:val="00BB4AEE"/>
    <w:rsid w:val="00BD62A5"/>
    <w:rsid w:val="00BE0C32"/>
    <w:rsid w:val="00BE236B"/>
    <w:rsid w:val="00C15F50"/>
    <w:rsid w:val="00C221FD"/>
    <w:rsid w:val="00C6311F"/>
    <w:rsid w:val="00D147A1"/>
    <w:rsid w:val="00D652FB"/>
    <w:rsid w:val="00DB1C9E"/>
    <w:rsid w:val="00DF20C3"/>
    <w:rsid w:val="00E0573B"/>
    <w:rsid w:val="00E070E9"/>
    <w:rsid w:val="00E33A01"/>
    <w:rsid w:val="00E5050D"/>
    <w:rsid w:val="00E76019"/>
    <w:rsid w:val="00EB1A9F"/>
    <w:rsid w:val="00EB38F5"/>
    <w:rsid w:val="00ED0243"/>
    <w:rsid w:val="00F2508A"/>
    <w:rsid w:val="00F90123"/>
    <w:rsid w:val="00F931A6"/>
    <w:rsid w:val="00FB00D5"/>
    <w:rsid w:val="00FF7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6992"/>
  <w15:chartTrackingRefBased/>
  <w15:docId w15:val="{C1641C50-60D6-49ED-945F-8ACDBAB3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48A"/>
    <w:pPr>
      <w:ind w:left="720"/>
      <w:contextualSpacing/>
    </w:pPr>
  </w:style>
  <w:style w:type="table" w:styleId="TableGrid">
    <w:name w:val="Table Grid"/>
    <w:basedOn w:val="TableNormal"/>
    <w:uiPriority w:val="39"/>
    <w:rsid w:val="00B50C2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0C2A"/>
    <w:pPr>
      <w:autoSpaceDE w:val="0"/>
      <w:autoSpaceDN w:val="0"/>
      <w:adjustRightInd w:val="0"/>
      <w:spacing w:after="0" w:line="240" w:lineRule="auto"/>
    </w:pPr>
    <w:rPr>
      <w:color w:val="000000"/>
    </w:rPr>
  </w:style>
  <w:style w:type="table" w:customStyle="1" w:styleId="TableGrid1">
    <w:name w:val="Table Grid1"/>
    <w:basedOn w:val="TableNormal"/>
    <w:next w:val="TableGrid"/>
    <w:uiPriority w:val="39"/>
    <w:rsid w:val="00F25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2508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F250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272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6E0"/>
  </w:style>
  <w:style w:type="paragraph" w:styleId="Footer">
    <w:name w:val="footer"/>
    <w:basedOn w:val="Normal"/>
    <w:link w:val="FooterChar"/>
    <w:uiPriority w:val="99"/>
    <w:unhideWhenUsed/>
    <w:rsid w:val="00272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3510B-C1BF-4795-AF7C-2E75B66B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20</Pages>
  <Words>4038</Words>
  <Characters>23019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27003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Rowlands, Chris (Workforce &amp; Organisational Development)</dc:creator>
  <cp:keywords/>
  <dc:description/>
  <cp:lastModifiedBy>Shaw, Lynne (Workforce &amp; Organisational Development)</cp:lastModifiedBy>
  <cp:revision>11</cp:revision>
  <dcterms:created xsi:type="dcterms:W3CDTF">2020-08-26T21:24:00Z</dcterms:created>
  <dcterms:modified xsi:type="dcterms:W3CDTF">2020-08-27T08:23:00Z</dcterms:modified>
</cp:coreProperties>
</file>