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62022" w14:textId="77777777" w:rsidR="00D96F64" w:rsidRDefault="00577962" w:rsidP="003C79C4">
      <w:pPr>
        <w:spacing w:after="0" w:line="240" w:lineRule="auto"/>
        <w:jc w:val="center"/>
        <w:rPr>
          <w:rFonts w:ascii="Arial" w:eastAsia="Calibri" w:hAnsi="Arial" w:cs="Arial"/>
          <w:b/>
          <w:sz w:val="24"/>
        </w:rPr>
      </w:pPr>
      <w:r w:rsidRPr="00577962">
        <w:rPr>
          <w:rFonts w:ascii="Arial" w:eastAsia="Calibri" w:hAnsi="Arial" w:cs="Arial"/>
          <w:b/>
          <w:sz w:val="24"/>
        </w:rPr>
        <w:t xml:space="preserve">Report to the </w:t>
      </w:r>
      <w:r w:rsidR="00D96F64">
        <w:rPr>
          <w:rFonts w:ascii="Arial" w:eastAsia="Calibri" w:hAnsi="Arial" w:cs="Arial"/>
          <w:b/>
          <w:sz w:val="24"/>
        </w:rPr>
        <w:t>Board of Directors</w:t>
      </w:r>
    </w:p>
    <w:p w14:paraId="12544B57" w14:textId="6CE07C28" w:rsidR="003C79C4" w:rsidRPr="0092115F" w:rsidRDefault="0013260D" w:rsidP="003C79C4">
      <w:pPr>
        <w:spacing w:after="0" w:line="240" w:lineRule="auto"/>
        <w:jc w:val="center"/>
        <w:rPr>
          <w:rFonts w:ascii="Arial" w:eastAsia="Calibri" w:hAnsi="Arial" w:cs="Arial"/>
          <w:b/>
          <w:iCs/>
          <w:sz w:val="24"/>
        </w:rPr>
      </w:pPr>
      <w:r>
        <w:rPr>
          <w:rFonts w:ascii="Arial" w:eastAsia="Calibri" w:hAnsi="Arial" w:cs="Arial"/>
          <w:b/>
          <w:iCs/>
          <w:sz w:val="24"/>
        </w:rPr>
        <w:t xml:space="preserve">Wednesday </w:t>
      </w:r>
      <w:r w:rsidR="00D96F64">
        <w:rPr>
          <w:rFonts w:ascii="Arial" w:eastAsia="Calibri" w:hAnsi="Arial" w:cs="Arial"/>
          <w:b/>
          <w:iCs/>
          <w:sz w:val="24"/>
        </w:rPr>
        <w:t>1 March 2023</w:t>
      </w:r>
    </w:p>
    <w:p w14:paraId="76B87D98" w14:textId="77777777" w:rsidR="00577962" w:rsidRPr="00577962" w:rsidRDefault="00577962" w:rsidP="00577962">
      <w:pPr>
        <w:spacing w:after="0" w:line="240" w:lineRule="auto"/>
        <w:jc w:val="center"/>
        <w:rPr>
          <w:rFonts w:ascii="Arial" w:eastAsia="Calibri" w:hAnsi="Arial" w:cs="Arial"/>
          <w:sz w:val="24"/>
        </w:rPr>
      </w:pPr>
    </w:p>
    <w:tbl>
      <w:tblPr>
        <w:tblStyle w:val="TableGrid1"/>
        <w:tblW w:w="9498" w:type="dxa"/>
        <w:tblInd w:w="-147" w:type="dxa"/>
        <w:tblLook w:val="04A0" w:firstRow="1" w:lastRow="0" w:firstColumn="1" w:lastColumn="0" w:noHBand="0" w:noVBand="1"/>
      </w:tblPr>
      <w:tblGrid>
        <w:gridCol w:w="2672"/>
        <w:gridCol w:w="6826"/>
      </w:tblGrid>
      <w:tr w:rsidR="00577962" w:rsidRPr="00577962" w14:paraId="06022B65" w14:textId="77777777" w:rsidTr="00D96F64">
        <w:tc>
          <w:tcPr>
            <w:tcW w:w="2672" w:type="dxa"/>
            <w:shd w:val="clear" w:color="auto" w:fill="auto"/>
          </w:tcPr>
          <w:p w14:paraId="1EB739F0" w14:textId="77777777" w:rsidR="00577962" w:rsidRPr="00577962" w:rsidRDefault="00577962" w:rsidP="00577962">
            <w:pPr>
              <w:rPr>
                <w:rFonts w:ascii="Arial" w:eastAsia="Calibri" w:hAnsi="Arial" w:cs="Arial"/>
                <w:b/>
              </w:rPr>
            </w:pPr>
            <w:r w:rsidRPr="00577962">
              <w:rPr>
                <w:rFonts w:ascii="Arial" w:eastAsia="Calibri" w:hAnsi="Arial" w:cs="Arial"/>
                <w:b/>
              </w:rPr>
              <w:t>Title of report</w:t>
            </w:r>
          </w:p>
          <w:p w14:paraId="763680A1" w14:textId="77777777" w:rsidR="00577962" w:rsidRPr="00577962" w:rsidRDefault="00577962" w:rsidP="00577962">
            <w:pPr>
              <w:rPr>
                <w:rFonts w:ascii="Arial" w:eastAsia="Calibri" w:hAnsi="Arial" w:cs="Arial"/>
                <w:b/>
              </w:rPr>
            </w:pPr>
          </w:p>
        </w:tc>
        <w:tc>
          <w:tcPr>
            <w:tcW w:w="6826" w:type="dxa"/>
          </w:tcPr>
          <w:p w14:paraId="23F19587" w14:textId="486E8E62" w:rsidR="00577962" w:rsidRPr="00577962" w:rsidRDefault="0092115F" w:rsidP="00577962">
            <w:pPr>
              <w:rPr>
                <w:rFonts w:ascii="Arial" w:eastAsia="Calibri" w:hAnsi="Arial" w:cs="Arial"/>
                <w:b/>
              </w:rPr>
            </w:pPr>
            <w:r w:rsidRPr="0092115F">
              <w:rPr>
                <w:rFonts w:ascii="Arial" w:eastAsia="Calibri" w:hAnsi="Arial" w:cs="Arial"/>
                <w:b/>
              </w:rPr>
              <w:t>Gender Pay Gap Reporting 202</w:t>
            </w:r>
            <w:r>
              <w:rPr>
                <w:rFonts w:ascii="Arial" w:eastAsia="Calibri" w:hAnsi="Arial" w:cs="Arial"/>
                <w:b/>
              </w:rPr>
              <w:t>1</w:t>
            </w:r>
            <w:r w:rsidRPr="0092115F">
              <w:rPr>
                <w:rFonts w:ascii="Arial" w:eastAsia="Calibri" w:hAnsi="Arial" w:cs="Arial"/>
                <w:b/>
              </w:rPr>
              <w:t>-2</w:t>
            </w:r>
            <w:r>
              <w:rPr>
                <w:rFonts w:ascii="Arial" w:eastAsia="Calibri" w:hAnsi="Arial" w:cs="Arial"/>
                <w:b/>
              </w:rPr>
              <w:t>2</w:t>
            </w:r>
          </w:p>
        </w:tc>
      </w:tr>
      <w:tr w:rsidR="00577962" w:rsidRPr="00577962" w14:paraId="291A728C" w14:textId="77777777" w:rsidTr="00D96F64">
        <w:tc>
          <w:tcPr>
            <w:tcW w:w="2672" w:type="dxa"/>
            <w:shd w:val="clear" w:color="auto" w:fill="auto"/>
          </w:tcPr>
          <w:p w14:paraId="1C4782E2" w14:textId="77777777" w:rsidR="00577962" w:rsidRPr="00577962" w:rsidRDefault="00577962" w:rsidP="00577962">
            <w:pPr>
              <w:rPr>
                <w:rFonts w:ascii="Arial" w:eastAsia="Calibri" w:hAnsi="Arial" w:cs="Arial"/>
                <w:b/>
              </w:rPr>
            </w:pPr>
            <w:r w:rsidRPr="00577962">
              <w:rPr>
                <w:rFonts w:ascii="Arial" w:eastAsia="Calibri" w:hAnsi="Arial" w:cs="Arial"/>
                <w:b/>
              </w:rPr>
              <w:t>Purpose of the report</w:t>
            </w:r>
          </w:p>
          <w:p w14:paraId="7E74CC9F" w14:textId="77777777" w:rsidR="00577962" w:rsidRPr="00577962" w:rsidRDefault="00577962" w:rsidP="00577962">
            <w:pPr>
              <w:rPr>
                <w:rFonts w:ascii="Arial" w:eastAsia="Calibri" w:hAnsi="Arial" w:cs="Arial"/>
                <w:b/>
              </w:rPr>
            </w:pPr>
          </w:p>
        </w:tc>
        <w:tc>
          <w:tcPr>
            <w:tcW w:w="6826" w:type="dxa"/>
          </w:tcPr>
          <w:p w14:paraId="61DAFCA0" w14:textId="3BCF7D7B" w:rsidR="00577962" w:rsidRPr="00577962" w:rsidRDefault="00577962" w:rsidP="0013260D">
            <w:pPr>
              <w:rPr>
                <w:rFonts w:ascii="Arial" w:eastAsia="Calibri" w:hAnsi="Arial" w:cs="Arial"/>
                <w:b/>
              </w:rPr>
            </w:pPr>
            <w:r w:rsidRPr="00577962">
              <w:rPr>
                <w:rFonts w:ascii="Arial" w:eastAsia="Calibri" w:hAnsi="Arial" w:cs="Arial"/>
                <w:b/>
              </w:rPr>
              <w:t>For information</w:t>
            </w:r>
          </w:p>
        </w:tc>
      </w:tr>
      <w:tr w:rsidR="00577962" w:rsidRPr="00577962" w14:paraId="59AC8BBB" w14:textId="77777777" w:rsidTr="00D96F64">
        <w:tc>
          <w:tcPr>
            <w:tcW w:w="2672" w:type="dxa"/>
            <w:shd w:val="clear" w:color="auto" w:fill="auto"/>
          </w:tcPr>
          <w:p w14:paraId="76A93854" w14:textId="77777777" w:rsidR="00577962" w:rsidRPr="00577962" w:rsidRDefault="00577962" w:rsidP="00577962">
            <w:pPr>
              <w:rPr>
                <w:rFonts w:ascii="Arial" w:eastAsia="Calibri" w:hAnsi="Arial" w:cs="Arial"/>
                <w:b/>
              </w:rPr>
            </w:pPr>
            <w:r w:rsidRPr="00577962">
              <w:rPr>
                <w:rFonts w:ascii="Arial" w:eastAsia="Calibri" w:hAnsi="Arial" w:cs="Arial"/>
                <w:b/>
              </w:rPr>
              <w:t xml:space="preserve">Executive Lead </w:t>
            </w:r>
          </w:p>
          <w:p w14:paraId="54E2D5B1" w14:textId="77777777" w:rsidR="00577962" w:rsidRPr="00577962" w:rsidRDefault="00577962" w:rsidP="00577962">
            <w:pPr>
              <w:rPr>
                <w:rFonts w:ascii="Arial" w:eastAsia="Calibri" w:hAnsi="Arial" w:cs="Arial"/>
                <w:b/>
              </w:rPr>
            </w:pPr>
          </w:p>
        </w:tc>
        <w:tc>
          <w:tcPr>
            <w:tcW w:w="6826" w:type="dxa"/>
          </w:tcPr>
          <w:p w14:paraId="1D2CC5CA" w14:textId="4590E1E4" w:rsidR="00577962" w:rsidRPr="00577962" w:rsidRDefault="003C79C4" w:rsidP="0013260D">
            <w:pPr>
              <w:rPr>
                <w:rFonts w:ascii="Arial" w:eastAsia="Calibri" w:hAnsi="Arial" w:cs="Arial"/>
                <w:b/>
              </w:rPr>
            </w:pPr>
            <w:r>
              <w:rPr>
                <w:rFonts w:ascii="Arial" w:eastAsia="Calibri" w:hAnsi="Arial" w:cs="Arial"/>
                <w:b/>
              </w:rPr>
              <w:t>Lynne Shaw</w:t>
            </w:r>
            <w:r w:rsidR="0013260D">
              <w:rPr>
                <w:rFonts w:ascii="Arial" w:eastAsia="Calibri" w:hAnsi="Arial" w:cs="Arial"/>
                <w:b/>
              </w:rPr>
              <w:t xml:space="preserve"> - </w:t>
            </w:r>
            <w:r>
              <w:rPr>
                <w:rFonts w:ascii="Arial" w:eastAsia="Calibri" w:hAnsi="Arial" w:cs="Arial"/>
                <w:b/>
              </w:rPr>
              <w:t>Executive Director of Workforce &amp; OD</w:t>
            </w:r>
          </w:p>
        </w:tc>
      </w:tr>
      <w:tr w:rsidR="00577962" w:rsidRPr="00577962" w14:paraId="2507A1F8" w14:textId="77777777" w:rsidTr="00D96F64">
        <w:tc>
          <w:tcPr>
            <w:tcW w:w="2672" w:type="dxa"/>
            <w:shd w:val="clear" w:color="auto" w:fill="auto"/>
          </w:tcPr>
          <w:p w14:paraId="4B796B5C" w14:textId="77777777" w:rsidR="00577962" w:rsidRPr="00577962" w:rsidRDefault="00577962" w:rsidP="00577962">
            <w:pPr>
              <w:rPr>
                <w:rFonts w:ascii="Arial" w:eastAsia="Calibri" w:hAnsi="Arial" w:cs="Arial"/>
                <w:b/>
              </w:rPr>
            </w:pPr>
            <w:r w:rsidRPr="00577962">
              <w:rPr>
                <w:rFonts w:ascii="Arial" w:eastAsia="Calibri" w:hAnsi="Arial" w:cs="Arial"/>
                <w:b/>
              </w:rPr>
              <w:t>Report author(s) (if different from above)</w:t>
            </w:r>
          </w:p>
        </w:tc>
        <w:tc>
          <w:tcPr>
            <w:tcW w:w="6826" w:type="dxa"/>
          </w:tcPr>
          <w:p w14:paraId="0C188DE1" w14:textId="5C79B518" w:rsidR="00577962" w:rsidRPr="00577962" w:rsidRDefault="0092115F" w:rsidP="0013260D">
            <w:pPr>
              <w:rPr>
                <w:rFonts w:ascii="Arial" w:eastAsia="Calibri" w:hAnsi="Arial" w:cs="Arial"/>
                <w:b/>
              </w:rPr>
            </w:pPr>
            <w:r>
              <w:rPr>
                <w:rFonts w:ascii="Arial" w:eastAsia="Calibri" w:hAnsi="Arial" w:cs="Arial"/>
                <w:b/>
              </w:rPr>
              <w:t>Christopher Rowlands</w:t>
            </w:r>
            <w:r w:rsidR="0013260D">
              <w:rPr>
                <w:rFonts w:ascii="Arial" w:eastAsia="Calibri" w:hAnsi="Arial" w:cs="Arial"/>
                <w:b/>
              </w:rPr>
              <w:t xml:space="preserve"> - Equality, Diversity and Inclusion Lead</w:t>
            </w:r>
          </w:p>
        </w:tc>
      </w:tr>
    </w:tbl>
    <w:p w14:paraId="30DD6789" w14:textId="77777777" w:rsidR="00577962" w:rsidRPr="00577962" w:rsidRDefault="00577962" w:rsidP="00577962">
      <w:pPr>
        <w:spacing w:after="0" w:line="240" w:lineRule="auto"/>
        <w:rPr>
          <w:rFonts w:ascii="Arial" w:eastAsia="Calibri" w:hAnsi="Arial" w:cs="Arial"/>
          <w:sz w:val="24"/>
          <w:szCs w:val="24"/>
        </w:rPr>
      </w:pPr>
      <w:r w:rsidRPr="00577962">
        <w:rPr>
          <w:rFonts w:ascii="Arial" w:eastAsia="Calibri" w:hAnsi="Arial" w:cs="Arial"/>
          <w:sz w:val="24"/>
        </w:rPr>
        <w:t xml:space="preserve"> </w:t>
      </w:r>
    </w:p>
    <w:tbl>
      <w:tblPr>
        <w:tblStyle w:val="TableGrid1"/>
        <w:tblW w:w="9640" w:type="dxa"/>
        <w:tblInd w:w="-289" w:type="dxa"/>
        <w:tblLook w:val="04A0" w:firstRow="1" w:lastRow="0" w:firstColumn="1" w:lastColumn="0" w:noHBand="0" w:noVBand="1"/>
      </w:tblPr>
      <w:tblGrid>
        <w:gridCol w:w="4449"/>
        <w:gridCol w:w="529"/>
        <w:gridCol w:w="4095"/>
        <w:gridCol w:w="567"/>
      </w:tblGrid>
      <w:tr w:rsidR="00577962" w:rsidRPr="00577962" w14:paraId="12020298" w14:textId="77777777" w:rsidTr="00D96F64">
        <w:tc>
          <w:tcPr>
            <w:tcW w:w="9640" w:type="dxa"/>
            <w:gridSpan w:val="4"/>
            <w:shd w:val="clear" w:color="auto" w:fill="auto"/>
          </w:tcPr>
          <w:p w14:paraId="38D9AE57" w14:textId="77777777" w:rsidR="00577962" w:rsidRPr="00577962" w:rsidRDefault="00577962" w:rsidP="00577962">
            <w:pPr>
              <w:rPr>
                <w:rFonts w:ascii="Arial" w:eastAsia="Calibri" w:hAnsi="Arial" w:cs="Arial"/>
                <w:b/>
              </w:rPr>
            </w:pPr>
            <w:r w:rsidRPr="00577962">
              <w:rPr>
                <w:rFonts w:ascii="Arial" w:eastAsia="Calibri" w:hAnsi="Arial" w:cs="Arial"/>
                <w:b/>
              </w:rPr>
              <w:t>Strategic ambitions this paper supports (please check the appropriate box)</w:t>
            </w:r>
          </w:p>
        </w:tc>
      </w:tr>
      <w:tr w:rsidR="00577962" w:rsidRPr="00577962" w14:paraId="0FA38515" w14:textId="77777777" w:rsidTr="00D96F64">
        <w:tc>
          <w:tcPr>
            <w:tcW w:w="4449" w:type="dxa"/>
            <w:vAlign w:val="center"/>
          </w:tcPr>
          <w:p w14:paraId="722A4387" w14:textId="77777777" w:rsidR="00577962" w:rsidRPr="00577962" w:rsidRDefault="00577962" w:rsidP="00577962">
            <w:pPr>
              <w:rPr>
                <w:rFonts w:ascii="Arial" w:eastAsia="Calibri" w:hAnsi="Arial" w:cs="Arial"/>
                <w:sz w:val="20"/>
              </w:rPr>
            </w:pPr>
            <w:r w:rsidRPr="00577962">
              <w:rPr>
                <w:rFonts w:ascii="Arial" w:eastAsia="Calibri" w:hAnsi="Arial" w:cs="Arial"/>
                <w:sz w:val="20"/>
              </w:rPr>
              <w:t>Work with service users and carers to provide excellent care and health and wellbeing</w:t>
            </w:r>
          </w:p>
        </w:tc>
        <w:tc>
          <w:tcPr>
            <w:tcW w:w="529" w:type="dxa"/>
            <w:vAlign w:val="center"/>
          </w:tcPr>
          <w:p w14:paraId="5A6D88BA" w14:textId="77777777" w:rsidR="00577962" w:rsidRPr="00577962" w:rsidRDefault="00577962" w:rsidP="00577962">
            <w:pPr>
              <w:jc w:val="center"/>
              <w:rPr>
                <w:rFonts w:ascii="Arial" w:eastAsia="Calibri" w:hAnsi="Arial" w:cs="Arial"/>
                <w:sz w:val="20"/>
              </w:rPr>
            </w:pPr>
          </w:p>
        </w:tc>
        <w:tc>
          <w:tcPr>
            <w:tcW w:w="4095" w:type="dxa"/>
            <w:vAlign w:val="center"/>
          </w:tcPr>
          <w:p w14:paraId="37233CFC" w14:textId="77777777" w:rsidR="00577962" w:rsidRPr="00577962" w:rsidRDefault="00577962" w:rsidP="00577962">
            <w:pPr>
              <w:rPr>
                <w:rFonts w:ascii="Arial" w:eastAsia="Calibri" w:hAnsi="Arial" w:cs="Arial"/>
                <w:sz w:val="20"/>
              </w:rPr>
            </w:pPr>
            <w:r w:rsidRPr="00577962">
              <w:rPr>
                <w:rFonts w:ascii="Arial" w:eastAsia="Calibri" w:hAnsi="Arial" w:cs="Arial"/>
                <w:sz w:val="20"/>
              </w:rPr>
              <w:t>Work together to promote prevention, early intervention and resilience</w:t>
            </w:r>
          </w:p>
        </w:tc>
        <w:tc>
          <w:tcPr>
            <w:tcW w:w="567" w:type="dxa"/>
            <w:vAlign w:val="center"/>
          </w:tcPr>
          <w:p w14:paraId="5DE75B39" w14:textId="77777777" w:rsidR="00577962" w:rsidRPr="00577962" w:rsidRDefault="00577962" w:rsidP="00577962">
            <w:pPr>
              <w:jc w:val="center"/>
              <w:rPr>
                <w:rFonts w:ascii="Arial" w:eastAsia="Calibri" w:hAnsi="Arial" w:cs="Arial"/>
                <w:sz w:val="20"/>
              </w:rPr>
            </w:pPr>
          </w:p>
        </w:tc>
      </w:tr>
      <w:tr w:rsidR="00577962" w:rsidRPr="00577962" w14:paraId="2329E5B9" w14:textId="77777777" w:rsidTr="00D96F64">
        <w:tc>
          <w:tcPr>
            <w:tcW w:w="4449" w:type="dxa"/>
            <w:vAlign w:val="center"/>
          </w:tcPr>
          <w:p w14:paraId="0F353546" w14:textId="77777777" w:rsidR="00577962" w:rsidRPr="00577962" w:rsidRDefault="00577962" w:rsidP="00577962">
            <w:pPr>
              <w:rPr>
                <w:rFonts w:ascii="Arial" w:eastAsia="Calibri" w:hAnsi="Arial" w:cs="Arial"/>
                <w:sz w:val="20"/>
              </w:rPr>
            </w:pPr>
            <w:r w:rsidRPr="00577962">
              <w:rPr>
                <w:rFonts w:ascii="Arial" w:eastAsia="Calibri" w:hAnsi="Arial" w:cs="Arial"/>
                <w:sz w:val="20"/>
              </w:rPr>
              <w:t>To achieve “no health without mental health” and “joined up” services</w:t>
            </w:r>
          </w:p>
        </w:tc>
        <w:tc>
          <w:tcPr>
            <w:tcW w:w="529" w:type="dxa"/>
            <w:vAlign w:val="center"/>
          </w:tcPr>
          <w:p w14:paraId="07496C37" w14:textId="77777777" w:rsidR="00577962" w:rsidRPr="00577962" w:rsidRDefault="00577962" w:rsidP="00577962">
            <w:pPr>
              <w:jc w:val="center"/>
              <w:rPr>
                <w:rFonts w:ascii="Arial" w:eastAsia="Calibri" w:hAnsi="Arial" w:cs="Arial"/>
                <w:sz w:val="20"/>
              </w:rPr>
            </w:pPr>
          </w:p>
        </w:tc>
        <w:tc>
          <w:tcPr>
            <w:tcW w:w="4095" w:type="dxa"/>
            <w:vAlign w:val="center"/>
          </w:tcPr>
          <w:p w14:paraId="26C92CC9" w14:textId="77777777" w:rsidR="00577962" w:rsidRPr="00577962" w:rsidRDefault="00577962" w:rsidP="00577962">
            <w:pPr>
              <w:rPr>
                <w:rFonts w:ascii="Arial" w:eastAsia="Calibri" w:hAnsi="Arial" w:cs="Arial"/>
                <w:sz w:val="20"/>
              </w:rPr>
            </w:pPr>
            <w:r w:rsidRPr="00577962">
              <w:rPr>
                <w:rFonts w:ascii="Arial" w:eastAsia="Calibri" w:hAnsi="Arial" w:cs="Arial"/>
                <w:sz w:val="20"/>
              </w:rPr>
              <w:t xml:space="preserve">Sustainable mental health and disability services delivering real value </w:t>
            </w:r>
          </w:p>
        </w:tc>
        <w:tc>
          <w:tcPr>
            <w:tcW w:w="567" w:type="dxa"/>
            <w:vAlign w:val="center"/>
          </w:tcPr>
          <w:p w14:paraId="0EC7D458" w14:textId="77777777" w:rsidR="00577962" w:rsidRPr="00577962" w:rsidRDefault="00577962" w:rsidP="00577962">
            <w:pPr>
              <w:jc w:val="center"/>
              <w:rPr>
                <w:rFonts w:ascii="Arial" w:eastAsia="Calibri" w:hAnsi="Arial" w:cs="Arial"/>
                <w:sz w:val="20"/>
              </w:rPr>
            </w:pPr>
          </w:p>
        </w:tc>
      </w:tr>
      <w:tr w:rsidR="00577962" w:rsidRPr="00577962" w14:paraId="716AEEB1" w14:textId="77777777" w:rsidTr="00D96F64">
        <w:tc>
          <w:tcPr>
            <w:tcW w:w="4449" w:type="dxa"/>
            <w:vAlign w:val="center"/>
          </w:tcPr>
          <w:p w14:paraId="195EB510" w14:textId="77777777" w:rsidR="00577962" w:rsidRPr="00577962" w:rsidRDefault="00577962" w:rsidP="00577962">
            <w:pPr>
              <w:rPr>
                <w:rFonts w:ascii="Arial" w:eastAsia="Calibri" w:hAnsi="Arial" w:cs="Arial"/>
                <w:sz w:val="20"/>
              </w:rPr>
            </w:pPr>
            <w:r w:rsidRPr="00577962">
              <w:rPr>
                <w:rFonts w:ascii="Arial" w:eastAsia="Calibri" w:hAnsi="Arial" w:cs="Arial"/>
                <w:sz w:val="20"/>
              </w:rPr>
              <w:t>To be a centre of excellence for mental health and disability</w:t>
            </w:r>
          </w:p>
        </w:tc>
        <w:tc>
          <w:tcPr>
            <w:tcW w:w="529" w:type="dxa"/>
            <w:vAlign w:val="center"/>
          </w:tcPr>
          <w:p w14:paraId="6154EBE5" w14:textId="77777777" w:rsidR="00577962" w:rsidRPr="00577962" w:rsidRDefault="00577962" w:rsidP="00577962">
            <w:pPr>
              <w:jc w:val="center"/>
              <w:rPr>
                <w:rFonts w:ascii="Arial" w:eastAsia="Calibri" w:hAnsi="Arial" w:cs="Arial"/>
                <w:sz w:val="20"/>
              </w:rPr>
            </w:pPr>
          </w:p>
        </w:tc>
        <w:tc>
          <w:tcPr>
            <w:tcW w:w="4095" w:type="dxa"/>
            <w:vAlign w:val="center"/>
          </w:tcPr>
          <w:p w14:paraId="11EA9C2B" w14:textId="77777777" w:rsidR="00577962" w:rsidRPr="00577962" w:rsidRDefault="00577962" w:rsidP="00577962">
            <w:pPr>
              <w:rPr>
                <w:rFonts w:ascii="Arial" w:eastAsia="Calibri" w:hAnsi="Arial" w:cs="Arial"/>
                <w:sz w:val="20"/>
              </w:rPr>
            </w:pPr>
            <w:r w:rsidRPr="00577962">
              <w:rPr>
                <w:rFonts w:ascii="Arial" w:eastAsia="Calibri" w:hAnsi="Arial" w:cs="Arial"/>
                <w:sz w:val="20"/>
              </w:rPr>
              <w:t>The Trust to be regarded as a great place to work</w:t>
            </w:r>
          </w:p>
        </w:tc>
        <w:tc>
          <w:tcPr>
            <w:tcW w:w="567" w:type="dxa"/>
            <w:vAlign w:val="center"/>
          </w:tcPr>
          <w:p w14:paraId="7075C747" w14:textId="1074B06C" w:rsidR="00577962" w:rsidRPr="00577962" w:rsidRDefault="0013260D" w:rsidP="00577962">
            <w:pPr>
              <w:jc w:val="center"/>
              <w:rPr>
                <w:rFonts w:ascii="Arial" w:eastAsia="Calibri" w:hAnsi="Arial" w:cs="Arial"/>
                <w:sz w:val="20"/>
              </w:rPr>
            </w:pPr>
            <w:r>
              <w:rPr>
                <w:rFonts w:ascii="Arial" w:eastAsia="Calibri" w:hAnsi="Arial" w:cs="Arial"/>
                <w:sz w:val="20"/>
              </w:rPr>
              <w:t>X</w:t>
            </w:r>
          </w:p>
        </w:tc>
      </w:tr>
    </w:tbl>
    <w:p w14:paraId="2E53FEE7" w14:textId="4F20BCAB" w:rsidR="00577962" w:rsidRDefault="00577962" w:rsidP="00577962">
      <w:pPr>
        <w:spacing w:after="0" w:line="240" w:lineRule="auto"/>
        <w:rPr>
          <w:rFonts w:ascii="Arial" w:eastAsia="Calibri" w:hAnsi="Arial" w:cs="Arial"/>
          <w:sz w:val="24"/>
        </w:rPr>
      </w:pPr>
    </w:p>
    <w:tbl>
      <w:tblPr>
        <w:tblStyle w:val="TableGrid1"/>
        <w:tblW w:w="9640" w:type="dxa"/>
        <w:tblInd w:w="-289" w:type="dxa"/>
        <w:tblLook w:val="04A0" w:firstRow="1" w:lastRow="0" w:firstColumn="1" w:lastColumn="0" w:noHBand="0" w:noVBand="1"/>
      </w:tblPr>
      <w:tblGrid>
        <w:gridCol w:w="3451"/>
        <w:gridCol w:w="1274"/>
        <w:gridCol w:w="276"/>
        <w:gridCol w:w="3080"/>
        <w:gridCol w:w="1559"/>
      </w:tblGrid>
      <w:tr w:rsidR="00D96F64" w:rsidRPr="007411F7" w14:paraId="3447E58F" w14:textId="77777777" w:rsidTr="00D96F64">
        <w:tc>
          <w:tcPr>
            <w:tcW w:w="4725" w:type="dxa"/>
            <w:gridSpan w:val="2"/>
          </w:tcPr>
          <w:p w14:paraId="120816C3" w14:textId="77777777" w:rsidR="00D96F64" w:rsidRPr="007411F7" w:rsidRDefault="00D96F64" w:rsidP="00F7333B">
            <w:pPr>
              <w:rPr>
                <w:rFonts w:ascii="Arial" w:eastAsia="Calibri" w:hAnsi="Arial" w:cs="Arial"/>
                <w:b/>
              </w:rPr>
            </w:pPr>
            <w:r w:rsidRPr="007411F7">
              <w:rPr>
                <w:rFonts w:ascii="Arial" w:eastAsia="Calibri" w:hAnsi="Arial" w:cs="Arial"/>
                <w:b/>
              </w:rPr>
              <w:t>Board Sub-committee meetings where this item has been considered (specify date)</w:t>
            </w:r>
          </w:p>
        </w:tc>
        <w:tc>
          <w:tcPr>
            <w:tcW w:w="276" w:type="dxa"/>
            <w:tcBorders>
              <w:top w:val="nil"/>
              <w:bottom w:val="nil"/>
            </w:tcBorders>
          </w:tcPr>
          <w:p w14:paraId="5B5DF76E" w14:textId="77777777" w:rsidR="00D96F64" w:rsidRPr="007411F7" w:rsidRDefault="00D96F64" w:rsidP="00F7333B">
            <w:pPr>
              <w:rPr>
                <w:rFonts w:ascii="Arial" w:eastAsia="Calibri" w:hAnsi="Arial" w:cs="Arial"/>
                <w:b/>
              </w:rPr>
            </w:pPr>
          </w:p>
        </w:tc>
        <w:tc>
          <w:tcPr>
            <w:tcW w:w="4639" w:type="dxa"/>
            <w:gridSpan w:val="2"/>
          </w:tcPr>
          <w:p w14:paraId="3EEA0ED5" w14:textId="77777777" w:rsidR="00D96F64" w:rsidRPr="007411F7" w:rsidRDefault="00D96F64" w:rsidP="00F7333B">
            <w:pPr>
              <w:rPr>
                <w:rFonts w:ascii="Arial" w:eastAsia="Calibri" w:hAnsi="Arial" w:cs="Arial"/>
                <w:b/>
              </w:rPr>
            </w:pPr>
            <w:r w:rsidRPr="007411F7">
              <w:rPr>
                <w:rFonts w:ascii="Arial" w:eastAsia="Calibri" w:hAnsi="Arial" w:cs="Arial"/>
                <w:b/>
              </w:rPr>
              <w:t>Management Group meetings where this item has been considered (specify date)</w:t>
            </w:r>
          </w:p>
        </w:tc>
      </w:tr>
      <w:tr w:rsidR="00D96F64" w:rsidRPr="007411F7" w14:paraId="5AEEA863" w14:textId="77777777" w:rsidTr="00D96F64">
        <w:tc>
          <w:tcPr>
            <w:tcW w:w="3451" w:type="dxa"/>
          </w:tcPr>
          <w:p w14:paraId="453E732B" w14:textId="77777777" w:rsidR="00D96F64" w:rsidRPr="007411F7" w:rsidRDefault="00D96F64" w:rsidP="00F7333B">
            <w:pPr>
              <w:rPr>
                <w:rFonts w:ascii="Arial" w:eastAsia="Calibri" w:hAnsi="Arial" w:cs="Arial"/>
              </w:rPr>
            </w:pPr>
            <w:r w:rsidRPr="007411F7">
              <w:rPr>
                <w:rFonts w:ascii="Arial" w:eastAsia="Calibri" w:hAnsi="Arial" w:cs="Arial"/>
              </w:rPr>
              <w:t>Quality and Performance</w:t>
            </w:r>
          </w:p>
          <w:p w14:paraId="07D518C2" w14:textId="77777777" w:rsidR="00D96F64" w:rsidRPr="007411F7" w:rsidRDefault="00D96F64" w:rsidP="00F7333B">
            <w:pPr>
              <w:rPr>
                <w:rFonts w:ascii="Arial" w:eastAsia="Calibri" w:hAnsi="Arial" w:cs="Arial"/>
              </w:rPr>
            </w:pPr>
          </w:p>
        </w:tc>
        <w:tc>
          <w:tcPr>
            <w:tcW w:w="1274" w:type="dxa"/>
          </w:tcPr>
          <w:p w14:paraId="15237FAE" w14:textId="77777777" w:rsidR="00D96F64" w:rsidRPr="007411F7" w:rsidRDefault="00D96F64" w:rsidP="00F7333B">
            <w:pPr>
              <w:jc w:val="center"/>
              <w:rPr>
                <w:rFonts w:ascii="Arial" w:eastAsia="Calibri" w:hAnsi="Arial" w:cs="Arial"/>
              </w:rPr>
            </w:pPr>
          </w:p>
        </w:tc>
        <w:tc>
          <w:tcPr>
            <w:tcW w:w="276" w:type="dxa"/>
            <w:tcBorders>
              <w:top w:val="nil"/>
              <w:bottom w:val="nil"/>
            </w:tcBorders>
          </w:tcPr>
          <w:p w14:paraId="0DE5E857" w14:textId="77777777" w:rsidR="00D96F64" w:rsidRPr="007411F7" w:rsidRDefault="00D96F64" w:rsidP="00F7333B">
            <w:pPr>
              <w:rPr>
                <w:rFonts w:ascii="Arial" w:eastAsia="Calibri" w:hAnsi="Arial" w:cs="Arial"/>
              </w:rPr>
            </w:pPr>
          </w:p>
        </w:tc>
        <w:tc>
          <w:tcPr>
            <w:tcW w:w="3080" w:type="dxa"/>
          </w:tcPr>
          <w:p w14:paraId="480F18F0" w14:textId="77777777" w:rsidR="00D96F64" w:rsidRPr="007411F7" w:rsidRDefault="00D96F64" w:rsidP="00F7333B">
            <w:pPr>
              <w:rPr>
                <w:rFonts w:ascii="Arial" w:eastAsia="Calibri" w:hAnsi="Arial" w:cs="Arial"/>
              </w:rPr>
            </w:pPr>
            <w:r w:rsidRPr="007411F7">
              <w:rPr>
                <w:rFonts w:ascii="Arial" w:eastAsia="Calibri" w:hAnsi="Arial" w:cs="Arial"/>
              </w:rPr>
              <w:t>Executive Team</w:t>
            </w:r>
          </w:p>
        </w:tc>
        <w:tc>
          <w:tcPr>
            <w:tcW w:w="1559" w:type="dxa"/>
          </w:tcPr>
          <w:p w14:paraId="063C8609" w14:textId="6E03AE2E" w:rsidR="00D96F64" w:rsidRPr="007411F7" w:rsidRDefault="00D96F64" w:rsidP="00F7333B">
            <w:pPr>
              <w:jc w:val="center"/>
              <w:rPr>
                <w:rFonts w:ascii="Arial" w:eastAsia="Calibri" w:hAnsi="Arial" w:cs="Arial"/>
              </w:rPr>
            </w:pPr>
          </w:p>
        </w:tc>
      </w:tr>
      <w:tr w:rsidR="00D96F64" w:rsidRPr="007411F7" w14:paraId="03BB3B31" w14:textId="77777777" w:rsidTr="00D96F64">
        <w:tc>
          <w:tcPr>
            <w:tcW w:w="3451" w:type="dxa"/>
          </w:tcPr>
          <w:p w14:paraId="10BEC2BF" w14:textId="77777777" w:rsidR="00D96F64" w:rsidRPr="007411F7" w:rsidRDefault="00D96F64" w:rsidP="00F7333B">
            <w:pPr>
              <w:rPr>
                <w:rFonts w:ascii="Arial" w:eastAsia="Calibri" w:hAnsi="Arial" w:cs="Arial"/>
              </w:rPr>
            </w:pPr>
            <w:r w:rsidRPr="007411F7">
              <w:rPr>
                <w:rFonts w:ascii="Arial" w:eastAsia="Calibri" w:hAnsi="Arial" w:cs="Arial"/>
              </w:rPr>
              <w:t xml:space="preserve">Audit </w:t>
            </w:r>
          </w:p>
          <w:p w14:paraId="0141D8A1" w14:textId="77777777" w:rsidR="00D96F64" w:rsidRPr="007411F7" w:rsidRDefault="00D96F64" w:rsidP="00F7333B">
            <w:pPr>
              <w:rPr>
                <w:rFonts w:ascii="Arial" w:eastAsia="Calibri" w:hAnsi="Arial" w:cs="Arial"/>
              </w:rPr>
            </w:pPr>
          </w:p>
        </w:tc>
        <w:tc>
          <w:tcPr>
            <w:tcW w:w="1274" w:type="dxa"/>
            <w:tcBorders>
              <w:top w:val="nil"/>
            </w:tcBorders>
          </w:tcPr>
          <w:p w14:paraId="562057A7" w14:textId="77777777" w:rsidR="00D96F64" w:rsidRPr="007411F7" w:rsidRDefault="00D96F64" w:rsidP="00F7333B">
            <w:pPr>
              <w:jc w:val="center"/>
              <w:rPr>
                <w:rFonts w:ascii="Arial" w:eastAsia="Calibri" w:hAnsi="Arial" w:cs="Arial"/>
              </w:rPr>
            </w:pPr>
          </w:p>
        </w:tc>
        <w:tc>
          <w:tcPr>
            <w:tcW w:w="276" w:type="dxa"/>
            <w:tcBorders>
              <w:top w:val="nil"/>
              <w:bottom w:val="nil"/>
            </w:tcBorders>
          </w:tcPr>
          <w:p w14:paraId="31CF803B" w14:textId="77777777" w:rsidR="00D96F64" w:rsidRPr="007411F7" w:rsidRDefault="00D96F64" w:rsidP="00F7333B">
            <w:pPr>
              <w:rPr>
                <w:rFonts w:ascii="Arial" w:eastAsia="Calibri" w:hAnsi="Arial" w:cs="Arial"/>
              </w:rPr>
            </w:pPr>
          </w:p>
        </w:tc>
        <w:tc>
          <w:tcPr>
            <w:tcW w:w="3080" w:type="dxa"/>
          </w:tcPr>
          <w:p w14:paraId="00771F38" w14:textId="77777777" w:rsidR="00D96F64" w:rsidRPr="007411F7" w:rsidRDefault="00D96F64" w:rsidP="00F7333B">
            <w:pPr>
              <w:rPr>
                <w:rFonts w:ascii="Arial" w:eastAsia="Calibri" w:hAnsi="Arial" w:cs="Arial"/>
              </w:rPr>
            </w:pPr>
            <w:r w:rsidRPr="007411F7">
              <w:rPr>
                <w:rFonts w:ascii="Arial" w:eastAsia="Calibri" w:hAnsi="Arial" w:cs="Arial"/>
              </w:rPr>
              <w:t>Trust Leadership Team (TLT)</w:t>
            </w:r>
          </w:p>
        </w:tc>
        <w:tc>
          <w:tcPr>
            <w:tcW w:w="1559" w:type="dxa"/>
          </w:tcPr>
          <w:p w14:paraId="74F55B44" w14:textId="2740D97F" w:rsidR="00D96F64" w:rsidRPr="007411F7" w:rsidRDefault="00D96F64" w:rsidP="00D96F64">
            <w:pPr>
              <w:jc w:val="center"/>
              <w:rPr>
                <w:rFonts w:ascii="Arial" w:eastAsia="Calibri" w:hAnsi="Arial" w:cs="Arial"/>
              </w:rPr>
            </w:pPr>
            <w:r>
              <w:rPr>
                <w:rFonts w:ascii="Arial" w:eastAsia="Calibri" w:hAnsi="Arial" w:cs="Arial"/>
              </w:rPr>
              <w:t>23.1.23</w:t>
            </w:r>
          </w:p>
        </w:tc>
      </w:tr>
      <w:tr w:rsidR="00D96F64" w:rsidRPr="007411F7" w14:paraId="03F9BBC4" w14:textId="77777777" w:rsidTr="00D96F64">
        <w:trPr>
          <w:trHeight w:val="439"/>
        </w:trPr>
        <w:tc>
          <w:tcPr>
            <w:tcW w:w="3451" w:type="dxa"/>
          </w:tcPr>
          <w:p w14:paraId="40DA6CA4" w14:textId="77777777" w:rsidR="00D96F64" w:rsidRPr="007411F7" w:rsidRDefault="00D96F64" w:rsidP="00F7333B">
            <w:pPr>
              <w:rPr>
                <w:rFonts w:ascii="Arial" w:eastAsia="Calibri" w:hAnsi="Arial" w:cs="Arial"/>
              </w:rPr>
            </w:pPr>
            <w:r w:rsidRPr="007411F7">
              <w:rPr>
                <w:rFonts w:ascii="Arial" w:eastAsia="Calibri" w:hAnsi="Arial" w:cs="Arial"/>
              </w:rPr>
              <w:t>Mental Health Legislation</w:t>
            </w:r>
          </w:p>
        </w:tc>
        <w:tc>
          <w:tcPr>
            <w:tcW w:w="1274" w:type="dxa"/>
          </w:tcPr>
          <w:p w14:paraId="16869F01" w14:textId="77777777" w:rsidR="00D96F64" w:rsidRPr="007411F7" w:rsidRDefault="00D96F64" w:rsidP="00F7333B">
            <w:pPr>
              <w:rPr>
                <w:rFonts w:ascii="Arial" w:eastAsia="Calibri" w:hAnsi="Arial" w:cs="Arial"/>
              </w:rPr>
            </w:pPr>
          </w:p>
        </w:tc>
        <w:tc>
          <w:tcPr>
            <w:tcW w:w="276" w:type="dxa"/>
            <w:tcBorders>
              <w:top w:val="nil"/>
              <w:bottom w:val="nil"/>
            </w:tcBorders>
          </w:tcPr>
          <w:p w14:paraId="458EB185" w14:textId="77777777" w:rsidR="00D96F64" w:rsidRPr="007411F7" w:rsidRDefault="00D96F64" w:rsidP="00F7333B">
            <w:pPr>
              <w:rPr>
                <w:rFonts w:ascii="Arial" w:eastAsia="Calibri" w:hAnsi="Arial" w:cs="Arial"/>
              </w:rPr>
            </w:pPr>
          </w:p>
        </w:tc>
        <w:tc>
          <w:tcPr>
            <w:tcW w:w="3080" w:type="dxa"/>
          </w:tcPr>
          <w:p w14:paraId="0E3D1216" w14:textId="77777777" w:rsidR="00D96F64" w:rsidRPr="007411F7" w:rsidRDefault="00D96F64" w:rsidP="00F7333B">
            <w:pPr>
              <w:rPr>
                <w:rFonts w:ascii="Arial" w:eastAsia="Calibri" w:hAnsi="Arial" w:cs="Arial"/>
              </w:rPr>
            </w:pPr>
            <w:r w:rsidRPr="007411F7">
              <w:rPr>
                <w:rFonts w:ascii="Arial" w:eastAsia="Calibri" w:hAnsi="Arial" w:cs="Arial"/>
              </w:rPr>
              <w:t>Trust Safety Group (TSG)</w:t>
            </w:r>
          </w:p>
        </w:tc>
        <w:tc>
          <w:tcPr>
            <w:tcW w:w="1559" w:type="dxa"/>
          </w:tcPr>
          <w:p w14:paraId="57EB9681" w14:textId="77777777" w:rsidR="00D96F64" w:rsidRPr="007411F7" w:rsidRDefault="00D96F64" w:rsidP="00F7333B">
            <w:pPr>
              <w:jc w:val="center"/>
              <w:rPr>
                <w:rFonts w:ascii="Arial" w:eastAsia="Calibri" w:hAnsi="Arial" w:cs="Arial"/>
              </w:rPr>
            </w:pPr>
          </w:p>
        </w:tc>
      </w:tr>
      <w:tr w:rsidR="00D96F64" w:rsidRPr="007411F7" w14:paraId="5705A9B7" w14:textId="77777777" w:rsidTr="00D96F64">
        <w:tc>
          <w:tcPr>
            <w:tcW w:w="3451" w:type="dxa"/>
          </w:tcPr>
          <w:p w14:paraId="1EA50D12" w14:textId="77777777" w:rsidR="00D96F64" w:rsidRPr="007411F7" w:rsidRDefault="00D96F64" w:rsidP="00F7333B">
            <w:pPr>
              <w:rPr>
                <w:rFonts w:ascii="Arial" w:eastAsia="Calibri" w:hAnsi="Arial" w:cs="Arial"/>
              </w:rPr>
            </w:pPr>
            <w:r w:rsidRPr="007411F7">
              <w:rPr>
                <w:rFonts w:ascii="Arial" w:eastAsia="Calibri" w:hAnsi="Arial" w:cs="Arial"/>
              </w:rPr>
              <w:t>People Committee</w:t>
            </w:r>
          </w:p>
          <w:p w14:paraId="3CF32E3A" w14:textId="77777777" w:rsidR="00D96F64" w:rsidRPr="007411F7" w:rsidRDefault="00D96F64" w:rsidP="00F7333B">
            <w:pPr>
              <w:rPr>
                <w:rFonts w:ascii="Arial" w:eastAsia="Calibri" w:hAnsi="Arial" w:cs="Arial"/>
              </w:rPr>
            </w:pPr>
          </w:p>
        </w:tc>
        <w:tc>
          <w:tcPr>
            <w:tcW w:w="1274" w:type="dxa"/>
          </w:tcPr>
          <w:p w14:paraId="584133DF" w14:textId="5746C3B7" w:rsidR="00D96F64" w:rsidRPr="007411F7" w:rsidRDefault="00D96F64" w:rsidP="00D96F64">
            <w:pPr>
              <w:jc w:val="center"/>
              <w:rPr>
                <w:rFonts w:ascii="Arial" w:eastAsia="Calibri" w:hAnsi="Arial" w:cs="Arial"/>
              </w:rPr>
            </w:pPr>
            <w:r>
              <w:rPr>
                <w:rFonts w:ascii="Arial" w:eastAsia="Calibri" w:hAnsi="Arial" w:cs="Arial"/>
              </w:rPr>
              <w:t>25.1.23</w:t>
            </w:r>
          </w:p>
        </w:tc>
        <w:tc>
          <w:tcPr>
            <w:tcW w:w="276" w:type="dxa"/>
            <w:tcBorders>
              <w:top w:val="nil"/>
              <w:bottom w:val="nil"/>
            </w:tcBorders>
          </w:tcPr>
          <w:p w14:paraId="586FD2D1" w14:textId="77777777" w:rsidR="00D96F64" w:rsidRPr="007411F7" w:rsidRDefault="00D96F64" w:rsidP="00F7333B">
            <w:pPr>
              <w:rPr>
                <w:rFonts w:ascii="Arial" w:eastAsia="Calibri" w:hAnsi="Arial" w:cs="Arial"/>
              </w:rPr>
            </w:pPr>
          </w:p>
        </w:tc>
        <w:tc>
          <w:tcPr>
            <w:tcW w:w="3080" w:type="dxa"/>
          </w:tcPr>
          <w:p w14:paraId="54F78FD7" w14:textId="77777777" w:rsidR="00D96F64" w:rsidRPr="007411F7" w:rsidRDefault="00D96F64" w:rsidP="00F7333B">
            <w:pPr>
              <w:rPr>
                <w:rFonts w:ascii="Arial" w:eastAsia="Calibri" w:hAnsi="Arial" w:cs="Arial"/>
              </w:rPr>
            </w:pPr>
            <w:r w:rsidRPr="007411F7">
              <w:rPr>
                <w:rFonts w:ascii="Arial" w:eastAsia="Calibri" w:hAnsi="Arial" w:cs="Arial"/>
              </w:rPr>
              <w:t>Other i.e. external meeting</w:t>
            </w:r>
          </w:p>
        </w:tc>
        <w:tc>
          <w:tcPr>
            <w:tcW w:w="1559" w:type="dxa"/>
          </w:tcPr>
          <w:p w14:paraId="385604DF" w14:textId="77777777" w:rsidR="00D96F64" w:rsidRPr="007411F7" w:rsidRDefault="00D96F64" w:rsidP="00F7333B">
            <w:pPr>
              <w:rPr>
                <w:rFonts w:ascii="Arial" w:eastAsia="Calibri" w:hAnsi="Arial" w:cs="Arial"/>
              </w:rPr>
            </w:pPr>
          </w:p>
        </w:tc>
      </w:tr>
      <w:tr w:rsidR="00D96F64" w:rsidRPr="007411F7" w14:paraId="4C5B94B6" w14:textId="77777777" w:rsidTr="00D96F64">
        <w:tc>
          <w:tcPr>
            <w:tcW w:w="3451" w:type="dxa"/>
          </w:tcPr>
          <w:p w14:paraId="0F4CAEFF" w14:textId="77777777" w:rsidR="00D96F64" w:rsidRPr="007411F7" w:rsidRDefault="00D96F64" w:rsidP="00F7333B">
            <w:pPr>
              <w:rPr>
                <w:rFonts w:ascii="Arial" w:eastAsia="Calibri" w:hAnsi="Arial" w:cs="Arial"/>
              </w:rPr>
            </w:pPr>
            <w:r w:rsidRPr="007411F7">
              <w:rPr>
                <w:rFonts w:ascii="Arial" w:eastAsia="Calibri" w:hAnsi="Arial" w:cs="Arial"/>
              </w:rPr>
              <w:t>Resource and Business Assurance</w:t>
            </w:r>
          </w:p>
        </w:tc>
        <w:tc>
          <w:tcPr>
            <w:tcW w:w="1274" w:type="dxa"/>
          </w:tcPr>
          <w:p w14:paraId="0BE21421" w14:textId="77777777" w:rsidR="00D96F64" w:rsidRPr="007411F7" w:rsidRDefault="00D96F64" w:rsidP="00F7333B">
            <w:pPr>
              <w:rPr>
                <w:rFonts w:ascii="Arial" w:eastAsia="Calibri" w:hAnsi="Arial" w:cs="Arial"/>
              </w:rPr>
            </w:pPr>
          </w:p>
        </w:tc>
        <w:tc>
          <w:tcPr>
            <w:tcW w:w="276" w:type="dxa"/>
            <w:tcBorders>
              <w:top w:val="nil"/>
              <w:bottom w:val="nil"/>
            </w:tcBorders>
          </w:tcPr>
          <w:p w14:paraId="7B2ADEE5" w14:textId="77777777" w:rsidR="00D96F64" w:rsidRPr="007411F7" w:rsidRDefault="00D96F64" w:rsidP="00F7333B">
            <w:pPr>
              <w:rPr>
                <w:rFonts w:ascii="Arial" w:eastAsia="Calibri" w:hAnsi="Arial" w:cs="Arial"/>
              </w:rPr>
            </w:pPr>
          </w:p>
        </w:tc>
        <w:tc>
          <w:tcPr>
            <w:tcW w:w="3080" w:type="dxa"/>
          </w:tcPr>
          <w:p w14:paraId="36B5FE23" w14:textId="77777777" w:rsidR="00D96F64" w:rsidRPr="007411F7" w:rsidRDefault="00D96F64" w:rsidP="00F7333B">
            <w:pPr>
              <w:rPr>
                <w:rFonts w:ascii="Arial" w:eastAsia="Calibri" w:hAnsi="Arial" w:cs="Arial"/>
              </w:rPr>
            </w:pPr>
          </w:p>
          <w:p w14:paraId="7EE363CC" w14:textId="77777777" w:rsidR="00D96F64" w:rsidRPr="007411F7" w:rsidRDefault="00D96F64" w:rsidP="00F7333B">
            <w:pPr>
              <w:rPr>
                <w:rFonts w:ascii="Arial" w:eastAsia="Calibri" w:hAnsi="Arial" w:cs="Arial"/>
              </w:rPr>
            </w:pPr>
          </w:p>
        </w:tc>
        <w:tc>
          <w:tcPr>
            <w:tcW w:w="1559" w:type="dxa"/>
          </w:tcPr>
          <w:p w14:paraId="74787634" w14:textId="77777777" w:rsidR="00D96F64" w:rsidRPr="007411F7" w:rsidRDefault="00D96F64" w:rsidP="00F7333B">
            <w:pPr>
              <w:rPr>
                <w:rFonts w:ascii="Arial" w:eastAsia="Calibri" w:hAnsi="Arial" w:cs="Arial"/>
              </w:rPr>
            </w:pPr>
          </w:p>
        </w:tc>
      </w:tr>
      <w:tr w:rsidR="00D96F64" w:rsidRPr="007411F7" w14:paraId="159E7863" w14:textId="77777777" w:rsidTr="00D96F64">
        <w:tc>
          <w:tcPr>
            <w:tcW w:w="3451" w:type="dxa"/>
          </w:tcPr>
          <w:p w14:paraId="7064F2A4" w14:textId="77777777" w:rsidR="00D96F64" w:rsidRPr="007411F7" w:rsidRDefault="00D96F64" w:rsidP="00F7333B">
            <w:pPr>
              <w:rPr>
                <w:rFonts w:ascii="Arial" w:eastAsia="Calibri" w:hAnsi="Arial" w:cs="Arial"/>
              </w:rPr>
            </w:pPr>
            <w:r w:rsidRPr="007411F7">
              <w:rPr>
                <w:rFonts w:ascii="Arial" w:eastAsia="Calibri" w:hAnsi="Arial" w:cs="Arial"/>
              </w:rPr>
              <w:t>Charitable Funds Committee</w:t>
            </w:r>
          </w:p>
          <w:p w14:paraId="6BBD6653" w14:textId="77777777" w:rsidR="00D96F64" w:rsidRPr="007411F7" w:rsidRDefault="00D96F64" w:rsidP="00F7333B">
            <w:pPr>
              <w:rPr>
                <w:rFonts w:ascii="Arial" w:eastAsia="Calibri" w:hAnsi="Arial" w:cs="Arial"/>
              </w:rPr>
            </w:pPr>
          </w:p>
        </w:tc>
        <w:tc>
          <w:tcPr>
            <w:tcW w:w="1274" w:type="dxa"/>
          </w:tcPr>
          <w:p w14:paraId="5C0B7BF5" w14:textId="77777777" w:rsidR="00D96F64" w:rsidRPr="007411F7" w:rsidRDefault="00D96F64" w:rsidP="00F7333B">
            <w:pPr>
              <w:jc w:val="center"/>
              <w:rPr>
                <w:rFonts w:ascii="Arial" w:eastAsia="Calibri" w:hAnsi="Arial" w:cs="Arial"/>
              </w:rPr>
            </w:pPr>
          </w:p>
        </w:tc>
        <w:tc>
          <w:tcPr>
            <w:tcW w:w="276" w:type="dxa"/>
            <w:tcBorders>
              <w:top w:val="nil"/>
              <w:bottom w:val="nil"/>
            </w:tcBorders>
          </w:tcPr>
          <w:p w14:paraId="3F9F3EF2" w14:textId="77777777" w:rsidR="00D96F64" w:rsidRPr="007411F7" w:rsidRDefault="00D96F64" w:rsidP="00F7333B">
            <w:pPr>
              <w:rPr>
                <w:rFonts w:ascii="Arial" w:eastAsia="Calibri" w:hAnsi="Arial" w:cs="Arial"/>
              </w:rPr>
            </w:pPr>
          </w:p>
        </w:tc>
        <w:tc>
          <w:tcPr>
            <w:tcW w:w="3080" w:type="dxa"/>
          </w:tcPr>
          <w:p w14:paraId="5B3E94B1" w14:textId="77777777" w:rsidR="00D96F64" w:rsidRPr="007411F7" w:rsidRDefault="00D96F64" w:rsidP="00F7333B">
            <w:pPr>
              <w:rPr>
                <w:rFonts w:ascii="Arial" w:eastAsia="Calibri" w:hAnsi="Arial" w:cs="Arial"/>
              </w:rPr>
            </w:pPr>
          </w:p>
        </w:tc>
        <w:tc>
          <w:tcPr>
            <w:tcW w:w="1559" w:type="dxa"/>
          </w:tcPr>
          <w:p w14:paraId="0ADB2EC8" w14:textId="77777777" w:rsidR="00D96F64" w:rsidRPr="007411F7" w:rsidRDefault="00D96F64" w:rsidP="00F7333B">
            <w:pPr>
              <w:rPr>
                <w:rFonts w:ascii="Arial" w:eastAsia="Calibri" w:hAnsi="Arial" w:cs="Arial"/>
              </w:rPr>
            </w:pPr>
          </w:p>
        </w:tc>
      </w:tr>
      <w:tr w:rsidR="00D96F64" w:rsidRPr="007411F7" w14:paraId="5D5BCBD8" w14:textId="77777777" w:rsidTr="00D96F64">
        <w:tc>
          <w:tcPr>
            <w:tcW w:w="3451" w:type="dxa"/>
          </w:tcPr>
          <w:p w14:paraId="7B7D3D9C" w14:textId="77777777" w:rsidR="00D96F64" w:rsidRPr="007411F7" w:rsidRDefault="00D96F64" w:rsidP="00F7333B">
            <w:pPr>
              <w:rPr>
                <w:rFonts w:ascii="Arial" w:eastAsia="Calibri" w:hAnsi="Arial" w:cs="Arial"/>
              </w:rPr>
            </w:pPr>
            <w:r w:rsidRPr="007411F7">
              <w:rPr>
                <w:rFonts w:ascii="Arial" w:eastAsia="Calibri" w:hAnsi="Arial" w:cs="Arial"/>
              </w:rPr>
              <w:t>Provider Collaborative, Lead Provider Committee</w:t>
            </w:r>
          </w:p>
        </w:tc>
        <w:tc>
          <w:tcPr>
            <w:tcW w:w="1274" w:type="dxa"/>
          </w:tcPr>
          <w:p w14:paraId="0EB18D19" w14:textId="77777777" w:rsidR="00D96F64" w:rsidRPr="007411F7" w:rsidRDefault="00D96F64" w:rsidP="00F7333B">
            <w:pPr>
              <w:jc w:val="center"/>
              <w:rPr>
                <w:rFonts w:ascii="Arial" w:eastAsia="Calibri" w:hAnsi="Arial" w:cs="Arial"/>
              </w:rPr>
            </w:pPr>
          </w:p>
        </w:tc>
        <w:tc>
          <w:tcPr>
            <w:tcW w:w="276" w:type="dxa"/>
            <w:tcBorders>
              <w:top w:val="nil"/>
              <w:bottom w:val="nil"/>
            </w:tcBorders>
          </w:tcPr>
          <w:p w14:paraId="4C7EC2A3" w14:textId="77777777" w:rsidR="00D96F64" w:rsidRPr="007411F7" w:rsidRDefault="00D96F64" w:rsidP="00F7333B">
            <w:pPr>
              <w:rPr>
                <w:rFonts w:ascii="Arial" w:eastAsia="Calibri" w:hAnsi="Arial" w:cs="Arial"/>
              </w:rPr>
            </w:pPr>
          </w:p>
        </w:tc>
        <w:tc>
          <w:tcPr>
            <w:tcW w:w="3080" w:type="dxa"/>
          </w:tcPr>
          <w:p w14:paraId="35FDB6CA" w14:textId="77777777" w:rsidR="00D96F64" w:rsidRPr="007411F7" w:rsidRDefault="00D96F64" w:rsidP="00F7333B">
            <w:pPr>
              <w:rPr>
                <w:rFonts w:ascii="Arial" w:eastAsia="Calibri" w:hAnsi="Arial" w:cs="Arial"/>
              </w:rPr>
            </w:pPr>
          </w:p>
        </w:tc>
        <w:tc>
          <w:tcPr>
            <w:tcW w:w="1559" w:type="dxa"/>
          </w:tcPr>
          <w:p w14:paraId="615A3979" w14:textId="77777777" w:rsidR="00D96F64" w:rsidRPr="007411F7" w:rsidRDefault="00D96F64" w:rsidP="00F7333B">
            <w:pPr>
              <w:rPr>
                <w:rFonts w:ascii="Arial" w:eastAsia="Calibri" w:hAnsi="Arial" w:cs="Arial"/>
              </w:rPr>
            </w:pPr>
          </w:p>
        </w:tc>
      </w:tr>
    </w:tbl>
    <w:p w14:paraId="35F2D1E0" w14:textId="3CDC27A8" w:rsidR="00D96F64" w:rsidRDefault="00D96F64" w:rsidP="00577962">
      <w:pPr>
        <w:spacing w:after="0" w:line="240" w:lineRule="auto"/>
        <w:rPr>
          <w:rFonts w:ascii="Arial" w:eastAsia="Calibri" w:hAnsi="Arial" w:cs="Arial"/>
          <w:sz w:val="24"/>
        </w:rPr>
      </w:pPr>
    </w:p>
    <w:tbl>
      <w:tblPr>
        <w:tblStyle w:val="TableGrid1"/>
        <w:tblW w:w="9640" w:type="dxa"/>
        <w:tblInd w:w="-289" w:type="dxa"/>
        <w:tblLook w:val="04A0" w:firstRow="1" w:lastRow="0" w:firstColumn="1" w:lastColumn="0" w:noHBand="0" w:noVBand="1"/>
      </w:tblPr>
      <w:tblGrid>
        <w:gridCol w:w="9640"/>
      </w:tblGrid>
      <w:tr w:rsidR="00577962" w:rsidRPr="00577962" w14:paraId="2A1C6B83" w14:textId="77777777" w:rsidTr="00D96F64">
        <w:tc>
          <w:tcPr>
            <w:tcW w:w="9640" w:type="dxa"/>
            <w:shd w:val="clear" w:color="auto" w:fill="auto"/>
          </w:tcPr>
          <w:p w14:paraId="56BCF554" w14:textId="5C6AB773" w:rsidR="00577962" w:rsidRPr="00577962" w:rsidRDefault="00577962" w:rsidP="00577962">
            <w:pPr>
              <w:rPr>
                <w:rFonts w:ascii="Arial" w:eastAsia="Calibri" w:hAnsi="Arial" w:cs="Arial"/>
              </w:rPr>
            </w:pPr>
            <w:r w:rsidRPr="00577962">
              <w:rPr>
                <w:rFonts w:ascii="Arial" w:eastAsia="Calibri" w:hAnsi="Arial" w:cs="Arial"/>
                <w:b/>
                <w:bCs/>
              </w:rPr>
              <w:t>Board Assurance Framework/Corporate Risk Register risks this paper relates to</w:t>
            </w:r>
            <w:r>
              <w:rPr>
                <w:rFonts w:ascii="Arial" w:eastAsia="Calibri" w:hAnsi="Arial" w:cs="Arial"/>
                <w:b/>
                <w:bCs/>
              </w:rPr>
              <w:t xml:space="preserve"> </w:t>
            </w:r>
            <w:r w:rsidRPr="00577962">
              <w:rPr>
                <w:rFonts w:ascii="Arial" w:eastAsia="Calibri" w:hAnsi="Arial" w:cs="Arial"/>
                <w:b/>
                <w:bCs/>
              </w:rPr>
              <w:t>(please insert risk reference number and risk description)</w:t>
            </w:r>
          </w:p>
        </w:tc>
      </w:tr>
    </w:tbl>
    <w:p w14:paraId="1F554BD2" w14:textId="77777777" w:rsidR="00577962" w:rsidRPr="00577962" w:rsidRDefault="00577962" w:rsidP="00577962">
      <w:pPr>
        <w:spacing w:after="0" w:line="240" w:lineRule="auto"/>
        <w:rPr>
          <w:rFonts w:ascii="Arial" w:eastAsia="Calibri" w:hAnsi="Arial" w:cs="Arial"/>
          <w:sz w:val="24"/>
          <w:szCs w:val="24"/>
        </w:rPr>
      </w:pPr>
    </w:p>
    <w:p w14:paraId="264A78DA" w14:textId="77777777" w:rsidR="00577962" w:rsidRPr="00577962" w:rsidRDefault="00577962" w:rsidP="00577962">
      <w:pPr>
        <w:spacing w:after="0" w:line="240" w:lineRule="auto"/>
        <w:rPr>
          <w:rFonts w:ascii="Arial" w:eastAsia="Calibri" w:hAnsi="Arial" w:cs="Arial"/>
          <w:sz w:val="24"/>
          <w:szCs w:val="24"/>
        </w:rPr>
      </w:pPr>
    </w:p>
    <w:p w14:paraId="30564F1F" w14:textId="7EBE6A8F" w:rsidR="0083344C" w:rsidRDefault="00EE6B6A" w:rsidP="004C0073">
      <w:pPr>
        <w:spacing w:after="0" w:line="240" w:lineRule="auto"/>
        <w:rPr>
          <w:rFonts w:ascii="Arial" w:hAnsi="Arial" w:cs="Arial"/>
          <w:sz w:val="24"/>
          <w:szCs w:val="24"/>
        </w:rPr>
      </w:pPr>
    </w:p>
    <w:p w14:paraId="6A0AEA15" w14:textId="3FC30477" w:rsidR="003C79C4" w:rsidRDefault="003C79C4" w:rsidP="004C0073">
      <w:pPr>
        <w:spacing w:after="0" w:line="240" w:lineRule="auto"/>
        <w:rPr>
          <w:rFonts w:ascii="Arial" w:hAnsi="Arial" w:cs="Arial"/>
          <w:sz w:val="24"/>
          <w:szCs w:val="24"/>
        </w:rPr>
      </w:pPr>
    </w:p>
    <w:p w14:paraId="378F2518" w14:textId="098ED7B9" w:rsidR="003C79C4" w:rsidRDefault="003C79C4" w:rsidP="004C0073">
      <w:pPr>
        <w:spacing w:after="0" w:line="240" w:lineRule="auto"/>
        <w:rPr>
          <w:rFonts w:ascii="Arial" w:hAnsi="Arial" w:cs="Arial"/>
          <w:sz w:val="24"/>
          <w:szCs w:val="24"/>
        </w:rPr>
      </w:pPr>
    </w:p>
    <w:p w14:paraId="47F68B0E" w14:textId="5841706D" w:rsidR="003C79C4" w:rsidRDefault="003C79C4" w:rsidP="004C0073">
      <w:pPr>
        <w:spacing w:after="0" w:line="240" w:lineRule="auto"/>
        <w:rPr>
          <w:rFonts w:ascii="Arial" w:hAnsi="Arial" w:cs="Arial"/>
          <w:sz w:val="24"/>
          <w:szCs w:val="24"/>
        </w:rPr>
      </w:pPr>
    </w:p>
    <w:p w14:paraId="6182E55B" w14:textId="75A5B324" w:rsidR="003C79C4" w:rsidRDefault="003C79C4" w:rsidP="004C0073">
      <w:pPr>
        <w:spacing w:after="0" w:line="240" w:lineRule="auto"/>
        <w:rPr>
          <w:rFonts w:ascii="Arial" w:hAnsi="Arial" w:cs="Arial"/>
          <w:sz w:val="24"/>
          <w:szCs w:val="24"/>
        </w:rPr>
      </w:pPr>
    </w:p>
    <w:p w14:paraId="70D6592C" w14:textId="6A27D8CE" w:rsidR="003C79C4" w:rsidRDefault="003C79C4" w:rsidP="004C0073">
      <w:pPr>
        <w:spacing w:after="0" w:line="240" w:lineRule="auto"/>
        <w:rPr>
          <w:rFonts w:ascii="Arial" w:hAnsi="Arial" w:cs="Arial"/>
          <w:sz w:val="24"/>
          <w:szCs w:val="24"/>
        </w:rPr>
      </w:pPr>
    </w:p>
    <w:p w14:paraId="15B53F5D" w14:textId="654C952B" w:rsidR="003C79C4" w:rsidRDefault="003C79C4" w:rsidP="004C0073">
      <w:pPr>
        <w:spacing w:after="0" w:line="240" w:lineRule="auto"/>
        <w:rPr>
          <w:rFonts w:ascii="Arial" w:hAnsi="Arial" w:cs="Arial"/>
          <w:sz w:val="24"/>
          <w:szCs w:val="24"/>
        </w:rPr>
      </w:pPr>
    </w:p>
    <w:p w14:paraId="46039047" w14:textId="11C2BEB9" w:rsidR="003C79C4" w:rsidRDefault="003C79C4" w:rsidP="004C0073">
      <w:pPr>
        <w:spacing w:after="0" w:line="240" w:lineRule="auto"/>
        <w:rPr>
          <w:rFonts w:ascii="Arial" w:hAnsi="Arial" w:cs="Arial"/>
          <w:sz w:val="24"/>
          <w:szCs w:val="24"/>
        </w:rPr>
      </w:pPr>
    </w:p>
    <w:p w14:paraId="771B8B42" w14:textId="76BA4AD3" w:rsidR="003C79C4" w:rsidRDefault="003C79C4" w:rsidP="004C0073">
      <w:pPr>
        <w:spacing w:after="0" w:line="240" w:lineRule="auto"/>
        <w:rPr>
          <w:rFonts w:ascii="Arial" w:hAnsi="Arial" w:cs="Arial"/>
          <w:sz w:val="24"/>
          <w:szCs w:val="24"/>
        </w:rPr>
      </w:pPr>
    </w:p>
    <w:p w14:paraId="63D57790" w14:textId="0F58B358" w:rsidR="003C79C4" w:rsidRDefault="003C79C4" w:rsidP="004C0073">
      <w:pPr>
        <w:spacing w:after="0" w:line="240" w:lineRule="auto"/>
        <w:rPr>
          <w:rFonts w:ascii="Arial" w:hAnsi="Arial" w:cs="Arial"/>
          <w:sz w:val="24"/>
          <w:szCs w:val="24"/>
        </w:rPr>
      </w:pPr>
    </w:p>
    <w:p w14:paraId="58E4FD40" w14:textId="63D468A0" w:rsidR="003C79C4" w:rsidRDefault="003C79C4" w:rsidP="004C0073">
      <w:pPr>
        <w:spacing w:after="0" w:line="240" w:lineRule="auto"/>
        <w:rPr>
          <w:rFonts w:ascii="Arial" w:hAnsi="Arial" w:cs="Arial"/>
          <w:sz w:val="24"/>
          <w:szCs w:val="24"/>
        </w:rPr>
      </w:pPr>
    </w:p>
    <w:p w14:paraId="66BE9CF0" w14:textId="6FCCCC73" w:rsidR="003C79C4" w:rsidRDefault="003C79C4" w:rsidP="004C0073">
      <w:pPr>
        <w:spacing w:after="0" w:line="240" w:lineRule="auto"/>
        <w:rPr>
          <w:rFonts w:ascii="Arial" w:hAnsi="Arial" w:cs="Arial"/>
          <w:sz w:val="24"/>
          <w:szCs w:val="24"/>
        </w:rPr>
      </w:pPr>
    </w:p>
    <w:p w14:paraId="2F81BD5C" w14:textId="1ECC4EB1" w:rsidR="003C79C4" w:rsidRDefault="00654CA5" w:rsidP="004C0073">
      <w:pPr>
        <w:spacing w:after="0" w:line="240" w:lineRule="auto"/>
        <w:rPr>
          <w:rFonts w:ascii="Arial" w:hAnsi="Arial" w:cs="Arial"/>
          <w:sz w:val="24"/>
          <w:szCs w:val="24"/>
        </w:rPr>
      </w:pPr>
      <w:r>
        <w:rPr>
          <w:noProof/>
          <w:lang w:eastAsia="en-GB"/>
        </w:rPr>
        <w:lastRenderedPageBreak/>
        <w:drawing>
          <wp:anchor distT="0" distB="0" distL="114300" distR="114300" simplePos="0" relativeHeight="251659264" behindDoc="1" locked="0" layoutInCell="1" allowOverlap="1" wp14:anchorId="4F8513D6" wp14:editId="437BDD65">
            <wp:simplePos x="0" y="0"/>
            <wp:positionH relativeFrom="page">
              <wp:posOffset>4861560</wp:posOffset>
            </wp:positionH>
            <wp:positionV relativeFrom="paragraph">
              <wp:posOffset>-891540</wp:posOffset>
            </wp:positionV>
            <wp:extent cx="2607945" cy="922020"/>
            <wp:effectExtent l="0" t="0" r="1905"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8349" cy="922163"/>
                    </a:xfrm>
                    <a:prstGeom prst="rect">
                      <a:avLst/>
                    </a:prstGeom>
                    <a:noFill/>
                  </pic:spPr>
                </pic:pic>
              </a:graphicData>
            </a:graphic>
            <wp14:sizeRelH relativeFrom="margin">
              <wp14:pctWidth>0</wp14:pctWidth>
            </wp14:sizeRelH>
            <wp14:sizeRelV relativeFrom="margin">
              <wp14:pctHeight>0</wp14:pctHeight>
            </wp14:sizeRelV>
          </wp:anchor>
        </w:drawing>
      </w:r>
    </w:p>
    <w:p w14:paraId="6D24D319" w14:textId="3774DA11" w:rsidR="003C79C4" w:rsidRDefault="00FF1985" w:rsidP="00654CA5">
      <w:pPr>
        <w:spacing w:after="0" w:line="240" w:lineRule="auto"/>
        <w:rPr>
          <w:rFonts w:ascii="Arial" w:hAnsi="Arial" w:cs="Arial"/>
          <w:b/>
          <w:sz w:val="24"/>
        </w:rPr>
      </w:pPr>
      <w:r>
        <w:rPr>
          <w:rFonts w:ascii="Arial" w:hAnsi="Arial" w:cs="Arial"/>
          <w:b/>
          <w:sz w:val="24"/>
        </w:rPr>
        <w:t xml:space="preserve">                                    </w:t>
      </w:r>
      <w:r w:rsidR="00654CA5">
        <w:rPr>
          <w:rFonts w:ascii="Arial" w:hAnsi="Arial" w:cs="Arial"/>
          <w:b/>
          <w:sz w:val="24"/>
        </w:rPr>
        <w:t xml:space="preserve">       </w:t>
      </w:r>
      <w:r w:rsidR="00D96F64">
        <w:rPr>
          <w:rFonts w:ascii="Arial" w:hAnsi="Arial" w:cs="Arial"/>
          <w:b/>
          <w:sz w:val="24"/>
        </w:rPr>
        <w:t>Report to the Board of Directors</w:t>
      </w:r>
    </w:p>
    <w:p w14:paraId="38C36396" w14:textId="5EA93E2A" w:rsidR="003C79C4" w:rsidRPr="0092115F" w:rsidRDefault="0013260D" w:rsidP="003C79C4">
      <w:pPr>
        <w:spacing w:after="0" w:line="240" w:lineRule="auto"/>
        <w:jc w:val="center"/>
        <w:rPr>
          <w:rFonts w:ascii="Arial" w:hAnsi="Arial" w:cs="Arial"/>
          <w:b/>
          <w:sz w:val="24"/>
        </w:rPr>
      </w:pPr>
      <w:r>
        <w:rPr>
          <w:rFonts w:ascii="Arial" w:hAnsi="Arial" w:cs="Arial"/>
          <w:b/>
          <w:sz w:val="24"/>
        </w:rPr>
        <w:t xml:space="preserve">Wednesday </w:t>
      </w:r>
      <w:r w:rsidR="00D96F64">
        <w:rPr>
          <w:rFonts w:ascii="Arial" w:hAnsi="Arial" w:cs="Arial"/>
          <w:b/>
          <w:sz w:val="24"/>
        </w:rPr>
        <w:t>1 March 2023</w:t>
      </w:r>
    </w:p>
    <w:p w14:paraId="6556BCFF" w14:textId="09153F62" w:rsidR="003C79C4" w:rsidRDefault="0092115F" w:rsidP="003C79C4">
      <w:pPr>
        <w:spacing w:after="0" w:line="240" w:lineRule="auto"/>
        <w:jc w:val="center"/>
        <w:rPr>
          <w:rFonts w:ascii="Arial" w:hAnsi="Arial" w:cs="Arial"/>
          <w:b/>
          <w:sz w:val="24"/>
        </w:rPr>
      </w:pPr>
      <w:r>
        <w:rPr>
          <w:rFonts w:ascii="Arial" w:hAnsi="Arial" w:cs="Arial"/>
          <w:b/>
          <w:sz w:val="24"/>
        </w:rPr>
        <w:t>Gender Pay Gap Reporting 2021-2022</w:t>
      </w:r>
    </w:p>
    <w:p w14:paraId="4B9D659E" w14:textId="77777777" w:rsidR="003C79C4" w:rsidRDefault="003C79C4" w:rsidP="003C79C4">
      <w:pPr>
        <w:spacing w:after="0" w:line="240" w:lineRule="auto"/>
        <w:rPr>
          <w:rFonts w:ascii="Arial" w:hAnsi="Arial" w:cs="Arial"/>
          <w:b/>
          <w:sz w:val="24"/>
        </w:rPr>
      </w:pPr>
    </w:p>
    <w:p w14:paraId="70503636" w14:textId="75425ECA" w:rsidR="003C79C4" w:rsidRDefault="003C79C4" w:rsidP="003C79C4">
      <w:pPr>
        <w:pStyle w:val="ListParagraph"/>
        <w:numPr>
          <w:ilvl w:val="0"/>
          <w:numId w:val="2"/>
        </w:numPr>
        <w:spacing w:after="0" w:line="240" w:lineRule="auto"/>
        <w:rPr>
          <w:rFonts w:ascii="Arial" w:hAnsi="Arial" w:cs="Arial"/>
          <w:b/>
          <w:sz w:val="24"/>
        </w:rPr>
      </w:pPr>
      <w:r w:rsidRPr="00401828">
        <w:rPr>
          <w:rFonts w:ascii="Arial" w:hAnsi="Arial" w:cs="Arial"/>
          <w:b/>
          <w:sz w:val="24"/>
        </w:rPr>
        <w:t xml:space="preserve">Executive Summary </w:t>
      </w:r>
    </w:p>
    <w:p w14:paraId="0E3B624C" w14:textId="77777777" w:rsidR="0013260D" w:rsidRPr="00401828" w:rsidRDefault="0013260D" w:rsidP="0013260D">
      <w:pPr>
        <w:pStyle w:val="ListParagraph"/>
        <w:spacing w:after="0" w:line="240" w:lineRule="auto"/>
        <w:ind w:left="360"/>
        <w:rPr>
          <w:rFonts w:ascii="Arial" w:hAnsi="Arial" w:cs="Arial"/>
          <w:b/>
          <w:sz w:val="24"/>
        </w:rPr>
      </w:pPr>
    </w:p>
    <w:p w14:paraId="38F7287C" w14:textId="77777777" w:rsidR="0092115F" w:rsidRPr="0092115F" w:rsidRDefault="0092115F" w:rsidP="0092115F">
      <w:pPr>
        <w:spacing w:after="0" w:line="240" w:lineRule="auto"/>
        <w:rPr>
          <w:rFonts w:ascii="Arial" w:hAnsi="Arial" w:cs="Arial"/>
          <w:sz w:val="24"/>
        </w:rPr>
      </w:pPr>
      <w:r w:rsidRPr="0092115F">
        <w:rPr>
          <w:rFonts w:ascii="Arial" w:hAnsi="Arial" w:cs="Arial"/>
          <w:sz w:val="24"/>
        </w:rPr>
        <w:t>Organisations with 250 employees or more are required to report on gender pay gaps using six different measures.   This has been a requirement since April 2018 and the legislation underpins the Public Sector Equality Duty.</w:t>
      </w:r>
    </w:p>
    <w:p w14:paraId="66D5BE0F" w14:textId="77777777" w:rsidR="0013260D" w:rsidRDefault="0013260D" w:rsidP="0092115F">
      <w:pPr>
        <w:spacing w:after="0" w:line="240" w:lineRule="auto"/>
        <w:rPr>
          <w:rFonts w:ascii="Arial" w:hAnsi="Arial" w:cs="Arial"/>
          <w:sz w:val="24"/>
        </w:rPr>
      </w:pPr>
    </w:p>
    <w:p w14:paraId="7CD8E75F" w14:textId="3E038149" w:rsidR="0092115F" w:rsidRPr="0092115F" w:rsidRDefault="0092115F" w:rsidP="0092115F">
      <w:pPr>
        <w:spacing w:after="0" w:line="240" w:lineRule="auto"/>
        <w:rPr>
          <w:rFonts w:ascii="Arial" w:hAnsi="Arial" w:cs="Arial"/>
          <w:sz w:val="24"/>
        </w:rPr>
      </w:pPr>
      <w:r w:rsidRPr="0092115F">
        <w:rPr>
          <w:rFonts w:ascii="Arial" w:hAnsi="Arial" w:cs="Arial"/>
          <w:sz w:val="24"/>
        </w:rPr>
        <w:t xml:space="preserve">The gender pay gap shows the difference in the average pay between all men and women in the workplace. This is different to equal pay. Equal pay deals with the pay differences between men and women who carry out the same jobs, similar jobs, or work of equal value. </w:t>
      </w:r>
    </w:p>
    <w:p w14:paraId="6B6F7F74" w14:textId="77777777" w:rsidR="0013260D" w:rsidRDefault="0013260D" w:rsidP="0092115F">
      <w:pPr>
        <w:spacing w:after="0" w:line="240" w:lineRule="auto"/>
        <w:rPr>
          <w:rFonts w:ascii="Arial" w:hAnsi="Arial" w:cs="Arial"/>
          <w:sz w:val="24"/>
        </w:rPr>
      </w:pPr>
    </w:p>
    <w:p w14:paraId="6B74F996" w14:textId="57F6D213" w:rsidR="0092115F" w:rsidRDefault="0092115F" w:rsidP="0092115F">
      <w:pPr>
        <w:spacing w:after="0" w:line="240" w:lineRule="auto"/>
        <w:rPr>
          <w:rFonts w:ascii="Arial" w:hAnsi="Arial" w:cs="Arial"/>
          <w:sz w:val="24"/>
        </w:rPr>
      </w:pPr>
      <w:r w:rsidRPr="0092115F">
        <w:rPr>
          <w:rFonts w:ascii="Arial" w:hAnsi="Arial" w:cs="Arial"/>
          <w:sz w:val="24"/>
        </w:rPr>
        <w:t xml:space="preserve">This report fulfils legislative requirements and sets out what </w:t>
      </w:r>
      <w:r w:rsidR="0013260D">
        <w:rPr>
          <w:rFonts w:ascii="Arial" w:hAnsi="Arial" w:cs="Arial"/>
          <w:sz w:val="24"/>
        </w:rPr>
        <w:t>the Trust is</w:t>
      </w:r>
      <w:r w:rsidRPr="0092115F">
        <w:rPr>
          <w:rFonts w:ascii="Arial" w:hAnsi="Arial" w:cs="Arial"/>
          <w:sz w:val="24"/>
        </w:rPr>
        <w:t xml:space="preserve"> doing to close the gender pay gap.  </w:t>
      </w:r>
      <w:r>
        <w:rPr>
          <w:rFonts w:ascii="Arial" w:hAnsi="Arial" w:cs="Arial"/>
          <w:sz w:val="24"/>
        </w:rPr>
        <w:t xml:space="preserve"> The figures for the 6 metrics we are requi</w:t>
      </w:r>
      <w:r w:rsidR="0013260D">
        <w:rPr>
          <w:rFonts w:ascii="Arial" w:hAnsi="Arial" w:cs="Arial"/>
          <w:sz w:val="24"/>
        </w:rPr>
        <w:t>red to report on for 2021-2022 (based on 31 March snapshot) are as follows:</w:t>
      </w:r>
    </w:p>
    <w:p w14:paraId="02D53379" w14:textId="77777777" w:rsidR="0013260D" w:rsidRDefault="0013260D" w:rsidP="0092115F">
      <w:pPr>
        <w:spacing w:after="0" w:line="240" w:lineRule="auto"/>
        <w:rPr>
          <w:rFonts w:ascii="Arial" w:hAnsi="Arial" w:cs="Arial"/>
          <w:sz w:val="24"/>
        </w:rPr>
      </w:pPr>
    </w:p>
    <w:p w14:paraId="00BE1474" w14:textId="12D8EA4E" w:rsidR="0092115F" w:rsidRDefault="0013260D" w:rsidP="0092115F">
      <w:pPr>
        <w:pStyle w:val="ListParagraph"/>
        <w:numPr>
          <w:ilvl w:val="0"/>
          <w:numId w:val="3"/>
        </w:numPr>
        <w:spacing w:after="0" w:line="240" w:lineRule="auto"/>
        <w:rPr>
          <w:rFonts w:ascii="Arial" w:hAnsi="Arial" w:cs="Arial"/>
          <w:sz w:val="24"/>
        </w:rPr>
      </w:pPr>
      <w:r>
        <w:rPr>
          <w:rFonts w:ascii="Arial" w:hAnsi="Arial" w:cs="Arial"/>
          <w:sz w:val="24"/>
        </w:rPr>
        <w:t>M</w:t>
      </w:r>
      <w:r w:rsidR="0092115F" w:rsidRPr="0092115F">
        <w:rPr>
          <w:rFonts w:ascii="Arial" w:hAnsi="Arial" w:cs="Arial"/>
          <w:sz w:val="24"/>
        </w:rPr>
        <w:t>ean gender pay gap</w:t>
      </w:r>
      <w:r>
        <w:rPr>
          <w:rFonts w:ascii="Arial" w:hAnsi="Arial" w:cs="Arial"/>
          <w:sz w:val="24"/>
        </w:rPr>
        <w:t xml:space="preserve"> is </w:t>
      </w:r>
      <w:r w:rsidR="0092115F" w:rsidRPr="0092115F">
        <w:rPr>
          <w:rFonts w:ascii="Arial" w:hAnsi="Arial" w:cs="Arial"/>
          <w:sz w:val="24"/>
        </w:rPr>
        <w:t xml:space="preserve">12.4% </w:t>
      </w:r>
      <w:r>
        <w:rPr>
          <w:rFonts w:ascii="Arial" w:hAnsi="Arial" w:cs="Arial"/>
          <w:sz w:val="24"/>
        </w:rPr>
        <w:t xml:space="preserve">- a decrease of </w:t>
      </w:r>
      <w:r w:rsidR="00CC7163">
        <w:rPr>
          <w:rFonts w:ascii="Arial" w:hAnsi="Arial" w:cs="Arial"/>
          <w:sz w:val="24"/>
        </w:rPr>
        <w:t>0.8% point</w:t>
      </w:r>
      <w:r w:rsidR="00FF1985">
        <w:rPr>
          <w:rFonts w:ascii="Arial" w:hAnsi="Arial" w:cs="Arial"/>
          <w:sz w:val="24"/>
        </w:rPr>
        <w:t>s</w:t>
      </w:r>
      <w:r w:rsidR="00CC7163">
        <w:rPr>
          <w:rFonts w:ascii="Arial" w:hAnsi="Arial" w:cs="Arial"/>
          <w:sz w:val="24"/>
        </w:rPr>
        <w:t xml:space="preserve"> on 2020-2021</w:t>
      </w:r>
    </w:p>
    <w:p w14:paraId="3D51E2A6" w14:textId="0F3DFFF8" w:rsidR="0092115F" w:rsidRDefault="0013260D" w:rsidP="0092115F">
      <w:pPr>
        <w:pStyle w:val="ListParagraph"/>
        <w:numPr>
          <w:ilvl w:val="0"/>
          <w:numId w:val="3"/>
        </w:numPr>
        <w:spacing w:after="0" w:line="240" w:lineRule="auto"/>
        <w:rPr>
          <w:rFonts w:ascii="Arial" w:hAnsi="Arial" w:cs="Arial"/>
          <w:sz w:val="24"/>
        </w:rPr>
      </w:pPr>
      <w:r>
        <w:rPr>
          <w:rFonts w:ascii="Arial" w:hAnsi="Arial" w:cs="Arial"/>
          <w:sz w:val="24"/>
        </w:rPr>
        <w:t>M</w:t>
      </w:r>
      <w:r w:rsidR="0092115F" w:rsidRPr="0092115F">
        <w:rPr>
          <w:rFonts w:ascii="Arial" w:hAnsi="Arial" w:cs="Arial"/>
          <w:sz w:val="24"/>
        </w:rPr>
        <w:t xml:space="preserve">edian </w:t>
      </w:r>
      <w:r>
        <w:rPr>
          <w:rFonts w:ascii="Arial" w:hAnsi="Arial" w:cs="Arial"/>
          <w:sz w:val="24"/>
        </w:rPr>
        <w:t xml:space="preserve">gender pay </w:t>
      </w:r>
      <w:r w:rsidR="0092115F" w:rsidRPr="0092115F">
        <w:rPr>
          <w:rFonts w:ascii="Arial" w:hAnsi="Arial" w:cs="Arial"/>
          <w:sz w:val="24"/>
        </w:rPr>
        <w:t xml:space="preserve">gap </w:t>
      </w:r>
      <w:r>
        <w:rPr>
          <w:rFonts w:ascii="Arial" w:hAnsi="Arial" w:cs="Arial"/>
          <w:sz w:val="24"/>
        </w:rPr>
        <w:t xml:space="preserve">is </w:t>
      </w:r>
      <w:r w:rsidR="0092115F" w:rsidRPr="0092115F">
        <w:rPr>
          <w:rFonts w:ascii="Arial" w:hAnsi="Arial" w:cs="Arial"/>
          <w:sz w:val="24"/>
        </w:rPr>
        <w:t>2.2%</w:t>
      </w:r>
      <w:r w:rsidR="00CC7163">
        <w:rPr>
          <w:rFonts w:ascii="Arial" w:hAnsi="Arial" w:cs="Arial"/>
          <w:sz w:val="24"/>
        </w:rPr>
        <w:t xml:space="preserve"> </w:t>
      </w:r>
      <w:r>
        <w:rPr>
          <w:rFonts w:ascii="Arial" w:hAnsi="Arial" w:cs="Arial"/>
          <w:sz w:val="24"/>
        </w:rPr>
        <w:t xml:space="preserve">- </w:t>
      </w:r>
      <w:r w:rsidR="0092115F" w:rsidRPr="0092115F">
        <w:rPr>
          <w:rFonts w:ascii="Arial" w:hAnsi="Arial" w:cs="Arial"/>
          <w:sz w:val="24"/>
        </w:rPr>
        <w:t xml:space="preserve">a decrease of 1.2% points </w:t>
      </w:r>
      <w:r w:rsidR="00CC7163">
        <w:rPr>
          <w:rFonts w:ascii="Arial" w:hAnsi="Arial" w:cs="Arial"/>
          <w:sz w:val="24"/>
        </w:rPr>
        <w:t>on 2020-2021</w:t>
      </w:r>
    </w:p>
    <w:p w14:paraId="773B79F5" w14:textId="334ABAD4" w:rsidR="00CC7163" w:rsidRDefault="00CC7163" w:rsidP="0092115F">
      <w:pPr>
        <w:pStyle w:val="ListParagraph"/>
        <w:numPr>
          <w:ilvl w:val="0"/>
          <w:numId w:val="3"/>
        </w:numPr>
        <w:spacing w:after="0" w:line="240" w:lineRule="auto"/>
        <w:rPr>
          <w:rFonts w:ascii="Arial" w:hAnsi="Arial" w:cs="Arial"/>
          <w:sz w:val="24"/>
        </w:rPr>
      </w:pPr>
      <w:r>
        <w:rPr>
          <w:rFonts w:ascii="Arial" w:hAnsi="Arial" w:cs="Arial"/>
          <w:sz w:val="24"/>
        </w:rPr>
        <w:t>P</w:t>
      </w:r>
      <w:r w:rsidRPr="00CC7163">
        <w:rPr>
          <w:rFonts w:ascii="Arial" w:hAnsi="Arial" w:cs="Arial"/>
          <w:sz w:val="24"/>
        </w:rPr>
        <w:t>ercentage of men and women receiving bonus pay</w:t>
      </w:r>
      <w:r w:rsidR="0013260D">
        <w:rPr>
          <w:rFonts w:ascii="Arial" w:hAnsi="Arial" w:cs="Arial"/>
          <w:sz w:val="24"/>
        </w:rPr>
        <w:t xml:space="preserve"> is</w:t>
      </w:r>
      <w:r>
        <w:rPr>
          <w:rFonts w:ascii="Arial" w:hAnsi="Arial" w:cs="Arial"/>
          <w:sz w:val="24"/>
        </w:rPr>
        <w:t xml:space="preserve"> 2.0% men</w:t>
      </w:r>
      <w:r w:rsidR="0013260D">
        <w:rPr>
          <w:rFonts w:ascii="Arial" w:hAnsi="Arial" w:cs="Arial"/>
          <w:sz w:val="24"/>
        </w:rPr>
        <w:t xml:space="preserve"> </w:t>
      </w:r>
      <w:r w:rsidR="00FF1985">
        <w:rPr>
          <w:rFonts w:ascii="Arial" w:hAnsi="Arial" w:cs="Arial"/>
          <w:sz w:val="24"/>
        </w:rPr>
        <w:t xml:space="preserve">and 0.5% women (a reduction </w:t>
      </w:r>
      <w:r>
        <w:rPr>
          <w:rFonts w:ascii="Arial" w:hAnsi="Arial" w:cs="Arial"/>
          <w:sz w:val="24"/>
        </w:rPr>
        <w:t xml:space="preserve">from 2.2% </w:t>
      </w:r>
      <w:r w:rsidR="00FF1985">
        <w:rPr>
          <w:rFonts w:ascii="Arial" w:hAnsi="Arial" w:cs="Arial"/>
          <w:sz w:val="24"/>
        </w:rPr>
        <w:t>and 0.60% respectively on 2021-2021</w:t>
      </w:r>
      <w:r w:rsidR="00CB5BA9">
        <w:rPr>
          <w:rFonts w:ascii="Arial" w:hAnsi="Arial" w:cs="Arial"/>
          <w:sz w:val="24"/>
        </w:rPr>
        <w:t>)</w:t>
      </w:r>
    </w:p>
    <w:p w14:paraId="680B1A06" w14:textId="58759375" w:rsidR="00CC7163" w:rsidRPr="008B5977" w:rsidRDefault="00CC7163" w:rsidP="0092115F">
      <w:pPr>
        <w:pStyle w:val="ListParagraph"/>
        <w:numPr>
          <w:ilvl w:val="0"/>
          <w:numId w:val="3"/>
        </w:numPr>
        <w:spacing w:after="0" w:line="240" w:lineRule="auto"/>
        <w:rPr>
          <w:rFonts w:ascii="Arial" w:hAnsi="Arial" w:cs="Arial"/>
          <w:sz w:val="24"/>
        </w:rPr>
      </w:pPr>
      <w:r>
        <w:rPr>
          <w:rFonts w:ascii="Arial" w:eastAsia="Times New Roman" w:hAnsi="Arial" w:cs="Arial"/>
          <w:color w:val="0B0C0C"/>
          <w:sz w:val="24"/>
          <w:szCs w:val="24"/>
          <w:lang w:eastAsia="en-GB"/>
        </w:rPr>
        <w:t>M</w:t>
      </w:r>
      <w:r w:rsidRPr="00DB3D98">
        <w:rPr>
          <w:rFonts w:ascii="Arial" w:eastAsia="Times New Roman" w:hAnsi="Arial" w:cs="Arial"/>
          <w:color w:val="0B0C0C"/>
          <w:sz w:val="24"/>
          <w:szCs w:val="24"/>
          <w:lang w:eastAsia="en-GB"/>
        </w:rPr>
        <w:t>ean (average) gender pay gap using bonus pay</w:t>
      </w:r>
      <w:r>
        <w:rPr>
          <w:rFonts w:ascii="Arial" w:eastAsia="Times New Roman" w:hAnsi="Arial" w:cs="Arial"/>
          <w:color w:val="0B0C0C"/>
          <w:sz w:val="24"/>
          <w:szCs w:val="24"/>
          <w:lang w:eastAsia="en-GB"/>
        </w:rPr>
        <w:t xml:space="preserve"> </w:t>
      </w:r>
      <w:r w:rsidR="00FF1985">
        <w:rPr>
          <w:rFonts w:ascii="Arial" w:eastAsia="Times New Roman" w:hAnsi="Arial" w:cs="Arial"/>
          <w:color w:val="0B0C0C"/>
          <w:sz w:val="24"/>
          <w:szCs w:val="24"/>
          <w:lang w:eastAsia="en-GB"/>
        </w:rPr>
        <w:t xml:space="preserve">is </w:t>
      </w:r>
      <w:r>
        <w:rPr>
          <w:rFonts w:ascii="Arial" w:eastAsia="Times New Roman" w:hAnsi="Arial" w:cs="Arial"/>
          <w:color w:val="0B0C0C"/>
          <w:sz w:val="24"/>
          <w:szCs w:val="24"/>
          <w:lang w:eastAsia="en-GB"/>
        </w:rPr>
        <w:t>9.6% - down</w:t>
      </w:r>
      <w:r w:rsidR="008B5977">
        <w:rPr>
          <w:rFonts w:ascii="Arial" w:eastAsia="Times New Roman" w:hAnsi="Arial" w:cs="Arial"/>
          <w:color w:val="0B0C0C"/>
          <w:sz w:val="24"/>
          <w:szCs w:val="24"/>
          <w:lang w:eastAsia="en-GB"/>
        </w:rPr>
        <w:t xml:space="preserve"> from 22.3% in 2020-21</w:t>
      </w:r>
    </w:p>
    <w:p w14:paraId="2EBBA5B3" w14:textId="4D5109DA" w:rsidR="008B5977" w:rsidRPr="008B5977" w:rsidRDefault="008B5977" w:rsidP="0092115F">
      <w:pPr>
        <w:pStyle w:val="ListParagraph"/>
        <w:numPr>
          <w:ilvl w:val="0"/>
          <w:numId w:val="3"/>
        </w:numPr>
        <w:spacing w:after="0" w:line="240" w:lineRule="auto"/>
        <w:rPr>
          <w:rFonts w:ascii="Arial" w:hAnsi="Arial" w:cs="Arial"/>
          <w:sz w:val="24"/>
        </w:rPr>
      </w:pPr>
      <w:r>
        <w:rPr>
          <w:rFonts w:ascii="Arial" w:eastAsia="Times New Roman" w:hAnsi="Arial" w:cs="Arial"/>
          <w:color w:val="0B0C0C"/>
          <w:sz w:val="24"/>
          <w:szCs w:val="24"/>
          <w:lang w:eastAsia="en-GB"/>
        </w:rPr>
        <w:t xml:space="preserve">Median gender pay gap using bonus pay </w:t>
      </w:r>
      <w:r w:rsidR="00FF1985">
        <w:rPr>
          <w:rFonts w:ascii="Arial" w:eastAsia="Times New Roman" w:hAnsi="Arial" w:cs="Arial"/>
          <w:color w:val="0B0C0C"/>
          <w:sz w:val="24"/>
          <w:szCs w:val="24"/>
          <w:lang w:eastAsia="en-GB"/>
        </w:rPr>
        <w:t xml:space="preserve">is </w:t>
      </w:r>
      <w:r>
        <w:rPr>
          <w:rFonts w:ascii="Arial" w:eastAsia="Times New Roman" w:hAnsi="Arial" w:cs="Arial"/>
          <w:color w:val="0B0C0C"/>
          <w:sz w:val="24"/>
          <w:szCs w:val="24"/>
          <w:lang w:eastAsia="en-GB"/>
        </w:rPr>
        <w:t>31.3% - down from 55.9% in 2020-2021</w:t>
      </w:r>
    </w:p>
    <w:p w14:paraId="6917A0D0" w14:textId="12874A3E" w:rsidR="008B5977" w:rsidRPr="0092115F" w:rsidRDefault="008B5977" w:rsidP="0092115F">
      <w:pPr>
        <w:pStyle w:val="ListParagraph"/>
        <w:numPr>
          <w:ilvl w:val="0"/>
          <w:numId w:val="3"/>
        </w:numPr>
        <w:spacing w:after="0" w:line="240" w:lineRule="auto"/>
        <w:rPr>
          <w:rFonts w:ascii="Arial" w:hAnsi="Arial" w:cs="Arial"/>
          <w:sz w:val="24"/>
        </w:rPr>
      </w:pPr>
      <w:r>
        <w:rPr>
          <w:rFonts w:ascii="Arial" w:hAnsi="Arial" w:cs="Arial"/>
          <w:sz w:val="24"/>
        </w:rPr>
        <w:t>P</w:t>
      </w:r>
      <w:r w:rsidRPr="008B5977">
        <w:rPr>
          <w:rFonts w:ascii="Arial" w:hAnsi="Arial" w:cs="Arial"/>
          <w:sz w:val="24"/>
        </w:rPr>
        <w:t>ercentage of men and women in each hourly pay quartile</w:t>
      </w:r>
    </w:p>
    <w:p w14:paraId="6F537533" w14:textId="6FC427D3" w:rsidR="0092115F" w:rsidRDefault="0092115F" w:rsidP="0092115F">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2552"/>
        <w:gridCol w:w="1015"/>
        <w:gridCol w:w="1017"/>
        <w:gridCol w:w="1098"/>
        <w:gridCol w:w="1259"/>
        <w:gridCol w:w="957"/>
        <w:gridCol w:w="1118"/>
      </w:tblGrid>
      <w:tr w:rsidR="008B5977" w14:paraId="3ACF7449" w14:textId="77777777" w:rsidTr="00D96F64">
        <w:tc>
          <w:tcPr>
            <w:tcW w:w="2552" w:type="dxa"/>
            <w:vMerge w:val="restart"/>
          </w:tcPr>
          <w:p w14:paraId="265D7D79" w14:textId="77777777" w:rsidR="008B5977" w:rsidRPr="008B5977" w:rsidRDefault="008B5977" w:rsidP="00893A65">
            <w:pPr>
              <w:rPr>
                <w:rFonts w:ascii="Arial" w:hAnsi="Arial" w:cs="Arial"/>
                <w:color w:val="141B4D"/>
                <w:sz w:val="24"/>
                <w:szCs w:val="24"/>
              </w:rPr>
            </w:pPr>
          </w:p>
        </w:tc>
        <w:tc>
          <w:tcPr>
            <w:tcW w:w="2032" w:type="dxa"/>
            <w:gridSpan w:val="2"/>
          </w:tcPr>
          <w:p w14:paraId="6BA35356" w14:textId="77777777" w:rsidR="008B5977" w:rsidRPr="008B5977" w:rsidRDefault="008B5977" w:rsidP="00893A65">
            <w:pPr>
              <w:rPr>
                <w:rFonts w:ascii="Arial" w:hAnsi="Arial" w:cs="Arial"/>
                <w:color w:val="141B4D"/>
                <w:sz w:val="24"/>
                <w:szCs w:val="24"/>
              </w:rPr>
            </w:pPr>
            <w:r w:rsidRPr="008B5977">
              <w:rPr>
                <w:rFonts w:ascii="Arial" w:hAnsi="Arial" w:cs="Arial"/>
                <w:b/>
                <w:bCs/>
                <w:sz w:val="24"/>
                <w:szCs w:val="24"/>
              </w:rPr>
              <w:t>CNTW Figures of 2021- 2022</w:t>
            </w:r>
          </w:p>
        </w:tc>
        <w:tc>
          <w:tcPr>
            <w:tcW w:w="2357" w:type="dxa"/>
            <w:gridSpan w:val="2"/>
          </w:tcPr>
          <w:p w14:paraId="73C0F5E9" w14:textId="77777777" w:rsidR="008B5977" w:rsidRPr="008B5977" w:rsidRDefault="008B5977" w:rsidP="00893A65">
            <w:pPr>
              <w:rPr>
                <w:rFonts w:ascii="Arial" w:hAnsi="Arial" w:cs="Arial"/>
                <w:color w:val="141B4D"/>
                <w:sz w:val="24"/>
                <w:szCs w:val="24"/>
              </w:rPr>
            </w:pPr>
            <w:r w:rsidRPr="008B5977">
              <w:rPr>
                <w:rFonts w:ascii="Arial" w:hAnsi="Arial" w:cs="Arial"/>
                <w:b/>
                <w:bCs/>
                <w:sz w:val="24"/>
                <w:szCs w:val="24"/>
              </w:rPr>
              <w:t>CNTW Figures for 2020-2021</w:t>
            </w:r>
          </w:p>
        </w:tc>
        <w:tc>
          <w:tcPr>
            <w:tcW w:w="2075" w:type="dxa"/>
            <w:gridSpan w:val="2"/>
          </w:tcPr>
          <w:p w14:paraId="4CA6EC98" w14:textId="77777777" w:rsidR="008B5977" w:rsidRPr="008B5977" w:rsidRDefault="008B5977" w:rsidP="00893A65">
            <w:pPr>
              <w:rPr>
                <w:rFonts w:ascii="Arial" w:hAnsi="Arial" w:cs="Arial"/>
                <w:color w:val="141B4D"/>
                <w:sz w:val="24"/>
                <w:szCs w:val="24"/>
              </w:rPr>
            </w:pPr>
            <w:r w:rsidRPr="008B5977">
              <w:rPr>
                <w:rFonts w:ascii="Arial" w:hAnsi="Arial" w:cs="Arial"/>
                <w:b/>
                <w:bCs/>
                <w:sz w:val="24"/>
                <w:szCs w:val="24"/>
              </w:rPr>
              <w:t>CNTW Figures for 2019-2020</w:t>
            </w:r>
          </w:p>
        </w:tc>
      </w:tr>
      <w:tr w:rsidR="008B5977" w14:paraId="0CAE3830" w14:textId="77777777" w:rsidTr="00D96F64">
        <w:tc>
          <w:tcPr>
            <w:tcW w:w="2552" w:type="dxa"/>
            <w:vMerge/>
          </w:tcPr>
          <w:p w14:paraId="43ACF208" w14:textId="77777777" w:rsidR="008B5977" w:rsidRPr="008B5977" w:rsidRDefault="008B5977" w:rsidP="00893A65">
            <w:pPr>
              <w:rPr>
                <w:rFonts w:ascii="Arial" w:hAnsi="Arial" w:cs="Arial"/>
                <w:color w:val="141B4D"/>
                <w:sz w:val="24"/>
                <w:szCs w:val="24"/>
              </w:rPr>
            </w:pPr>
          </w:p>
        </w:tc>
        <w:tc>
          <w:tcPr>
            <w:tcW w:w="1015" w:type="dxa"/>
          </w:tcPr>
          <w:p w14:paraId="5CCDEAC1"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Male</w:t>
            </w:r>
          </w:p>
        </w:tc>
        <w:tc>
          <w:tcPr>
            <w:tcW w:w="1017" w:type="dxa"/>
          </w:tcPr>
          <w:p w14:paraId="62B3E3C0"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Female</w:t>
            </w:r>
          </w:p>
        </w:tc>
        <w:tc>
          <w:tcPr>
            <w:tcW w:w="1098" w:type="dxa"/>
          </w:tcPr>
          <w:p w14:paraId="2A351D56"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Male</w:t>
            </w:r>
          </w:p>
        </w:tc>
        <w:tc>
          <w:tcPr>
            <w:tcW w:w="1259" w:type="dxa"/>
          </w:tcPr>
          <w:p w14:paraId="52B324E3"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Female</w:t>
            </w:r>
          </w:p>
        </w:tc>
        <w:tc>
          <w:tcPr>
            <w:tcW w:w="957" w:type="dxa"/>
          </w:tcPr>
          <w:p w14:paraId="3D9AFE98"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Male</w:t>
            </w:r>
          </w:p>
        </w:tc>
        <w:tc>
          <w:tcPr>
            <w:tcW w:w="1118" w:type="dxa"/>
          </w:tcPr>
          <w:p w14:paraId="7E25D6CB"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Female</w:t>
            </w:r>
          </w:p>
        </w:tc>
      </w:tr>
      <w:tr w:rsidR="008B5977" w14:paraId="32575301" w14:textId="77777777" w:rsidTr="00D96F64">
        <w:tc>
          <w:tcPr>
            <w:tcW w:w="2552" w:type="dxa"/>
          </w:tcPr>
          <w:p w14:paraId="12AE4875"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Top quartile</w:t>
            </w:r>
          </w:p>
        </w:tc>
        <w:tc>
          <w:tcPr>
            <w:tcW w:w="1015" w:type="dxa"/>
          </w:tcPr>
          <w:p w14:paraId="431E5AC3"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27.7%</w:t>
            </w:r>
          </w:p>
        </w:tc>
        <w:tc>
          <w:tcPr>
            <w:tcW w:w="1017" w:type="dxa"/>
          </w:tcPr>
          <w:p w14:paraId="7E8CD5C2"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72.3%</w:t>
            </w:r>
          </w:p>
        </w:tc>
        <w:tc>
          <w:tcPr>
            <w:tcW w:w="1098" w:type="dxa"/>
          </w:tcPr>
          <w:p w14:paraId="7BF17B65"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29.0%</w:t>
            </w:r>
          </w:p>
        </w:tc>
        <w:tc>
          <w:tcPr>
            <w:tcW w:w="1259" w:type="dxa"/>
          </w:tcPr>
          <w:p w14:paraId="7A17BEB5"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71.0%</w:t>
            </w:r>
          </w:p>
        </w:tc>
        <w:tc>
          <w:tcPr>
            <w:tcW w:w="957" w:type="dxa"/>
          </w:tcPr>
          <w:p w14:paraId="7BFC310B"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30.4%</w:t>
            </w:r>
          </w:p>
        </w:tc>
        <w:tc>
          <w:tcPr>
            <w:tcW w:w="1118" w:type="dxa"/>
          </w:tcPr>
          <w:p w14:paraId="14F2669D"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69.6%</w:t>
            </w:r>
          </w:p>
        </w:tc>
      </w:tr>
      <w:tr w:rsidR="008B5977" w14:paraId="21769282" w14:textId="77777777" w:rsidTr="00D96F64">
        <w:tc>
          <w:tcPr>
            <w:tcW w:w="2552" w:type="dxa"/>
          </w:tcPr>
          <w:p w14:paraId="5B180928"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Upper middle</w:t>
            </w:r>
          </w:p>
        </w:tc>
        <w:tc>
          <w:tcPr>
            <w:tcW w:w="1015" w:type="dxa"/>
          </w:tcPr>
          <w:p w14:paraId="44241B6C"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20.0%</w:t>
            </w:r>
          </w:p>
        </w:tc>
        <w:tc>
          <w:tcPr>
            <w:tcW w:w="1017" w:type="dxa"/>
          </w:tcPr>
          <w:p w14:paraId="383CDA8C"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80.0%</w:t>
            </w:r>
          </w:p>
        </w:tc>
        <w:tc>
          <w:tcPr>
            <w:tcW w:w="1098" w:type="dxa"/>
          </w:tcPr>
          <w:p w14:paraId="1198FE4F" w14:textId="77777777" w:rsidR="008B5977" w:rsidRPr="008B5977" w:rsidRDefault="008B5977" w:rsidP="00893A65">
            <w:pPr>
              <w:rPr>
                <w:rFonts w:ascii="Arial" w:hAnsi="Arial" w:cs="Arial"/>
                <w:color w:val="141B4D"/>
                <w:sz w:val="24"/>
                <w:szCs w:val="24"/>
              </w:rPr>
            </w:pPr>
            <w:r w:rsidRPr="008B5977">
              <w:rPr>
                <w:rFonts w:ascii="Arial" w:hAnsi="Arial" w:cs="Arial"/>
                <w:sz w:val="24"/>
                <w:szCs w:val="24"/>
              </w:rPr>
              <w:t>21.6%</w:t>
            </w:r>
          </w:p>
        </w:tc>
        <w:tc>
          <w:tcPr>
            <w:tcW w:w="1259" w:type="dxa"/>
          </w:tcPr>
          <w:p w14:paraId="3560E12F" w14:textId="77777777" w:rsidR="008B5977" w:rsidRPr="008B5977" w:rsidRDefault="008B5977" w:rsidP="00893A65">
            <w:pPr>
              <w:rPr>
                <w:rFonts w:ascii="Arial" w:hAnsi="Arial" w:cs="Arial"/>
                <w:color w:val="141B4D"/>
                <w:sz w:val="24"/>
                <w:szCs w:val="24"/>
              </w:rPr>
            </w:pPr>
            <w:r w:rsidRPr="008B5977">
              <w:rPr>
                <w:rFonts w:ascii="Arial" w:hAnsi="Arial" w:cs="Arial"/>
                <w:sz w:val="24"/>
                <w:szCs w:val="24"/>
              </w:rPr>
              <w:t>78.4%</w:t>
            </w:r>
          </w:p>
        </w:tc>
        <w:tc>
          <w:tcPr>
            <w:tcW w:w="957" w:type="dxa"/>
          </w:tcPr>
          <w:p w14:paraId="60ABA2A9"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22.2%</w:t>
            </w:r>
          </w:p>
        </w:tc>
        <w:tc>
          <w:tcPr>
            <w:tcW w:w="1118" w:type="dxa"/>
          </w:tcPr>
          <w:p w14:paraId="338C1E63"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77.8%</w:t>
            </w:r>
          </w:p>
        </w:tc>
      </w:tr>
      <w:tr w:rsidR="008B5977" w14:paraId="3B381FA8" w14:textId="77777777" w:rsidTr="00D96F64">
        <w:tc>
          <w:tcPr>
            <w:tcW w:w="2552" w:type="dxa"/>
          </w:tcPr>
          <w:p w14:paraId="5CDF5732"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Lower middle</w:t>
            </w:r>
          </w:p>
        </w:tc>
        <w:tc>
          <w:tcPr>
            <w:tcW w:w="1015" w:type="dxa"/>
          </w:tcPr>
          <w:p w14:paraId="7F210E6C"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27.4%</w:t>
            </w:r>
          </w:p>
        </w:tc>
        <w:tc>
          <w:tcPr>
            <w:tcW w:w="1017" w:type="dxa"/>
          </w:tcPr>
          <w:p w14:paraId="32334FB4"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72.6%</w:t>
            </w:r>
          </w:p>
        </w:tc>
        <w:tc>
          <w:tcPr>
            <w:tcW w:w="1098" w:type="dxa"/>
          </w:tcPr>
          <w:p w14:paraId="758579A4"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26.6%</w:t>
            </w:r>
          </w:p>
        </w:tc>
        <w:tc>
          <w:tcPr>
            <w:tcW w:w="1259" w:type="dxa"/>
          </w:tcPr>
          <w:p w14:paraId="1C986CD6"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73.4%</w:t>
            </w:r>
          </w:p>
        </w:tc>
        <w:tc>
          <w:tcPr>
            <w:tcW w:w="957" w:type="dxa"/>
          </w:tcPr>
          <w:p w14:paraId="1E9402B8"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25.5%</w:t>
            </w:r>
          </w:p>
        </w:tc>
        <w:tc>
          <w:tcPr>
            <w:tcW w:w="1118" w:type="dxa"/>
          </w:tcPr>
          <w:p w14:paraId="2F39106E"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74.5%</w:t>
            </w:r>
          </w:p>
        </w:tc>
      </w:tr>
      <w:tr w:rsidR="008B5977" w14:paraId="7E2929D5" w14:textId="77777777" w:rsidTr="00D96F64">
        <w:tc>
          <w:tcPr>
            <w:tcW w:w="2552" w:type="dxa"/>
          </w:tcPr>
          <w:p w14:paraId="732345BF"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Lower quartile</w:t>
            </w:r>
          </w:p>
        </w:tc>
        <w:tc>
          <w:tcPr>
            <w:tcW w:w="1015" w:type="dxa"/>
          </w:tcPr>
          <w:p w14:paraId="2B37A8CC"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19.3%</w:t>
            </w:r>
          </w:p>
        </w:tc>
        <w:tc>
          <w:tcPr>
            <w:tcW w:w="1017" w:type="dxa"/>
          </w:tcPr>
          <w:p w14:paraId="1153700E"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80.7%</w:t>
            </w:r>
          </w:p>
        </w:tc>
        <w:tc>
          <w:tcPr>
            <w:tcW w:w="1098" w:type="dxa"/>
          </w:tcPr>
          <w:p w14:paraId="48FE89AD"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20.6%</w:t>
            </w:r>
          </w:p>
        </w:tc>
        <w:tc>
          <w:tcPr>
            <w:tcW w:w="1259" w:type="dxa"/>
          </w:tcPr>
          <w:p w14:paraId="67F47B5A" w14:textId="77777777"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79.4%</w:t>
            </w:r>
          </w:p>
        </w:tc>
        <w:tc>
          <w:tcPr>
            <w:tcW w:w="957" w:type="dxa"/>
          </w:tcPr>
          <w:p w14:paraId="292D0CCE" w14:textId="024DA920"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21</w:t>
            </w:r>
            <w:r w:rsidR="00FF1985">
              <w:rPr>
                <w:rFonts w:ascii="Arial" w:hAnsi="Arial" w:cs="Arial"/>
                <w:color w:val="141B4D"/>
                <w:sz w:val="24"/>
                <w:szCs w:val="24"/>
              </w:rPr>
              <w:t>.0</w:t>
            </w:r>
            <w:r w:rsidRPr="008B5977">
              <w:rPr>
                <w:rFonts w:ascii="Arial" w:hAnsi="Arial" w:cs="Arial"/>
                <w:color w:val="141B4D"/>
                <w:sz w:val="24"/>
                <w:szCs w:val="24"/>
              </w:rPr>
              <w:t>%</w:t>
            </w:r>
          </w:p>
        </w:tc>
        <w:tc>
          <w:tcPr>
            <w:tcW w:w="1118" w:type="dxa"/>
          </w:tcPr>
          <w:p w14:paraId="4050FDE6" w14:textId="168822E8" w:rsidR="008B5977" w:rsidRPr="008B5977" w:rsidRDefault="008B5977" w:rsidP="00893A65">
            <w:pPr>
              <w:rPr>
                <w:rFonts w:ascii="Arial" w:hAnsi="Arial" w:cs="Arial"/>
                <w:color w:val="141B4D"/>
                <w:sz w:val="24"/>
                <w:szCs w:val="24"/>
              </w:rPr>
            </w:pPr>
            <w:r w:rsidRPr="008B5977">
              <w:rPr>
                <w:rFonts w:ascii="Arial" w:hAnsi="Arial" w:cs="Arial"/>
                <w:color w:val="141B4D"/>
                <w:sz w:val="24"/>
                <w:szCs w:val="24"/>
              </w:rPr>
              <w:t>79</w:t>
            </w:r>
            <w:r w:rsidR="00FF1985">
              <w:rPr>
                <w:rFonts w:ascii="Arial" w:hAnsi="Arial" w:cs="Arial"/>
                <w:color w:val="141B4D"/>
                <w:sz w:val="24"/>
                <w:szCs w:val="24"/>
              </w:rPr>
              <w:t>.0</w:t>
            </w:r>
            <w:r w:rsidRPr="008B5977">
              <w:rPr>
                <w:rFonts w:ascii="Arial" w:hAnsi="Arial" w:cs="Arial"/>
                <w:color w:val="141B4D"/>
                <w:sz w:val="24"/>
                <w:szCs w:val="24"/>
              </w:rPr>
              <w:t>%</w:t>
            </w:r>
          </w:p>
        </w:tc>
      </w:tr>
    </w:tbl>
    <w:p w14:paraId="2DBA8AB1" w14:textId="77777777" w:rsidR="003C79C4" w:rsidRDefault="003C79C4" w:rsidP="003C79C4">
      <w:pPr>
        <w:spacing w:after="0" w:line="240" w:lineRule="auto"/>
        <w:rPr>
          <w:rFonts w:ascii="Arial" w:hAnsi="Arial" w:cs="Arial"/>
          <w:sz w:val="24"/>
        </w:rPr>
      </w:pPr>
    </w:p>
    <w:p w14:paraId="6867850F" w14:textId="77777777" w:rsidR="003C79C4" w:rsidRPr="00401828" w:rsidRDefault="003C79C4" w:rsidP="003C79C4">
      <w:pPr>
        <w:pStyle w:val="ListParagraph"/>
        <w:numPr>
          <w:ilvl w:val="0"/>
          <w:numId w:val="2"/>
        </w:numPr>
        <w:spacing w:after="0" w:line="240" w:lineRule="auto"/>
        <w:rPr>
          <w:rFonts w:ascii="Arial" w:hAnsi="Arial" w:cs="Arial"/>
          <w:b/>
          <w:sz w:val="24"/>
        </w:rPr>
      </w:pPr>
      <w:r w:rsidRPr="00401828">
        <w:rPr>
          <w:rFonts w:ascii="Arial" w:hAnsi="Arial" w:cs="Arial"/>
          <w:b/>
          <w:sz w:val="24"/>
        </w:rPr>
        <w:t xml:space="preserve">Key issues, significant risks and mitigations </w:t>
      </w:r>
    </w:p>
    <w:p w14:paraId="66688BB4" w14:textId="77777777" w:rsidR="003C79C4" w:rsidRDefault="003C79C4" w:rsidP="003C79C4">
      <w:pPr>
        <w:spacing w:after="0" w:line="240" w:lineRule="auto"/>
        <w:rPr>
          <w:rFonts w:ascii="Arial" w:hAnsi="Arial" w:cs="Arial"/>
          <w:sz w:val="24"/>
        </w:rPr>
      </w:pPr>
    </w:p>
    <w:p w14:paraId="25EF69F4" w14:textId="244D892E" w:rsidR="0092115F" w:rsidRDefault="0092115F" w:rsidP="003C79C4">
      <w:pPr>
        <w:spacing w:after="0" w:line="240" w:lineRule="auto"/>
        <w:rPr>
          <w:rFonts w:ascii="Arial" w:hAnsi="Arial" w:cs="Arial"/>
          <w:sz w:val="24"/>
        </w:rPr>
      </w:pPr>
      <w:r w:rsidRPr="0092115F">
        <w:rPr>
          <w:rFonts w:ascii="Arial" w:hAnsi="Arial" w:cs="Arial"/>
          <w:sz w:val="24"/>
        </w:rPr>
        <w:t>There are no specific risks associated with this report.</w:t>
      </w:r>
    </w:p>
    <w:p w14:paraId="4D94662D" w14:textId="77777777" w:rsidR="008B5977" w:rsidRDefault="008B5977" w:rsidP="003C79C4">
      <w:pPr>
        <w:spacing w:after="0" w:line="240" w:lineRule="auto"/>
        <w:rPr>
          <w:rFonts w:ascii="Arial" w:hAnsi="Arial" w:cs="Arial"/>
          <w:sz w:val="24"/>
        </w:rPr>
      </w:pPr>
    </w:p>
    <w:p w14:paraId="3D9CFF2E" w14:textId="77777777" w:rsidR="003C79C4" w:rsidRPr="00401828" w:rsidRDefault="003C79C4" w:rsidP="003C79C4">
      <w:pPr>
        <w:pStyle w:val="ListParagraph"/>
        <w:numPr>
          <w:ilvl w:val="0"/>
          <w:numId w:val="2"/>
        </w:numPr>
        <w:spacing w:after="0" w:line="240" w:lineRule="auto"/>
        <w:rPr>
          <w:rFonts w:ascii="Arial" w:hAnsi="Arial" w:cs="Arial"/>
          <w:b/>
          <w:sz w:val="24"/>
        </w:rPr>
      </w:pPr>
      <w:r w:rsidRPr="00401828">
        <w:rPr>
          <w:rFonts w:ascii="Arial" w:hAnsi="Arial" w:cs="Arial"/>
          <w:b/>
          <w:sz w:val="24"/>
        </w:rPr>
        <w:t>Recommendation/summary</w:t>
      </w:r>
    </w:p>
    <w:p w14:paraId="4AF666CB" w14:textId="77777777" w:rsidR="003C79C4" w:rsidRDefault="003C79C4" w:rsidP="003C79C4">
      <w:pPr>
        <w:spacing w:after="0" w:line="240" w:lineRule="auto"/>
        <w:rPr>
          <w:rFonts w:ascii="Arial" w:hAnsi="Arial" w:cs="Arial"/>
          <w:sz w:val="24"/>
        </w:rPr>
      </w:pPr>
    </w:p>
    <w:p w14:paraId="47A7B9E8" w14:textId="503AE8E6" w:rsidR="0092115F" w:rsidRDefault="0092115F" w:rsidP="0092115F">
      <w:pPr>
        <w:spacing w:after="0" w:line="240" w:lineRule="auto"/>
        <w:rPr>
          <w:rFonts w:ascii="Arial" w:hAnsi="Arial" w:cs="Arial"/>
          <w:sz w:val="24"/>
        </w:rPr>
      </w:pPr>
      <w:r w:rsidRPr="0092115F">
        <w:rPr>
          <w:rFonts w:ascii="Arial" w:hAnsi="Arial" w:cs="Arial"/>
          <w:sz w:val="24"/>
        </w:rPr>
        <w:t xml:space="preserve">The </w:t>
      </w:r>
      <w:r w:rsidR="00654CA5">
        <w:rPr>
          <w:rFonts w:ascii="Arial" w:hAnsi="Arial" w:cs="Arial"/>
          <w:sz w:val="24"/>
        </w:rPr>
        <w:t>Board of Directors</w:t>
      </w:r>
      <w:r w:rsidRPr="0092115F">
        <w:rPr>
          <w:rFonts w:ascii="Arial" w:hAnsi="Arial" w:cs="Arial"/>
          <w:sz w:val="24"/>
        </w:rPr>
        <w:t xml:space="preserve"> is asked to note the content of the report and the actions outlined</w:t>
      </w:r>
      <w:r w:rsidR="00FF1985">
        <w:rPr>
          <w:rFonts w:ascii="Arial" w:hAnsi="Arial" w:cs="Arial"/>
          <w:sz w:val="24"/>
        </w:rPr>
        <w:t>.</w:t>
      </w:r>
    </w:p>
    <w:p w14:paraId="6D49486B" w14:textId="77777777" w:rsidR="00FF1985" w:rsidRPr="0092115F" w:rsidRDefault="00FF1985" w:rsidP="0092115F">
      <w:pPr>
        <w:spacing w:after="0" w:line="240" w:lineRule="auto"/>
        <w:rPr>
          <w:rFonts w:ascii="Arial" w:hAnsi="Arial" w:cs="Arial"/>
          <w:sz w:val="24"/>
        </w:rPr>
      </w:pPr>
    </w:p>
    <w:p w14:paraId="0893DB24" w14:textId="77777777" w:rsidR="0092115F" w:rsidRPr="0092115F" w:rsidRDefault="0092115F" w:rsidP="0092115F">
      <w:pPr>
        <w:spacing w:after="0" w:line="240" w:lineRule="auto"/>
        <w:rPr>
          <w:rFonts w:ascii="Arial" w:hAnsi="Arial" w:cs="Arial"/>
          <w:sz w:val="24"/>
        </w:rPr>
      </w:pPr>
      <w:r w:rsidRPr="0092115F">
        <w:rPr>
          <w:rFonts w:ascii="Arial" w:hAnsi="Arial" w:cs="Arial"/>
          <w:sz w:val="24"/>
        </w:rPr>
        <w:t>Chris Rowlands</w:t>
      </w:r>
      <w:r w:rsidRPr="0092115F">
        <w:rPr>
          <w:rFonts w:ascii="Arial" w:hAnsi="Arial" w:cs="Arial"/>
          <w:sz w:val="24"/>
        </w:rPr>
        <w:tab/>
      </w:r>
      <w:r w:rsidRPr="0092115F">
        <w:rPr>
          <w:rFonts w:ascii="Arial" w:hAnsi="Arial" w:cs="Arial"/>
          <w:sz w:val="24"/>
        </w:rPr>
        <w:tab/>
      </w:r>
      <w:r w:rsidRPr="0092115F">
        <w:rPr>
          <w:rFonts w:ascii="Arial" w:hAnsi="Arial" w:cs="Arial"/>
          <w:sz w:val="24"/>
        </w:rPr>
        <w:tab/>
      </w:r>
      <w:r w:rsidRPr="0092115F">
        <w:rPr>
          <w:rFonts w:ascii="Arial" w:hAnsi="Arial" w:cs="Arial"/>
          <w:sz w:val="24"/>
        </w:rPr>
        <w:tab/>
        <w:t xml:space="preserve">Lynne Shaw </w:t>
      </w:r>
    </w:p>
    <w:p w14:paraId="690C7B19" w14:textId="2B4ABB90" w:rsidR="003C79C4" w:rsidRDefault="0092115F" w:rsidP="0092115F">
      <w:pPr>
        <w:spacing w:after="0" w:line="240" w:lineRule="auto"/>
        <w:rPr>
          <w:rFonts w:ascii="Arial" w:hAnsi="Arial" w:cs="Arial"/>
          <w:sz w:val="24"/>
        </w:rPr>
      </w:pPr>
      <w:r w:rsidRPr="0092115F">
        <w:rPr>
          <w:rFonts w:ascii="Arial" w:hAnsi="Arial" w:cs="Arial"/>
          <w:sz w:val="24"/>
        </w:rPr>
        <w:t>Equality and Diversity Lead</w:t>
      </w:r>
      <w:r w:rsidRPr="0092115F">
        <w:rPr>
          <w:rFonts w:ascii="Arial" w:hAnsi="Arial" w:cs="Arial"/>
          <w:sz w:val="24"/>
        </w:rPr>
        <w:tab/>
      </w:r>
      <w:r w:rsidRPr="0092115F">
        <w:rPr>
          <w:rFonts w:ascii="Arial" w:hAnsi="Arial" w:cs="Arial"/>
          <w:sz w:val="24"/>
        </w:rPr>
        <w:tab/>
        <w:t>Executive Director of Workforce &amp; OD</w:t>
      </w:r>
    </w:p>
    <w:p w14:paraId="5523ACAC" w14:textId="77777777" w:rsidR="008B5977" w:rsidRPr="008B5977" w:rsidRDefault="008B5977" w:rsidP="008B5977">
      <w:pPr>
        <w:spacing w:after="0" w:line="240" w:lineRule="auto"/>
        <w:jc w:val="both"/>
        <w:rPr>
          <w:rFonts w:ascii="Arial" w:eastAsia="Times New Roman" w:hAnsi="Arial" w:cs="Arial"/>
          <w:b/>
          <w:color w:val="000000"/>
          <w:sz w:val="24"/>
          <w:szCs w:val="24"/>
        </w:rPr>
      </w:pPr>
      <w:r w:rsidRPr="008B5977">
        <w:rPr>
          <w:rFonts w:ascii="Arial" w:eastAsia="Times New Roman" w:hAnsi="Arial" w:cs="Arial"/>
          <w:noProof/>
          <w:color w:val="000000"/>
          <w:sz w:val="24"/>
          <w:szCs w:val="24"/>
          <w:lang w:eastAsia="en-GB"/>
        </w:rPr>
        <w:lastRenderedPageBreak/>
        <w:drawing>
          <wp:anchor distT="0" distB="0" distL="114300" distR="114300" simplePos="0" relativeHeight="251662336" behindDoc="0" locked="0" layoutInCell="1" allowOverlap="1" wp14:anchorId="18885E95" wp14:editId="42A13E64">
            <wp:simplePos x="0" y="0"/>
            <wp:positionH relativeFrom="column">
              <wp:posOffset>3035935</wp:posOffset>
            </wp:positionH>
            <wp:positionV relativeFrom="paragraph">
              <wp:posOffset>-914400</wp:posOffset>
            </wp:positionV>
            <wp:extent cx="3601085" cy="1635760"/>
            <wp:effectExtent l="0" t="0" r="0" b="0"/>
            <wp:wrapNone/>
            <wp:docPr id="73" name="Picture 7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Graphical user interface, text, applicat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1085" cy="1635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A428E9" w14:textId="77777777" w:rsidR="008B5977" w:rsidRPr="008B5977" w:rsidRDefault="008B5977" w:rsidP="008B5977">
      <w:pPr>
        <w:spacing w:after="0" w:line="240" w:lineRule="auto"/>
        <w:jc w:val="both"/>
        <w:rPr>
          <w:rFonts w:ascii="Arial" w:eastAsia="+mn-ea" w:hAnsi="Arial" w:cs="+mn-cs"/>
          <w:b/>
          <w:color w:val="141B4D"/>
          <w:kern w:val="24"/>
          <w:sz w:val="24"/>
          <w:szCs w:val="24"/>
        </w:rPr>
      </w:pPr>
    </w:p>
    <w:p w14:paraId="38C25819" w14:textId="77777777" w:rsidR="008B5977" w:rsidRPr="008B5977" w:rsidRDefault="008B5977" w:rsidP="008B5977">
      <w:pPr>
        <w:spacing w:after="0" w:line="240" w:lineRule="auto"/>
        <w:jc w:val="both"/>
        <w:rPr>
          <w:rFonts w:ascii="Arial" w:eastAsia="+mn-ea" w:hAnsi="Arial" w:cs="+mn-cs"/>
          <w:b/>
          <w:color w:val="141B4D"/>
          <w:kern w:val="24"/>
          <w:sz w:val="24"/>
          <w:szCs w:val="24"/>
        </w:rPr>
      </w:pPr>
    </w:p>
    <w:p w14:paraId="12BA8EAD" w14:textId="77777777" w:rsidR="008B5977" w:rsidRPr="008B5977" w:rsidRDefault="008B5977" w:rsidP="008B5977">
      <w:pPr>
        <w:spacing w:after="0" w:line="240" w:lineRule="auto"/>
        <w:jc w:val="both"/>
        <w:rPr>
          <w:rFonts w:ascii="Arial" w:eastAsia="+mn-ea" w:hAnsi="Arial" w:cs="+mn-cs"/>
          <w:b/>
          <w:color w:val="141B4D"/>
          <w:kern w:val="24"/>
          <w:sz w:val="24"/>
          <w:szCs w:val="24"/>
        </w:rPr>
      </w:pPr>
    </w:p>
    <w:p w14:paraId="1A00434A" w14:textId="77777777" w:rsidR="008B5977" w:rsidRPr="008B5977" w:rsidRDefault="008B5977" w:rsidP="008B5977">
      <w:pPr>
        <w:spacing w:after="0" w:line="240" w:lineRule="auto"/>
        <w:jc w:val="both"/>
        <w:rPr>
          <w:rFonts w:ascii="Arial" w:eastAsia="+mn-ea" w:hAnsi="Arial" w:cs="+mn-cs"/>
          <w:b/>
          <w:color w:val="141B4D"/>
          <w:kern w:val="24"/>
          <w:sz w:val="24"/>
          <w:szCs w:val="24"/>
        </w:rPr>
      </w:pPr>
    </w:p>
    <w:p w14:paraId="17222974" w14:textId="77777777" w:rsidR="008B5977" w:rsidRPr="008B5977" w:rsidRDefault="008B5977" w:rsidP="008B5977">
      <w:pPr>
        <w:spacing w:after="0" w:line="240" w:lineRule="auto"/>
        <w:jc w:val="both"/>
        <w:rPr>
          <w:rFonts w:ascii="Arial" w:eastAsia="+mn-ea" w:hAnsi="Arial" w:cs="+mn-cs"/>
          <w:b/>
          <w:color w:val="141B4D"/>
          <w:kern w:val="24"/>
          <w:sz w:val="24"/>
          <w:szCs w:val="24"/>
        </w:rPr>
      </w:pPr>
    </w:p>
    <w:p w14:paraId="149D0A21" w14:textId="77777777" w:rsidR="008B5977" w:rsidRPr="008B5977" w:rsidRDefault="008B5977" w:rsidP="008B5977">
      <w:pPr>
        <w:spacing w:after="0" w:line="240" w:lineRule="auto"/>
        <w:jc w:val="both"/>
        <w:rPr>
          <w:rFonts w:ascii="Arial" w:eastAsia="+mn-ea" w:hAnsi="Arial" w:cs="+mn-cs"/>
          <w:b/>
          <w:color w:val="141B4D"/>
          <w:kern w:val="24"/>
          <w:sz w:val="24"/>
          <w:szCs w:val="24"/>
        </w:rPr>
      </w:pPr>
    </w:p>
    <w:p w14:paraId="679A564C" w14:textId="77777777" w:rsidR="008B5977" w:rsidRPr="008B5977" w:rsidRDefault="008B5977" w:rsidP="008B5977">
      <w:pPr>
        <w:spacing w:after="0" w:line="240" w:lineRule="auto"/>
        <w:jc w:val="both"/>
        <w:rPr>
          <w:rFonts w:ascii="Arial" w:eastAsia="+mn-ea" w:hAnsi="Arial" w:cs="+mn-cs"/>
          <w:b/>
          <w:color w:val="141B4D"/>
          <w:kern w:val="24"/>
          <w:sz w:val="24"/>
          <w:szCs w:val="24"/>
        </w:rPr>
      </w:pPr>
    </w:p>
    <w:p w14:paraId="26ED984C" w14:textId="77777777" w:rsidR="008B5977" w:rsidRPr="008B5977" w:rsidRDefault="008B5977" w:rsidP="008B5977">
      <w:pPr>
        <w:spacing w:after="0" w:line="240" w:lineRule="auto"/>
        <w:jc w:val="both"/>
        <w:rPr>
          <w:rFonts w:ascii="Arial" w:eastAsia="+mn-ea" w:hAnsi="Arial" w:cs="+mn-cs"/>
          <w:b/>
          <w:color w:val="141B4D"/>
          <w:kern w:val="24"/>
          <w:sz w:val="24"/>
          <w:szCs w:val="24"/>
        </w:rPr>
      </w:pPr>
    </w:p>
    <w:p w14:paraId="03F86AAA" w14:textId="77777777" w:rsidR="008B5977" w:rsidRPr="008B5977" w:rsidRDefault="008B5977" w:rsidP="008B5977">
      <w:pPr>
        <w:spacing w:after="0" w:line="240" w:lineRule="auto"/>
        <w:jc w:val="both"/>
        <w:rPr>
          <w:rFonts w:ascii="Arial" w:eastAsia="+mn-ea" w:hAnsi="Arial" w:cs="+mn-cs"/>
          <w:b/>
          <w:color w:val="141B4D"/>
          <w:kern w:val="24"/>
          <w:sz w:val="24"/>
          <w:szCs w:val="24"/>
        </w:rPr>
      </w:pPr>
    </w:p>
    <w:p w14:paraId="6C20A112" w14:textId="77777777" w:rsidR="008B5977" w:rsidRPr="008B5977" w:rsidRDefault="008B5977" w:rsidP="008B5977">
      <w:pPr>
        <w:spacing w:after="0" w:line="240" w:lineRule="auto"/>
        <w:jc w:val="both"/>
        <w:rPr>
          <w:rFonts w:ascii="Arial" w:eastAsia="+mn-ea" w:hAnsi="Arial" w:cs="+mn-cs"/>
          <w:b/>
          <w:color w:val="141B4D"/>
          <w:kern w:val="24"/>
          <w:sz w:val="24"/>
          <w:szCs w:val="24"/>
        </w:rPr>
      </w:pPr>
    </w:p>
    <w:p w14:paraId="3AD01AE9" w14:textId="77777777" w:rsidR="008B5977" w:rsidRPr="008B5977" w:rsidRDefault="008B5977" w:rsidP="008B5977">
      <w:pPr>
        <w:spacing w:after="0" w:line="240" w:lineRule="auto"/>
        <w:jc w:val="both"/>
        <w:rPr>
          <w:rFonts w:ascii="Arial" w:eastAsia="+mn-ea" w:hAnsi="Arial" w:cs="+mn-cs"/>
          <w:b/>
          <w:color w:val="141B4D"/>
          <w:kern w:val="24"/>
          <w:sz w:val="24"/>
          <w:szCs w:val="24"/>
        </w:rPr>
      </w:pPr>
    </w:p>
    <w:p w14:paraId="5CA541B9" w14:textId="77777777" w:rsidR="008B5977" w:rsidRPr="008B5977" w:rsidRDefault="008B5977" w:rsidP="008B5977">
      <w:pPr>
        <w:spacing w:after="0" w:line="240" w:lineRule="auto"/>
        <w:jc w:val="both"/>
        <w:rPr>
          <w:rFonts w:ascii="Arial" w:eastAsia="+mn-ea" w:hAnsi="Arial" w:cs="+mn-cs"/>
          <w:b/>
          <w:color w:val="141B4D"/>
          <w:kern w:val="24"/>
          <w:sz w:val="24"/>
          <w:szCs w:val="24"/>
        </w:rPr>
      </w:pPr>
    </w:p>
    <w:p w14:paraId="4AD73152" w14:textId="77777777" w:rsidR="008B5977" w:rsidRPr="008B5977" w:rsidRDefault="008B5977" w:rsidP="008B5977">
      <w:pPr>
        <w:spacing w:after="0" w:line="240" w:lineRule="auto"/>
        <w:rPr>
          <w:rFonts w:ascii="Arial" w:eastAsia="+mn-ea" w:hAnsi="Arial" w:cs="+mn-cs"/>
          <w:bCs/>
          <w:color w:val="141B4D"/>
          <w:kern w:val="24"/>
          <w:sz w:val="96"/>
          <w:szCs w:val="96"/>
        </w:rPr>
      </w:pPr>
    </w:p>
    <w:p w14:paraId="3C8BEBD5" w14:textId="77777777" w:rsidR="008B5977" w:rsidRPr="008B5977" w:rsidRDefault="008B5977" w:rsidP="008B5977">
      <w:pPr>
        <w:spacing w:after="0" w:line="240" w:lineRule="auto"/>
        <w:rPr>
          <w:rFonts w:ascii="Arial" w:eastAsia="+mn-ea" w:hAnsi="Arial" w:cs="+mn-cs"/>
          <w:bCs/>
          <w:color w:val="141B4D"/>
          <w:kern w:val="24"/>
          <w:sz w:val="96"/>
          <w:szCs w:val="96"/>
        </w:rPr>
      </w:pPr>
    </w:p>
    <w:p w14:paraId="5EE32A6F" w14:textId="77777777" w:rsidR="008B5977" w:rsidRPr="008B5977" w:rsidRDefault="008B5977" w:rsidP="008B5977">
      <w:pPr>
        <w:spacing w:after="0" w:line="240" w:lineRule="auto"/>
        <w:rPr>
          <w:rFonts w:ascii="Arial" w:eastAsia="+mn-ea" w:hAnsi="Arial" w:cs="+mn-cs"/>
          <w:bCs/>
          <w:color w:val="141B4D"/>
          <w:kern w:val="24"/>
          <w:sz w:val="96"/>
          <w:szCs w:val="96"/>
        </w:rPr>
      </w:pPr>
    </w:p>
    <w:p w14:paraId="4BDFDF48" w14:textId="77777777" w:rsidR="008B5977" w:rsidRPr="008B5977" w:rsidRDefault="008B5977" w:rsidP="008B5977">
      <w:pPr>
        <w:spacing w:after="0" w:line="240" w:lineRule="auto"/>
        <w:rPr>
          <w:rFonts w:ascii="Arial" w:eastAsia="+mn-ea" w:hAnsi="Arial" w:cs="+mn-cs"/>
          <w:bCs/>
          <w:color w:val="141B4D"/>
          <w:kern w:val="24"/>
          <w:sz w:val="96"/>
          <w:szCs w:val="96"/>
        </w:rPr>
      </w:pPr>
      <w:r w:rsidRPr="008B5977">
        <w:rPr>
          <w:rFonts w:ascii="Arial" w:eastAsia="Times New Roman" w:hAnsi="Arial" w:cs="Arial"/>
          <w:noProof/>
          <w:color w:val="000000"/>
          <w:sz w:val="24"/>
          <w:szCs w:val="24"/>
          <w:lang w:eastAsia="en-GB"/>
        </w:rPr>
        <w:drawing>
          <wp:anchor distT="0" distB="0" distL="114300" distR="114300" simplePos="0" relativeHeight="251661312" behindDoc="0" locked="0" layoutInCell="1" allowOverlap="1" wp14:anchorId="3EE34803" wp14:editId="304E7215">
            <wp:simplePos x="0" y="0"/>
            <wp:positionH relativeFrom="margin">
              <wp:posOffset>-533400</wp:posOffset>
            </wp:positionH>
            <wp:positionV relativeFrom="margin">
              <wp:posOffset>9063355</wp:posOffset>
            </wp:positionV>
            <wp:extent cx="5724525" cy="400050"/>
            <wp:effectExtent l="0" t="0" r="0" b="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4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5977">
        <w:rPr>
          <w:rFonts w:ascii="Arial" w:eastAsia="+mn-ea" w:hAnsi="Arial" w:cs="+mn-cs"/>
          <w:bCs/>
          <w:color w:val="141B4D"/>
          <w:kern w:val="24"/>
          <w:sz w:val="96"/>
          <w:szCs w:val="96"/>
        </w:rPr>
        <w:t>Gender Pay Gap Report 2021-2022</w:t>
      </w:r>
    </w:p>
    <w:p w14:paraId="6685A9C4" w14:textId="77777777" w:rsidR="008B5977" w:rsidRPr="008B5977" w:rsidRDefault="008B5977" w:rsidP="008B5977">
      <w:pPr>
        <w:spacing w:after="0" w:line="240" w:lineRule="auto"/>
        <w:rPr>
          <w:rFonts w:ascii="Arial" w:eastAsia="+mn-ea" w:hAnsi="Arial" w:cs="+mn-cs"/>
          <w:bCs/>
          <w:color w:val="141B4D"/>
          <w:kern w:val="24"/>
          <w:sz w:val="96"/>
          <w:szCs w:val="96"/>
        </w:rPr>
      </w:pPr>
      <w:r w:rsidRPr="008B5977">
        <w:rPr>
          <w:rFonts w:ascii="Arial" w:eastAsia="+mn-ea" w:hAnsi="Arial" w:cs="+mn-cs"/>
          <w:bCs/>
          <w:color w:val="141B4D"/>
          <w:kern w:val="24"/>
          <w:sz w:val="96"/>
          <w:szCs w:val="96"/>
        </w:rPr>
        <w:br w:type="page"/>
      </w:r>
    </w:p>
    <w:p w14:paraId="30CEB186" w14:textId="77777777" w:rsidR="008B5977" w:rsidRPr="008B5977" w:rsidRDefault="008B5977" w:rsidP="008B597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41B4D"/>
        <w:spacing w:after="0" w:line="240" w:lineRule="auto"/>
        <w:outlineLvl w:val="0"/>
        <w:rPr>
          <w:rFonts w:ascii="Arial" w:eastAsia="Times New Roman" w:hAnsi="Arial" w:cs="Arial"/>
          <w:b/>
          <w:color w:val="FFFFFF"/>
          <w:sz w:val="40"/>
          <w:szCs w:val="40"/>
        </w:rPr>
      </w:pPr>
    </w:p>
    <w:p w14:paraId="047D3C0C" w14:textId="77777777" w:rsidR="008B5977" w:rsidRPr="008B5977" w:rsidRDefault="008B5977" w:rsidP="008B597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41B4D"/>
        <w:spacing w:after="0" w:line="240" w:lineRule="auto"/>
        <w:outlineLvl w:val="0"/>
        <w:rPr>
          <w:rFonts w:ascii="Arial" w:eastAsia="Times New Roman" w:hAnsi="Arial" w:cs="Arial"/>
          <w:b/>
          <w:color w:val="FFFFFF"/>
          <w:sz w:val="40"/>
          <w:szCs w:val="40"/>
        </w:rPr>
      </w:pPr>
      <w:r w:rsidRPr="008B5977">
        <w:rPr>
          <w:rFonts w:ascii="Arial" w:eastAsia="Times New Roman" w:hAnsi="Arial" w:cs="Arial"/>
          <w:b/>
          <w:color w:val="FFFFFF"/>
          <w:sz w:val="40"/>
          <w:szCs w:val="40"/>
        </w:rPr>
        <w:t>What is gender pay gap reporting?</w:t>
      </w:r>
      <w:r w:rsidRPr="008B5977">
        <w:rPr>
          <w:rFonts w:ascii="Arial" w:eastAsia="Times New Roman" w:hAnsi="Arial" w:cs="Arial"/>
          <w:b/>
          <w:color w:val="FFFFFF"/>
          <w:sz w:val="40"/>
          <w:szCs w:val="40"/>
        </w:rPr>
        <w:br/>
      </w:r>
    </w:p>
    <w:p w14:paraId="53754E15" w14:textId="77777777" w:rsidR="008B5977" w:rsidRPr="008B5977" w:rsidRDefault="008B5977" w:rsidP="008B5977">
      <w:pPr>
        <w:spacing w:after="0" w:line="240" w:lineRule="auto"/>
        <w:rPr>
          <w:rFonts w:ascii="Arial" w:eastAsia="Times New Roman" w:hAnsi="Arial" w:cs="Arial"/>
          <w:color w:val="000000"/>
          <w:sz w:val="24"/>
          <w:szCs w:val="24"/>
        </w:rPr>
      </w:pPr>
    </w:p>
    <w:p w14:paraId="56415E89" w14:textId="77777777" w:rsidR="008B5977" w:rsidRPr="008B5977" w:rsidRDefault="008B5977" w:rsidP="008B5977">
      <w:pPr>
        <w:spacing w:after="0" w:line="240" w:lineRule="auto"/>
        <w:rPr>
          <w:rFonts w:ascii="Arial" w:eastAsia="Times New Roman" w:hAnsi="Arial" w:cs="Arial"/>
          <w:color w:val="000000"/>
          <w:sz w:val="24"/>
          <w:szCs w:val="24"/>
        </w:rPr>
      </w:pPr>
    </w:p>
    <w:p w14:paraId="24D47E9F" w14:textId="77797EB9" w:rsidR="008B5977" w:rsidRPr="008B5977" w:rsidRDefault="008B5977" w:rsidP="008B5977">
      <w:pPr>
        <w:spacing w:after="0" w:line="240" w:lineRule="auto"/>
        <w:rPr>
          <w:rFonts w:ascii="Arial" w:eastAsia="Times New Roman" w:hAnsi="Arial" w:cs="Arial"/>
          <w:color w:val="000000"/>
          <w:sz w:val="24"/>
          <w:szCs w:val="24"/>
        </w:rPr>
      </w:pPr>
      <w:r w:rsidRPr="008B5977">
        <w:rPr>
          <w:rFonts w:ascii="Arial" w:eastAsia="Times New Roman" w:hAnsi="Arial" w:cs="Arial"/>
          <w:color w:val="000000"/>
          <w:sz w:val="24"/>
          <w:szCs w:val="24"/>
        </w:rPr>
        <w:t xml:space="preserve">Gender pay gap reporting compares the average hourly earnings of male and female staff. The regulations require employers with over 250 staff to publish six metrics each year which are calculated from a snapshot date. Data in this report </w:t>
      </w:r>
      <w:r w:rsidR="00FF1985">
        <w:rPr>
          <w:rFonts w:ascii="Arial" w:eastAsia="Times New Roman" w:hAnsi="Arial" w:cs="Arial"/>
          <w:color w:val="000000"/>
          <w:sz w:val="24"/>
          <w:szCs w:val="24"/>
        </w:rPr>
        <w:t>is</w:t>
      </w:r>
      <w:r w:rsidRPr="008B5977">
        <w:rPr>
          <w:rFonts w:ascii="Arial" w:eastAsia="Times New Roman" w:hAnsi="Arial" w:cs="Arial"/>
          <w:color w:val="000000"/>
          <w:sz w:val="24"/>
          <w:szCs w:val="24"/>
        </w:rPr>
        <w:t xml:space="preserve"> calculated from a snapshot taken on 31 March 2022. The report analyses the pay disparities between the binary sexes of men and women. At Cumbria, Northumberland, Tyne and Wear NHS F</w:t>
      </w:r>
      <w:r w:rsidR="00FF1985">
        <w:rPr>
          <w:rFonts w:ascii="Arial" w:eastAsia="Times New Roman" w:hAnsi="Arial" w:cs="Arial"/>
          <w:color w:val="000000"/>
          <w:sz w:val="24"/>
          <w:szCs w:val="24"/>
        </w:rPr>
        <w:t>oundation Trust</w:t>
      </w:r>
      <w:r w:rsidRPr="008B5977">
        <w:rPr>
          <w:rFonts w:ascii="Arial" w:eastAsia="Times New Roman" w:hAnsi="Arial" w:cs="Arial"/>
          <w:color w:val="000000"/>
          <w:sz w:val="24"/>
          <w:szCs w:val="24"/>
        </w:rPr>
        <w:t xml:space="preserve"> we recognise that gender identity is non-binary and commit to increasing our understanding of the barriers faced by minority groups.</w:t>
      </w:r>
    </w:p>
    <w:p w14:paraId="070A4CDE" w14:textId="77777777" w:rsidR="008B5977" w:rsidRPr="008B5977" w:rsidRDefault="008B5977" w:rsidP="008B5977">
      <w:pPr>
        <w:spacing w:after="0" w:line="240" w:lineRule="auto"/>
        <w:rPr>
          <w:rFonts w:ascii="Arial" w:eastAsia="Times New Roman" w:hAnsi="Arial" w:cs="Arial"/>
          <w:color w:val="000000"/>
          <w:sz w:val="24"/>
          <w:szCs w:val="24"/>
        </w:rPr>
      </w:pPr>
    </w:p>
    <w:p w14:paraId="31338F7B" w14:textId="77777777" w:rsidR="008B5977" w:rsidRPr="008B5977" w:rsidRDefault="008B5977" w:rsidP="008B5977">
      <w:pPr>
        <w:spacing w:after="0" w:line="240" w:lineRule="auto"/>
        <w:rPr>
          <w:rFonts w:ascii="Arial" w:eastAsia="Times New Roman" w:hAnsi="Arial" w:cs="Arial"/>
          <w:color w:val="141B4D"/>
          <w:sz w:val="24"/>
          <w:szCs w:val="24"/>
        </w:rPr>
      </w:pPr>
      <w:r w:rsidRPr="008B5977">
        <w:rPr>
          <w:rFonts w:ascii="Arial" w:eastAsia="Times New Roman" w:hAnsi="Arial" w:cs="Arial"/>
          <w:b/>
          <w:bCs/>
          <w:color w:val="141B4D"/>
          <w:sz w:val="24"/>
          <w:szCs w:val="24"/>
        </w:rPr>
        <w:t>The six metrics we are reporting on are</w:t>
      </w:r>
      <w:r w:rsidRPr="008B5977">
        <w:rPr>
          <w:rFonts w:ascii="Arial" w:eastAsia="Times New Roman" w:hAnsi="Arial" w:cs="Arial"/>
          <w:color w:val="141B4D"/>
          <w:sz w:val="24"/>
          <w:szCs w:val="24"/>
        </w:rPr>
        <w:t>:</w:t>
      </w:r>
      <w:r w:rsidRPr="008B5977">
        <w:rPr>
          <w:rFonts w:ascii="Arial" w:eastAsia="Times New Roman" w:hAnsi="Arial" w:cs="Arial"/>
          <w:noProof/>
          <w:color w:val="141B4D"/>
          <w:sz w:val="24"/>
          <w:szCs w:val="24"/>
          <w:lang w:eastAsia="en-GB"/>
        </w:rPr>
        <w:drawing>
          <wp:inline distT="0" distB="0" distL="0" distR="0" wp14:anchorId="4C7B650C" wp14:editId="34E059E6">
            <wp:extent cx="5486400" cy="3200400"/>
            <wp:effectExtent l="38100" t="0" r="571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2142951" w14:textId="77777777" w:rsidR="008B5977" w:rsidRPr="008B5977" w:rsidRDefault="008B5977" w:rsidP="008B5977">
      <w:pPr>
        <w:spacing w:after="0" w:line="240" w:lineRule="auto"/>
        <w:rPr>
          <w:rFonts w:ascii="Arial" w:eastAsia="Times New Roman" w:hAnsi="Arial" w:cs="Arial"/>
          <w:b/>
          <w:bCs/>
          <w:color w:val="141B4D"/>
          <w:sz w:val="24"/>
          <w:szCs w:val="24"/>
        </w:rPr>
      </w:pPr>
      <w:r w:rsidRPr="008B5977">
        <w:rPr>
          <w:rFonts w:ascii="Arial" w:eastAsia="Times New Roman" w:hAnsi="Arial" w:cs="Arial"/>
          <w:b/>
          <w:bCs/>
          <w:color w:val="141B4D"/>
          <w:sz w:val="24"/>
          <w:szCs w:val="24"/>
        </w:rPr>
        <w:t>Gender pay gap vs equal pay</w:t>
      </w:r>
    </w:p>
    <w:p w14:paraId="7A81D4C6" w14:textId="77777777" w:rsidR="008B5977" w:rsidRPr="008B5977" w:rsidRDefault="008B5977" w:rsidP="008B5977">
      <w:pPr>
        <w:spacing w:after="0" w:line="240" w:lineRule="auto"/>
        <w:rPr>
          <w:rFonts w:ascii="Arial" w:eastAsia="Times New Roman" w:hAnsi="Arial" w:cs="Arial"/>
          <w:color w:val="141B4D"/>
          <w:sz w:val="24"/>
          <w:szCs w:val="24"/>
        </w:rPr>
      </w:pPr>
    </w:p>
    <w:p w14:paraId="61CCB3A7" w14:textId="77777777" w:rsidR="008B5977" w:rsidRPr="008B5977" w:rsidRDefault="008B5977" w:rsidP="008B5977">
      <w:pPr>
        <w:spacing w:after="0" w:line="240" w:lineRule="auto"/>
        <w:rPr>
          <w:rFonts w:ascii="Arial" w:eastAsia="Times New Roman" w:hAnsi="Arial" w:cs="Arial"/>
          <w:sz w:val="24"/>
          <w:szCs w:val="24"/>
        </w:rPr>
      </w:pPr>
      <w:r w:rsidRPr="008B5977">
        <w:rPr>
          <w:rFonts w:ascii="Arial" w:eastAsia="Times New Roman" w:hAnsi="Arial" w:cs="Arial"/>
          <w:sz w:val="24"/>
          <w:szCs w:val="24"/>
        </w:rPr>
        <w:t>The gender pay gap measures the differences in hourly pay between men and women, no matter what their role in an organisation.</w:t>
      </w:r>
    </w:p>
    <w:p w14:paraId="0514F419" w14:textId="77777777" w:rsidR="008B5977" w:rsidRPr="008B5977" w:rsidRDefault="008B5977" w:rsidP="008B5977">
      <w:pPr>
        <w:spacing w:after="0" w:line="240" w:lineRule="auto"/>
        <w:rPr>
          <w:rFonts w:ascii="Arial" w:eastAsia="Times New Roman" w:hAnsi="Arial" w:cs="Arial"/>
          <w:sz w:val="24"/>
          <w:szCs w:val="24"/>
        </w:rPr>
      </w:pPr>
    </w:p>
    <w:p w14:paraId="0FE5222D" w14:textId="2D3769A6" w:rsidR="008B5977" w:rsidRPr="008B5977" w:rsidRDefault="008B5977" w:rsidP="008B5977">
      <w:pPr>
        <w:spacing w:after="0" w:line="240" w:lineRule="auto"/>
        <w:rPr>
          <w:rFonts w:ascii="Arial" w:eastAsia="Times New Roman" w:hAnsi="Arial" w:cs="Arial"/>
          <w:sz w:val="24"/>
          <w:szCs w:val="24"/>
        </w:rPr>
      </w:pPr>
      <w:r w:rsidRPr="008B5977">
        <w:rPr>
          <w:rFonts w:ascii="Arial" w:eastAsia="Times New Roman" w:hAnsi="Arial" w:cs="Arial"/>
          <w:sz w:val="24"/>
          <w:szCs w:val="24"/>
        </w:rPr>
        <w:t>Equal pay is the right of men and women to be paid the same for the same work or work of equal value. Cumbria, Northumberland, Tyne and Wear NHS F</w:t>
      </w:r>
      <w:r w:rsidR="00FF1985">
        <w:rPr>
          <w:rFonts w:ascii="Arial" w:eastAsia="Times New Roman" w:hAnsi="Arial" w:cs="Arial"/>
          <w:sz w:val="24"/>
          <w:szCs w:val="24"/>
        </w:rPr>
        <w:t>oundation Trust</w:t>
      </w:r>
      <w:r w:rsidRPr="008B5977">
        <w:rPr>
          <w:rFonts w:ascii="Arial" w:eastAsia="Times New Roman" w:hAnsi="Arial" w:cs="Arial"/>
          <w:sz w:val="24"/>
          <w:szCs w:val="24"/>
        </w:rPr>
        <w:t xml:space="preserve"> is committed to ensur</w:t>
      </w:r>
      <w:r w:rsidR="00FF1985">
        <w:rPr>
          <w:rFonts w:ascii="Arial" w:eastAsia="Times New Roman" w:hAnsi="Arial" w:cs="Arial"/>
          <w:sz w:val="24"/>
          <w:szCs w:val="24"/>
        </w:rPr>
        <w:t>ing</w:t>
      </w:r>
      <w:r w:rsidRPr="008B5977">
        <w:rPr>
          <w:rFonts w:ascii="Arial" w:eastAsia="Times New Roman" w:hAnsi="Arial" w:cs="Arial"/>
          <w:sz w:val="24"/>
          <w:szCs w:val="24"/>
        </w:rPr>
        <w:t xml:space="preserve"> that it remains an Equal Pay Employer.</w:t>
      </w:r>
    </w:p>
    <w:p w14:paraId="645CC993" w14:textId="77777777" w:rsidR="008B5977" w:rsidRPr="008B5977" w:rsidRDefault="008B5977" w:rsidP="008B5977">
      <w:pPr>
        <w:spacing w:after="0" w:line="240" w:lineRule="auto"/>
        <w:rPr>
          <w:rFonts w:ascii="Arial" w:eastAsia="Times New Roman" w:hAnsi="Arial" w:cs="Arial"/>
          <w:sz w:val="24"/>
          <w:szCs w:val="24"/>
        </w:rPr>
      </w:pPr>
      <w:r w:rsidRPr="008B5977">
        <w:rPr>
          <w:rFonts w:ascii="Arial" w:eastAsia="Times New Roman" w:hAnsi="Arial" w:cs="Arial"/>
          <w:sz w:val="24"/>
          <w:szCs w:val="24"/>
        </w:rPr>
        <w:br w:type="page"/>
      </w:r>
    </w:p>
    <w:p w14:paraId="56ADF334" w14:textId="77777777" w:rsidR="008B5977" w:rsidRPr="008B5977" w:rsidRDefault="008B5977" w:rsidP="008B5977">
      <w:pPr>
        <w:keepNext/>
        <w:shd w:val="clear" w:color="auto" w:fill="141B4D"/>
        <w:spacing w:after="0" w:line="240" w:lineRule="auto"/>
        <w:outlineLvl w:val="0"/>
        <w:rPr>
          <w:rFonts w:ascii="Arial" w:eastAsia="Times New Roman" w:hAnsi="Arial" w:cs="Arial"/>
          <w:b/>
          <w:color w:val="FFFFFF"/>
          <w:sz w:val="40"/>
          <w:szCs w:val="40"/>
        </w:rPr>
      </w:pPr>
    </w:p>
    <w:p w14:paraId="6A57F3D2" w14:textId="77777777" w:rsidR="008B5977" w:rsidRPr="008B5977" w:rsidRDefault="008B5977" w:rsidP="008B5977">
      <w:pPr>
        <w:keepNext/>
        <w:shd w:val="clear" w:color="auto" w:fill="141B4D"/>
        <w:spacing w:after="0" w:line="240" w:lineRule="auto"/>
        <w:outlineLvl w:val="0"/>
        <w:rPr>
          <w:rFonts w:ascii="Arial" w:eastAsia="Times New Roman" w:hAnsi="Arial" w:cs="Arial"/>
          <w:b/>
          <w:color w:val="FFFFFF"/>
          <w:sz w:val="40"/>
          <w:szCs w:val="40"/>
        </w:rPr>
      </w:pPr>
      <w:r w:rsidRPr="008B5977">
        <w:rPr>
          <w:rFonts w:ascii="Arial" w:eastAsia="Times New Roman" w:hAnsi="Arial" w:cs="Arial"/>
          <w:b/>
          <w:color w:val="FFFFFF"/>
          <w:sz w:val="40"/>
          <w:szCs w:val="40"/>
        </w:rPr>
        <w:t>The gender pay gap and Cumbria, Northumberland Tyne and Wear NHS FT</w:t>
      </w:r>
    </w:p>
    <w:p w14:paraId="4B31A8A3" w14:textId="77777777" w:rsidR="008B5977" w:rsidRPr="008B5977" w:rsidRDefault="008B5977" w:rsidP="008B5977">
      <w:pPr>
        <w:shd w:val="clear" w:color="auto" w:fill="141B4D"/>
        <w:spacing w:after="0" w:line="240" w:lineRule="auto"/>
        <w:rPr>
          <w:rFonts w:ascii="Arial" w:eastAsia="Times New Roman" w:hAnsi="Arial" w:cs="Arial"/>
          <w:color w:val="FFFFFF"/>
          <w:sz w:val="24"/>
          <w:szCs w:val="24"/>
        </w:rPr>
      </w:pPr>
    </w:p>
    <w:p w14:paraId="4B1F5DE4" w14:textId="77777777" w:rsidR="008B5977" w:rsidRPr="008B5977" w:rsidRDefault="008B5977" w:rsidP="008B5977">
      <w:pPr>
        <w:spacing w:after="0" w:line="240" w:lineRule="auto"/>
        <w:rPr>
          <w:rFonts w:ascii="Arial" w:eastAsia="Times New Roman" w:hAnsi="Arial" w:cs="Arial"/>
          <w:color w:val="000000"/>
          <w:sz w:val="24"/>
          <w:szCs w:val="24"/>
        </w:rPr>
      </w:pPr>
    </w:p>
    <w:p w14:paraId="0D61C428" w14:textId="2F22B041" w:rsidR="008B5977" w:rsidRPr="008B5977" w:rsidRDefault="008B5977" w:rsidP="008B5977">
      <w:pPr>
        <w:spacing w:after="0" w:line="240" w:lineRule="auto"/>
        <w:rPr>
          <w:rFonts w:ascii="Arial" w:eastAsia="Times New Roman" w:hAnsi="Arial" w:cs="Arial"/>
          <w:color w:val="000000"/>
          <w:sz w:val="24"/>
          <w:szCs w:val="24"/>
        </w:rPr>
      </w:pPr>
      <w:r w:rsidRPr="008B5977">
        <w:rPr>
          <w:rFonts w:ascii="Arial" w:eastAsia="Times New Roman" w:hAnsi="Arial" w:cs="Arial"/>
          <w:color w:val="000000"/>
          <w:sz w:val="24"/>
          <w:szCs w:val="24"/>
        </w:rPr>
        <w:t>For 2021-2022, we are reporting a mean gender pay gap, based on our March 31 snapshot of 12.4% and a median gap of 2.2%. That is a slight decrease on 2020-21 reporting – down 0.8% point</w:t>
      </w:r>
      <w:r w:rsidR="00FF1985">
        <w:rPr>
          <w:rFonts w:ascii="Arial" w:eastAsia="Times New Roman" w:hAnsi="Arial" w:cs="Arial"/>
          <w:color w:val="000000"/>
          <w:sz w:val="24"/>
          <w:szCs w:val="24"/>
        </w:rPr>
        <w:t>s</w:t>
      </w:r>
      <w:r w:rsidRPr="008B5977">
        <w:rPr>
          <w:rFonts w:ascii="Arial" w:eastAsia="Times New Roman" w:hAnsi="Arial" w:cs="Arial"/>
          <w:color w:val="000000"/>
          <w:sz w:val="24"/>
          <w:szCs w:val="24"/>
        </w:rPr>
        <w:t xml:space="preserve"> for the mean and a decrease of 1.2% points for the median.</w:t>
      </w:r>
    </w:p>
    <w:p w14:paraId="7AAEDB37" w14:textId="77777777" w:rsidR="008B5977" w:rsidRPr="008B5977" w:rsidRDefault="008B5977" w:rsidP="008B5977">
      <w:pPr>
        <w:spacing w:after="0" w:line="240" w:lineRule="auto"/>
        <w:rPr>
          <w:rFonts w:ascii="Arial" w:eastAsia="Times New Roman" w:hAnsi="Arial" w:cs="Arial"/>
          <w:color w:val="000000"/>
          <w:sz w:val="24"/>
          <w:szCs w:val="24"/>
        </w:rPr>
      </w:pPr>
      <w:r w:rsidRPr="008B5977">
        <w:rPr>
          <w:rFonts w:ascii="Arial" w:eastAsia="Times New Roman" w:hAnsi="Arial" w:cs="Arial"/>
          <w:color w:val="000000"/>
          <w:sz w:val="24"/>
          <w:szCs w:val="24"/>
        </w:rPr>
        <w:t xml:space="preserve"> </w:t>
      </w:r>
    </w:p>
    <w:tbl>
      <w:tblPr>
        <w:tblStyle w:val="TableGrid2"/>
        <w:tblW w:w="0" w:type="auto"/>
        <w:tblLook w:val="04A0" w:firstRow="1" w:lastRow="0" w:firstColumn="1" w:lastColumn="0" w:noHBand="0" w:noVBand="1"/>
      </w:tblPr>
      <w:tblGrid>
        <w:gridCol w:w="2308"/>
        <w:gridCol w:w="2336"/>
        <w:gridCol w:w="2336"/>
        <w:gridCol w:w="2036"/>
      </w:tblGrid>
      <w:tr w:rsidR="008B5977" w:rsidRPr="008B5977" w14:paraId="069F5ABD" w14:textId="77777777" w:rsidTr="00893A65">
        <w:tc>
          <w:tcPr>
            <w:tcW w:w="2308" w:type="dxa"/>
          </w:tcPr>
          <w:p w14:paraId="211CBF06" w14:textId="77777777" w:rsidR="008B5977" w:rsidRPr="008B5977" w:rsidRDefault="008B5977" w:rsidP="008B5977">
            <w:pPr>
              <w:rPr>
                <w:rFonts w:ascii="Arial" w:hAnsi="Arial" w:cs="Arial"/>
                <w:b/>
                <w:bCs/>
                <w:color w:val="000000"/>
                <w:sz w:val="24"/>
                <w:szCs w:val="24"/>
              </w:rPr>
            </w:pPr>
            <w:r w:rsidRPr="008B5977">
              <w:rPr>
                <w:rFonts w:ascii="Arial" w:hAnsi="Arial" w:cs="Arial"/>
                <w:b/>
                <w:bCs/>
                <w:color w:val="000000"/>
                <w:sz w:val="24"/>
                <w:szCs w:val="24"/>
              </w:rPr>
              <w:t>Metric</w:t>
            </w:r>
          </w:p>
        </w:tc>
        <w:tc>
          <w:tcPr>
            <w:tcW w:w="2336" w:type="dxa"/>
          </w:tcPr>
          <w:p w14:paraId="66D90E56" w14:textId="77777777" w:rsidR="008B5977" w:rsidRPr="008B5977" w:rsidRDefault="008B5977" w:rsidP="008B5977">
            <w:pPr>
              <w:rPr>
                <w:rFonts w:ascii="Arial" w:hAnsi="Arial" w:cs="Arial"/>
                <w:b/>
                <w:bCs/>
                <w:color w:val="000000"/>
                <w:sz w:val="24"/>
                <w:szCs w:val="24"/>
              </w:rPr>
            </w:pPr>
            <w:r w:rsidRPr="008B5977">
              <w:rPr>
                <w:rFonts w:ascii="Arial" w:hAnsi="Arial" w:cs="Arial"/>
                <w:b/>
                <w:bCs/>
                <w:color w:val="000000"/>
                <w:sz w:val="24"/>
                <w:szCs w:val="24"/>
              </w:rPr>
              <w:t>CNTW Figures of 2021- 2022</w:t>
            </w:r>
          </w:p>
        </w:tc>
        <w:tc>
          <w:tcPr>
            <w:tcW w:w="2336" w:type="dxa"/>
          </w:tcPr>
          <w:p w14:paraId="3007EC2F" w14:textId="77777777" w:rsidR="008B5977" w:rsidRPr="008B5977" w:rsidRDefault="008B5977" w:rsidP="008B5977">
            <w:pPr>
              <w:rPr>
                <w:rFonts w:ascii="Arial" w:hAnsi="Arial" w:cs="Arial"/>
                <w:b/>
                <w:bCs/>
                <w:color w:val="000000"/>
                <w:sz w:val="24"/>
                <w:szCs w:val="24"/>
              </w:rPr>
            </w:pPr>
            <w:r w:rsidRPr="008B5977">
              <w:rPr>
                <w:rFonts w:ascii="Arial" w:hAnsi="Arial" w:cs="Arial"/>
                <w:b/>
                <w:bCs/>
                <w:color w:val="000000"/>
                <w:sz w:val="24"/>
                <w:szCs w:val="24"/>
              </w:rPr>
              <w:t>CNTW Figures for 2020-2021</w:t>
            </w:r>
          </w:p>
        </w:tc>
        <w:tc>
          <w:tcPr>
            <w:tcW w:w="2036" w:type="dxa"/>
          </w:tcPr>
          <w:p w14:paraId="3AFC92FA" w14:textId="77777777" w:rsidR="008B5977" w:rsidRPr="008B5977" w:rsidRDefault="008B5977" w:rsidP="008B5977">
            <w:pPr>
              <w:rPr>
                <w:rFonts w:ascii="Arial" w:hAnsi="Arial" w:cs="Arial"/>
                <w:b/>
                <w:bCs/>
                <w:color w:val="000000"/>
                <w:sz w:val="24"/>
                <w:szCs w:val="24"/>
              </w:rPr>
            </w:pPr>
            <w:r w:rsidRPr="008B5977">
              <w:rPr>
                <w:rFonts w:ascii="Arial" w:hAnsi="Arial" w:cs="Arial"/>
                <w:b/>
                <w:bCs/>
                <w:color w:val="000000"/>
                <w:sz w:val="24"/>
                <w:szCs w:val="24"/>
              </w:rPr>
              <w:t>CNTW Figures for 2019-2020</w:t>
            </w:r>
          </w:p>
        </w:tc>
      </w:tr>
      <w:tr w:rsidR="008B5977" w:rsidRPr="008B5977" w14:paraId="55BB425E" w14:textId="77777777" w:rsidTr="00893A65">
        <w:tc>
          <w:tcPr>
            <w:tcW w:w="2308" w:type="dxa"/>
          </w:tcPr>
          <w:p w14:paraId="2A68B6F0" w14:textId="77777777" w:rsidR="008B5977" w:rsidRPr="008B5977" w:rsidRDefault="008B5977" w:rsidP="008B5977">
            <w:pPr>
              <w:rPr>
                <w:rFonts w:ascii="Arial" w:hAnsi="Arial" w:cs="Arial"/>
                <w:color w:val="000000"/>
                <w:sz w:val="24"/>
                <w:szCs w:val="24"/>
              </w:rPr>
            </w:pPr>
            <w:r w:rsidRPr="008B5977">
              <w:rPr>
                <w:rFonts w:ascii="Arial" w:hAnsi="Arial" w:cs="Arial"/>
                <w:color w:val="000000"/>
                <w:sz w:val="24"/>
                <w:szCs w:val="24"/>
              </w:rPr>
              <w:t>Mean gender pay gap</w:t>
            </w:r>
          </w:p>
        </w:tc>
        <w:tc>
          <w:tcPr>
            <w:tcW w:w="2336" w:type="dxa"/>
          </w:tcPr>
          <w:p w14:paraId="0E3EEA76" w14:textId="77777777" w:rsidR="008B5977" w:rsidRPr="008B5977" w:rsidRDefault="008B5977" w:rsidP="008B5977">
            <w:pPr>
              <w:rPr>
                <w:rFonts w:ascii="Arial" w:hAnsi="Arial" w:cs="Arial"/>
                <w:color w:val="000000"/>
                <w:sz w:val="24"/>
                <w:szCs w:val="24"/>
              </w:rPr>
            </w:pPr>
            <w:r w:rsidRPr="008B5977">
              <w:rPr>
                <w:rFonts w:ascii="Arial" w:hAnsi="Arial" w:cs="Arial"/>
                <w:color w:val="000000"/>
                <w:sz w:val="24"/>
                <w:szCs w:val="24"/>
              </w:rPr>
              <w:t>12.4%</w:t>
            </w:r>
          </w:p>
        </w:tc>
        <w:tc>
          <w:tcPr>
            <w:tcW w:w="2336" w:type="dxa"/>
          </w:tcPr>
          <w:p w14:paraId="1EB5591B" w14:textId="77777777" w:rsidR="008B5977" w:rsidRPr="008B5977" w:rsidRDefault="008B5977" w:rsidP="008B5977">
            <w:pPr>
              <w:rPr>
                <w:rFonts w:ascii="Arial" w:hAnsi="Arial" w:cs="Arial"/>
                <w:color w:val="000000"/>
                <w:sz w:val="24"/>
                <w:szCs w:val="24"/>
              </w:rPr>
            </w:pPr>
            <w:r w:rsidRPr="008B5977">
              <w:rPr>
                <w:rFonts w:ascii="Arial" w:hAnsi="Arial" w:cs="Arial"/>
                <w:color w:val="000000"/>
                <w:sz w:val="24"/>
                <w:szCs w:val="24"/>
              </w:rPr>
              <w:t>13.2%</w:t>
            </w:r>
          </w:p>
        </w:tc>
        <w:tc>
          <w:tcPr>
            <w:tcW w:w="2036" w:type="dxa"/>
          </w:tcPr>
          <w:p w14:paraId="2E28290A" w14:textId="77777777" w:rsidR="008B5977" w:rsidRPr="008B5977" w:rsidRDefault="008B5977" w:rsidP="008B5977">
            <w:pPr>
              <w:rPr>
                <w:rFonts w:ascii="Arial" w:hAnsi="Arial" w:cs="Arial"/>
                <w:color w:val="000000"/>
                <w:sz w:val="24"/>
                <w:szCs w:val="24"/>
              </w:rPr>
            </w:pPr>
            <w:r w:rsidRPr="008B5977">
              <w:rPr>
                <w:rFonts w:ascii="Arial" w:hAnsi="Arial" w:cs="Arial"/>
                <w:color w:val="000000"/>
                <w:sz w:val="24"/>
                <w:szCs w:val="24"/>
              </w:rPr>
              <w:t>14.6%</w:t>
            </w:r>
          </w:p>
        </w:tc>
      </w:tr>
      <w:tr w:rsidR="008B5977" w:rsidRPr="008B5977" w14:paraId="21993E29" w14:textId="77777777" w:rsidTr="00893A65">
        <w:tc>
          <w:tcPr>
            <w:tcW w:w="2308" w:type="dxa"/>
          </w:tcPr>
          <w:p w14:paraId="0BEDF2E8" w14:textId="77777777" w:rsidR="008B5977" w:rsidRPr="008B5977" w:rsidRDefault="008B5977" w:rsidP="008B5977">
            <w:pPr>
              <w:rPr>
                <w:rFonts w:ascii="Arial" w:hAnsi="Arial" w:cs="Arial"/>
                <w:color w:val="000000"/>
                <w:sz w:val="24"/>
                <w:szCs w:val="24"/>
              </w:rPr>
            </w:pPr>
            <w:r w:rsidRPr="008B5977">
              <w:rPr>
                <w:rFonts w:ascii="Arial" w:hAnsi="Arial" w:cs="Arial"/>
                <w:color w:val="000000"/>
                <w:sz w:val="24"/>
                <w:szCs w:val="24"/>
              </w:rPr>
              <w:t>Median gender pay gap</w:t>
            </w:r>
          </w:p>
        </w:tc>
        <w:tc>
          <w:tcPr>
            <w:tcW w:w="2336" w:type="dxa"/>
          </w:tcPr>
          <w:p w14:paraId="428C7131" w14:textId="77777777" w:rsidR="008B5977" w:rsidRPr="008B5977" w:rsidRDefault="008B5977" w:rsidP="008B5977">
            <w:pPr>
              <w:rPr>
                <w:rFonts w:ascii="Arial" w:hAnsi="Arial" w:cs="Arial"/>
                <w:color w:val="000000"/>
                <w:sz w:val="24"/>
                <w:szCs w:val="24"/>
              </w:rPr>
            </w:pPr>
            <w:r w:rsidRPr="008B5977">
              <w:rPr>
                <w:rFonts w:ascii="Arial" w:hAnsi="Arial" w:cs="Arial"/>
                <w:color w:val="000000"/>
                <w:sz w:val="24"/>
                <w:szCs w:val="24"/>
              </w:rPr>
              <w:t>2.2%</w:t>
            </w:r>
          </w:p>
        </w:tc>
        <w:tc>
          <w:tcPr>
            <w:tcW w:w="2336" w:type="dxa"/>
          </w:tcPr>
          <w:p w14:paraId="20DF4682" w14:textId="77777777" w:rsidR="008B5977" w:rsidRPr="008B5977" w:rsidRDefault="008B5977" w:rsidP="008B5977">
            <w:pPr>
              <w:rPr>
                <w:rFonts w:ascii="Arial" w:hAnsi="Arial" w:cs="Arial"/>
                <w:color w:val="000000"/>
                <w:sz w:val="24"/>
                <w:szCs w:val="24"/>
              </w:rPr>
            </w:pPr>
            <w:r w:rsidRPr="008B5977">
              <w:rPr>
                <w:rFonts w:ascii="Arial" w:hAnsi="Arial" w:cs="Arial"/>
                <w:color w:val="000000"/>
                <w:sz w:val="24"/>
                <w:szCs w:val="24"/>
              </w:rPr>
              <w:t>3.4%</w:t>
            </w:r>
          </w:p>
        </w:tc>
        <w:tc>
          <w:tcPr>
            <w:tcW w:w="2036" w:type="dxa"/>
          </w:tcPr>
          <w:p w14:paraId="30A0BDAC" w14:textId="77777777" w:rsidR="008B5977" w:rsidRPr="008B5977" w:rsidRDefault="008B5977" w:rsidP="008B5977">
            <w:pPr>
              <w:rPr>
                <w:rFonts w:ascii="Arial" w:hAnsi="Arial" w:cs="Arial"/>
                <w:color w:val="000000"/>
                <w:sz w:val="24"/>
                <w:szCs w:val="24"/>
              </w:rPr>
            </w:pPr>
            <w:r w:rsidRPr="008B5977">
              <w:rPr>
                <w:rFonts w:ascii="Arial" w:hAnsi="Arial" w:cs="Arial"/>
                <w:color w:val="000000"/>
                <w:sz w:val="24"/>
                <w:szCs w:val="24"/>
              </w:rPr>
              <w:t>4.6%</w:t>
            </w:r>
          </w:p>
        </w:tc>
      </w:tr>
    </w:tbl>
    <w:p w14:paraId="0EF27A19" w14:textId="77777777" w:rsidR="008B5977" w:rsidRPr="008B5977" w:rsidRDefault="008B5977" w:rsidP="008B5977">
      <w:pPr>
        <w:spacing w:after="0" w:line="240" w:lineRule="auto"/>
        <w:rPr>
          <w:rFonts w:ascii="Arial" w:eastAsia="Times New Roman" w:hAnsi="Arial" w:cs="Arial"/>
          <w:color w:val="000000"/>
          <w:sz w:val="24"/>
          <w:szCs w:val="24"/>
        </w:rPr>
      </w:pPr>
    </w:p>
    <w:p w14:paraId="0742C456" w14:textId="77777777" w:rsidR="008B5977" w:rsidRPr="008B5977" w:rsidRDefault="008B5977" w:rsidP="008B5977">
      <w:pPr>
        <w:spacing w:after="0" w:line="240" w:lineRule="auto"/>
        <w:rPr>
          <w:rFonts w:ascii="Arial" w:eastAsia="Times New Roman" w:hAnsi="Arial" w:cs="Arial"/>
          <w:color w:val="000000"/>
          <w:sz w:val="24"/>
          <w:szCs w:val="24"/>
        </w:rPr>
      </w:pPr>
      <w:r w:rsidRPr="008B5977">
        <w:rPr>
          <w:rFonts w:ascii="Arial" w:eastAsia="Times New Roman" w:hAnsi="Arial" w:cs="Arial"/>
          <w:color w:val="000000"/>
          <w:sz w:val="24"/>
          <w:szCs w:val="24"/>
        </w:rPr>
        <w:t>Over the past three reporting periods the gaps for both mean and median have closed approximately a percentage point, year on year.</w:t>
      </w:r>
    </w:p>
    <w:p w14:paraId="2772D403" w14:textId="77777777" w:rsidR="008B5977" w:rsidRPr="008B5977" w:rsidRDefault="008B5977" w:rsidP="008B5977">
      <w:pPr>
        <w:spacing w:after="0" w:line="240" w:lineRule="auto"/>
        <w:rPr>
          <w:rFonts w:ascii="Arial" w:eastAsia="Times New Roman" w:hAnsi="Arial" w:cs="Arial"/>
          <w:color w:val="000000"/>
          <w:sz w:val="24"/>
          <w:szCs w:val="24"/>
        </w:rPr>
      </w:pPr>
    </w:p>
    <w:p w14:paraId="7B3C367A" w14:textId="77777777" w:rsidR="008B5977" w:rsidRPr="008B5977" w:rsidRDefault="008B5977" w:rsidP="008B5977">
      <w:pPr>
        <w:spacing w:after="0" w:line="240" w:lineRule="auto"/>
        <w:rPr>
          <w:rFonts w:ascii="Arial" w:eastAsia="Times New Roman" w:hAnsi="Arial" w:cs="Arial"/>
          <w:color w:val="141B4D"/>
          <w:sz w:val="24"/>
          <w:szCs w:val="24"/>
        </w:rPr>
      </w:pPr>
      <w:r w:rsidRPr="008B5977">
        <w:rPr>
          <w:rFonts w:ascii="Arial" w:eastAsia="Times New Roman" w:hAnsi="Arial" w:cs="Arial"/>
          <w:b/>
          <w:bCs/>
          <w:color w:val="141B4D"/>
          <w:sz w:val="24"/>
          <w:szCs w:val="24"/>
        </w:rPr>
        <w:t>Proportion of gender in each pay band</w:t>
      </w:r>
    </w:p>
    <w:p w14:paraId="5002D9C9" w14:textId="77777777" w:rsidR="008B5977" w:rsidRPr="008B5977" w:rsidRDefault="008B5977" w:rsidP="008B5977">
      <w:pPr>
        <w:spacing w:after="0" w:line="240" w:lineRule="auto"/>
        <w:rPr>
          <w:rFonts w:ascii="Arial" w:eastAsia="Times New Roman" w:hAnsi="Arial" w:cs="Arial"/>
          <w:color w:val="141B4D"/>
          <w:sz w:val="24"/>
          <w:szCs w:val="24"/>
        </w:rPr>
      </w:pPr>
    </w:p>
    <w:tbl>
      <w:tblPr>
        <w:tblStyle w:val="TableGrid2"/>
        <w:tblW w:w="0" w:type="auto"/>
        <w:tblLook w:val="04A0" w:firstRow="1" w:lastRow="0" w:firstColumn="1" w:lastColumn="0" w:noHBand="0" w:noVBand="1"/>
      </w:tblPr>
      <w:tblGrid>
        <w:gridCol w:w="2552"/>
        <w:gridCol w:w="1015"/>
        <w:gridCol w:w="1017"/>
        <w:gridCol w:w="1098"/>
        <w:gridCol w:w="1118"/>
        <w:gridCol w:w="1098"/>
        <w:gridCol w:w="1118"/>
      </w:tblGrid>
      <w:tr w:rsidR="008B5977" w:rsidRPr="008B5977" w14:paraId="39223056" w14:textId="77777777" w:rsidTr="00893A65">
        <w:tc>
          <w:tcPr>
            <w:tcW w:w="2552" w:type="dxa"/>
            <w:vMerge w:val="restart"/>
          </w:tcPr>
          <w:p w14:paraId="1869CA6A" w14:textId="77777777" w:rsidR="008B5977" w:rsidRPr="008B5977" w:rsidRDefault="008B5977" w:rsidP="008B5977">
            <w:pPr>
              <w:rPr>
                <w:rFonts w:ascii="Arial" w:hAnsi="Arial" w:cs="Arial"/>
                <w:color w:val="141B4D"/>
                <w:sz w:val="24"/>
                <w:szCs w:val="24"/>
              </w:rPr>
            </w:pPr>
          </w:p>
        </w:tc>
        <w:tc>
          <w:tcPr>
            <w:tcW w:w="2032" w:type="dxa"/>
            <w:gridSpan w:val="2"/>
          </w:tcPr>
          <w:p w14:paraId="2D87088B" w14:textId="77777777" w:rsidR="008B5977" w:rsidRPr="008B5977" w:rsidRDefault="008B5977" w:rsidP="008B5977">
            <w:pPr>
              <w:rPr>
                <w:rFonts w:ascii="Arial" w:hAnsi="Arial" w:cs="Arial"/>
                <w:color w:val="141B4D"/>
                <w:sz w:val="24"/>
                <w:szCs w:val="24"/>
              </w:rPr>
            </w:pPr>
            <w:r w:rsidRPr="008B5977">
              <w:rPr>
                <w:rFonts w:ascii="Arial" w:hAnsi="Arial" w:cs="Arial"/>
                <w:b/>
                <w:bCs/>
                <w:color w:val="000000"/>
                <w:sz w:val="24"/>
                <w:szCs w:val="24"/>
              </w:rPr>
              <w:t>CNTW Figures of 2021- 2022</w:t>
            </w:r>
          </w:p>
        </w:tc>
        <w:tc>
          <w:tcPr>
            <w:tcW w:w="2216" w:type="dxa"/>
            <w:gridSpan w:val="2"/>
          </w:tcPr>
          <w:p w14:paraId="305F93A4" w14:textId="77777777" w:rsidR="008B5977" w:rsidRPr="008B5977" w:rsidRDefault="008B5977" w:rsidP="008B5977">
            <w:pPr>
              <w:rPr>
                <w:rFonts w:ascii="Arial" w:hAnsi="Arial" w:cs="Arial"/>
                <w:color w:val="141B4D"/>
                <w:sz w:val="24"/>
                <w:szCs w:val="24"/>
              </w:rPr>
            </w:pPr>
            <w:r w:rsidRPr="008B5977">
              <w:rPr>
                <w:rFonts w:ascii="Arial" w:hAnsi="Arial" w:cs="Arial"/>
                <w:b/>
                <w:bCs/>
                <w:color w:val="000000"/>
                <w:sz w:val="24"/>
                <w:szCs w:val="24"/>
              </w:rPr>
              <w:t>CNTW Figures for 2020-2021</w:t>
            </w:r>
          </w:p>
        </w:tc>
        <w:tc>
          <w:tcPr>
            <w:tcW w:w="2216" w:type="dxa"/>
            <w:gridSpan w:val="2"/>
          </w:tcPr>
          <w:p w14:paraId="5DAFB791" w14:textId="77777777" w:rsidR="008B5977" w:rsidRPr="008B5977" w:rsidRDefault="008B5977" w:rsidP="008B5977">
            <w:pPr>
              <w:rPr>
                <w:rFonts w:ascii="Arial" w:hAnsi="Arial" w:cs="Arial"/>
                <w:color w:val="141B4D"/>
                <w:sz w:val="24"/>
                <w:szCs w:val="24"/>
              </w:rPr>
            </w:pPr>
            <w:r w:rsidRPr="008B5977">
              <w:rPr>
                <w:rFonts w:ascii="Arial" w:hAnsi="Arial" w:cs="Arial"/>
                <w:b/>
                <w:bCs/>
                <w:color w:val="000000"/>
                <w:sz w:val="24"/>
                <w:szCs w:val="24"/>
              </w:rPr>
              <w:t>CNTW Figures for 2019-2020</w:t>
            </w:r>
          </w:p>
        </w:tc>
      </w:tr>
      <w:tr w:rsidR="008B5977" w:rsidRPr="008B5977" w14:paraId="71C954CB" w14:textId="77777777" w:rsidTr="00893A65">
        <w:tc>
          <w:tcPr>
            <w:tcW w:w="2552" w:type="dxa"/>
            <w:vMerge/>
          </w:tcPr>
          <w:p w14:paraId="6FA513FA" w14:textId="77777777" w:rsidR="008B5977" w:rsidRPr="008B5977" w:rsidRDefault="008B5977" w:rsidP="008B5977">
            <w:pPr>
              <w:rPr>
                <w:rFonts w:ascii="Arial" w:hAnsi="Arial" w:cs="Arial"/>
                <w:color w:val="141B4D"/>
                <w:sz w:val="24"/>
                <w:szCs w:val="24"/>
              </w:rPr>
            </w:pPr>
          </w:p>
        </w:tc>
        <w:tc>
          <w:tcPr>
            <w:tcW w:w="1015" w:type="dxa"/>
          </w:tcPr>
          <w:p w14:paraId="2AFC5BA0"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Male</w:t>
            </w:r>
          </w:p>
        </w:tc>
        <w:tc>
          <w:tcPr>
            <w:tcW w:w="1017" w:type="dxa"/>
          </w:tcPr>
          <w:p w14:paraId="2E53E211"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Female</w:t>
            </w:r>
          </w:p>
        </w:tc>
        <w:tc>
          <w:tcPr>
            <w:tcW w:w="1098" w:type="dxa"/>
          </w:tcPr>
          <w:p w14:paraId="631470F4"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Male</w:t>
            </w:r>
          </w:p>
        </w:tc>
        <w:tc>
          <w:tcPr>
            <w:tcW w:w="1118" w:type="dxa"/>
          </w:tcPr>
          <w:p w14:paraId="223E251F"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Female</w:t>
            </w:r>
          </w:p>
        </w:tc>
        <w:tc>
          <w:tcPr>
            <w:tcW w:w="1098" w:type="dxa"/>
          </w:tcPr>
          <w:p w14:paraId="4522DFFE"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Male</w:t>
            </w:r>
          </w:p>
        </w:tc>
        <w:tc>
          <w:tcPr>
            <w:tcW w:w="1118" w:type="dxa"/>
          </w:tcPr>
          <w:p w14:paraId="65F7E2EC"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Female</w:t>
            </w:r>
          </w:p>
        </w:tc>
      </w:tr>
      <w:tr w:rsidR="008B5977" w:rsidRPr="008B5977" w14:paraId="16485335" w14:textId="77777777" w:rsidTr="00893A65">
        <w:tc>
          <w:tcPr>
            <w:tcW w:w="2552" w:type="dxa"/>
          </w:tcPr>
          <w:p w14:paraId="53C6E083"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Top quartile</w:t>
            </w:r>
          </w:p>
        </w:tc>
        <w:tc>
          <w:tcPr>
            <w:tcW w:w="1015" w:type="dxa"/>
          </w:tcPr>
          <w:p w14:paraId="0F9FE9AB"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27.7%</w:t>
            </w:r>
          </w:p>
        </w:tc>
        <w:tc>
          <w:tcPr>
            <w:tcW w:w="1017" w:type="dxa"/>
          </w:tcPr>
          <w:p w14:paraId="04D40411"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72.3%</w:t>
            </w:r>
          </w:p>
        </w:tc>
        <w:tc>
          <w:tcPr>
            <w:tcW w:w="1098" w:type="dxa"/>
          </w:tcPr>
          <w:p w14:paraId="54ACA377"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29.0%</w:t>
            </w:r>
          </w:p>
        </w:tc>
        <w:tc>
          <w:tcPr>
            <w:tcW w:w="1118" w:type="dxa"/>
          </w:tcPr>
          <w:p w14:paraId="7E07FB45"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71.0%</w:t>
            </w:r>
          </w:p>
        </w:tc>
        <w:tc>
          <w:tcPr>
            <w:tcW w:w="1098" w:type="dxa"/>
          </w:tcPr>
          <w:p w14:paraId="133F8D9D"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30.4%</w:t>
            </w:r>
          </w:p>
        </w:tc>
        <w:tc>
          <w:tcPr>
            <w:tcW w:w="1118" w:type="dxa"/>
          </w:tcPr>
          <w:p w14:paraId="08288A25"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69.6%</w:t>
            </w:r>
          </w:p>
        </w:tc>
      </w:tr>
      <w:tr w:rsidR="008B5977" w:rsidRPr="008B5977" w14:paraId="506D4107" w14:textId="77777777" w:rsidTr="00893A65">
        <w:tc>
          <w:tcPr>
            <w:tcW w:w="2552" w:type="dxa"/>
          </w:tcPr>
          <w:p w14:paraId="6FACE0B5"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Upper middle</w:t>
            </w:r>
          </w:p>
        </w:tc>
        <w:tc>
          <w:tcPr>
            <w:tcW w:w="1015" w:type="dxa"/>
          </w:tcPr>
          <w:p w14:paraId="56357265"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20.0%</w:t>
            </w:r>
          </w:p>
        </w:tc>
        <w:tc>
          <w:tcPr>
            <w:tcW w:w="1017" w:type="dxa"/>
          </w:tcPr>
          <w:p w14:paraId="5B72633B"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80.0%</w:t>
            </w:r>
          </w:p>
        </w:tc>
        <w:tc>
          <w:tcPr>
            <w:tcW w:w="1098" w:type="dxa"/>
          </w:tcPr>
          <w:p w14:paraId="4E55C6C5" w14:textId="77777777" w:rsidR="008B5977" w:rsidRPr="008B5977" w:rsidRDefault="008B5977" w:rsidP="008B5977">
            <w:pPr>
              <w:rPr>
                <w:rFonts w:ascii="Arial" w:hAnsi="Arial" w:cs="Arial"/>
                <w:color w:val="141B4D"/>
                <w:sz w:val="24"/>
                <w:szCs w:val="24"/>
              </w:rPr>
            </w:pPr>
            <w:r w:rsidRPr="008B5977">
              <w:rPr>
                <w:rFonts w:ascii="Arial" w:hAnsi="Arial" w:cs="Arial"/>
                <w:color w:val="000000"/>
                <w:sz w:val="24"/>
                <w:szCs w:val="24"/>
              </w:rPr>
              <w:t>21.6%</w:t>
            </w:r>
          </w:p>
        </w:tc>
        <w:tc>
          <w:tcPr>
            <w:tcW w:w="1118" w:type="dxa"/>
          </w:tcPr>
          <w:p w14:paraId="4BB74277" w14:textId="77777777" w:rsidR="008B5977" w:rsidRPr="008B5977" w:rsidRDefault="008B5977" w:rsidP="008B5977">
            <w:pPr>
              <w:rPr>
                <w:rFonts w:ascii="Arial" w:hAnsi="Arial" w:cs="Arial"/>
                <w:color w:val="141B4D"/>
                <w:sz w:val="24"/>
                <w:szCs w:val="24"/>
              </w:rPr>
            </w:pPr>
            <w:r w:rsidRPr="008B5977">
              <w:rPr>
                <w:rFonts w:ascii="Arial" w:hAnsi="Arial" w:cs="Arial"/>
                <w:color w:val="000000"/>
                <w:sz w:val="24"/>
                <w:szCs w:val="24"/>
              </w:rPr>
              <w:t>78.4%</w:t>
            </w:r>
          </w:p>
        </w:tc>
        <w:tc>
          <w:tcPr>
            <w:tcW w:w="1098" w:type="dxa"/>
          </w:tcPr>
          <w:p w14:paraId="507DB356"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22.2%</w:t>
            </w:r>
          </w:p>
        </w:tc>
        <w:tc>
          <w:tcPr>
            <w:tcW w:w="1118" w:type="dxa"/>
          </w:tcPr>
          <w:p w14:paraId="0155B77F"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77.8%</w:t>
            </w:r>
          </w:p>
        </w:tc>
      </w:tr>
      <w:tr w:rsidR="008B5977" w:rsidRPr="008B5977" w14:paraId="723B32B1" w14:textId="77777777" w:rsidTr="00893A65">
        <w:tc>
          <w:tcPr>
            <w:tcW w:w="2552" w:type="dxa"/>
          </w:tcPr>
          <w:p w14:paraId="0A6484BC"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Lower middle</w:t>
            </w:r>
          </w:p>
        </w:tc>
        <w:tc>
          <w:tcPr>
            <w:tcW w:w="1015" w:type="dxa"/>
          </w:tcPr>
          <w:p w14:paraId="4D44E169"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27.4%</w:t>
            </w:r>
          </w:p>
        </w:tc>
        <w:tc>
          <w:tcPr>
            <w:tcW w:w="1017" w:type="dxa"/>
          </w:tcPr>
          <w:p w14:paraId="66884D10"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72.6%</w:t>
            </w:r>
          </w:p>
        </w:tc>
        <w:tc>
          <w:tcPr>
            <w:tcW w:w="1098" w:type="dxa"/>
          </w:tcPr>
          <w:p w14:paraId="16014970"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26.6%</w:t>
            </w:r>
          </w:p>
        </w:tc>
        <w:tc>
          <w:tcPr>
            <w:tcW w:w="1118" w:type="dxa"/>
          </w:tcPr>
          <w:p w14:paraId="4A6B135F"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73.4%</w:t>
            </w:r>
          </w:p>
        </w:tc>
        <w:tc>
          <w:tcPr>
            <w:tcW w:w="1098" w:type="dxa"/>
          </w:tcPr>
          <w:p w14:paraId="08D2FA82"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25.5%</w:t>
            </w:r>
          </w:p>
        </w:tc>
        <w:tc>
          <w:tcPr>
            <w:tcW w:w="1118" w:type="dxa"/>
          </w:tcPr>
          <w:p w14:paraId="20E0FC49"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74.5%</w:t>
            </w:r>
          </w:p>
        </w:tc>
      </w:tr>
      <w:tr w:rsidR="008B5977" w:rsidRPr="008B5977" w14:paraId="29A3ECD4" w14:textId="77777777" w:rsidTr="00893A65">
        <w:tc>
          <w:tcPr>
            <w:tcW w:w="2552" w:type="dxa"/>
          </w:tcPr>
          <w:p w14:paraId="641496A7"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Lower quartile</w:t>
            </w:r>
          </w:p>
        </w:tc>
        <w:tc>
          <w:tcPr>
            <w:tcW w:w="1015" w:type="dxa"/>
          </w:tcPr>
          <w:p w14:paraId="04E4634E"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19.3%</w:t>
            </w:r>
          </w:p>
        </w:tc>
        <w:tc>
          <w:tcPr>
            <w:tcW w:w="1017" w:type="dxa"/>
          </w:tcPr>
          <w:p w14:paraId="48C26A9F"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80.7%</w:t>
            </w:r>
          </w:p>
        </w:tc>
        <w:tc>
          <w:tcPr>
            <w:tcW w:w="1098" w:type="dxa"/>
          </w:tcPr>
          <w:p w14:paraId="658133F2"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20.6%</w:t>
            </w:r>
          </w:p>
        </w:tc>
        <w:tc>
          <w:tcPr>
            <w:tcW w:w="1118" w:type="dxa"/>
          </w:tcPr>
          <w:p w14:paraId="28B2B11E" w14:textId="77777777"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79.4%</w:t>
            </w:r>
          </w:p>
        </w:tc>
        <w:tc>
          <w:tcPr>
            <w:tcW w:w="1098" w:type="dxa"/>
          </w:tcPr>
          <w:p w14:paraId="6A419C72" w14:textId="1CB16B8F"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21</w:t>
            </w:r>
            <w:r w:rsidR="00FF1985">
              <w:rPr>
                <w:rFonts w:ascii="Arial" w:hAnsi="Arial" w:cs="Arial"/>
                <w:color w:val="141B4D"/>
                <w:sz w:val="24"/>
                <w:szCs w:val="24"/>
              </w:rPr>
              <w:t>.0</w:t>
            </w:r>
            <w:r w:rsidRPr="008B5977">
              <w:rPr>
                <w:rFonts w:ascii="Arial" w:hAnsi="Arial" w:cs="Arial"/>
                <w:color w:val="141B4D"/>
                <w:sz w:val="24"/>
                <w:szCs w:val="24"/>
              </w:rPr>
              <w:t>%</w:t>
            </w:r>
          </w:p>
        </w:tc>
        <w:tc>
          <w:tcPr>
            <w:tcW w:w="1118" w:type="dxa"/>
          </w:tcPr>
          <w:p w14:paraId="721BA55E" w14:textId="1CE263F0" w:rsidR="008B5977" w:rsidRPr="008B5977" w:rsidRDefault="008B5977" w:rsidP="008B5977">
            <w:pPr>
              <w:rPr>
                <w:rFonts w:ascii="Arial" w:hAnsi="Arial" w:cs="Arial"/>
                <w:color w:val="141B4D"/>
                <w:sz w:val="24"/>
                <w:szCs w:val="24"/>
              </w:rPr>
            </w:pPr>
            <w:r w:rsidRPr="008B5977">
              <w:rPr>
                <w:rFonts w:ascii="Arial" w:hAnsi="Arial" w:cs="Arial"/>
                <w:color w:val="141B4D"/>
                <w:sz w:val="24"/>
                <w:szCs w:val="24"/>
              </w:rPr>
              <w:t>79</w:t>
            </w:r>
            <w:r w:rsidR="00FF1985">
              <w:rPr>
                <w:rFonts w:ascii="Arial" w:hAnsi="Arial" w:cs="Arial"/>
                <w:color w:val="141B4D"/>
                <w:sz w:val="24"/>
                <w:szCs w:val="24"/>
              </w:rPr>
              <w:t>.0</w:t>
            </w:r>
            <w:r w:rsidRPr="008B5977">
              <w:rPr>
                <w:rFonts w:ascii="Arial" w:hAnsi="Arial" w:cs="Arial"/>
                <w:color w:val="141B4D"/>
                <w:sz w:val="24"/>
                <w:szCs w:val="24"/>
              </w:rPr>
              <w:t>%</w:t>
            </w:r>
          </w:p>
        </w:tc>
      </w:tr>
    </w:tbl>
    <w:p w14:paraId="10C1473A" w14:textId="77777777" w:rsidR="008B5977" w:rsidRPr="008B5977" w:rsidRDefault="008B5977" w:rsidP="008B5977">
      <w:pPr>
        <w:spacing w:after="0" w:line="240" w:lineRule="auto"/>
        <w:rPr>
          <w:rFonts w:ascii="Arial" w:eastAsia="Times New Roman" w:hAnsi="Arial" w:cs="Arial"/>
          <w:color w:val="141B4D"/>
          <w:sz w:val="24"/>
          <w:szCs w:val="24"/>
        </w:rPr>
      </w:pPr>
    </w:p>
    <w:p w14:paraId="61D6371D" w14:textId="5CB4524E" w:rsidR="008B5977" w:rsidRPr="008B5977" w:rsidRDefault="008B5977" w:rsidP="008B5977">
      <w:pPr>
        <w:spacing w:after="0" w:line="240" w:lineRule="auto"/>
        <w:rPr>
          <w:rFonts w:ascii="Arial" w:eastAsia="Times New Roman" w:hAnsi="Arial" w:cs="Arial"/>
          <w:color w:val="141B4D"/>
          <w:sz w:val="24"/>
          <w:szCs w:val="24"/>
        </w:rPr>
      </w:pPr>
      <w:r w:rsidRPr="008B5977">
        <w:rPr>
          <w:rFonts w:ascii="Arial" w:eastAsia="Times New Roman" w:hAnsi="Arial" w:cs="Arial"/>
          <w:color w:val="141B4D"/>
          <w:sz w:val="24"/>
          <w:szCs w:val="24"/>
        </w:rPr>
        <w:t>On 31 March 2022 we employed 7,482 members of staff, 5,715 (76%) of those were female.</w:t>
      </w:r>
      <w:r w:rsidRPr="008B5977">
        <w:rPr>
          <w:rFonts w:ascii="Arial" w:eastAsia="Times New Roman" w:hAnsi="Arial" w:cs="Arial"/>
          <w:color w:val="000000"/>
          <w:sz w:val="24"/>
          <w:szCs w:val="24"/>
        </w:rPr>
        <w:t xml:space="preserve"> </w:t>
      </w:r>
      <w:r w:rsidRPr="008B5977">
        <w:rPr>
          <w:rFonts w:ascii="Arial" w:eastAsia="Times New Roman" w:hAnsi="Arial" w:cs="Arial"/>
          <w:color w:val="141B4D"/>
          <w:sz w:val="24"/>
          <w:szCs w:val="24"/>
        </w:rPr>
        <w:t xml:space="preserve">Whilst staff numbers have grown since 2019-20 the 76/24 percentage profile remains the same. 1,785 (31%) of female staff work on a part time basis, compared to 332 (19%) of male staff </w:t>
      </w:r>
      <w:r w:rsidR="00FF1985">
        <w:rPr>
          <w:rFonts w:ascii="Arial" w:eastAsia="Times New Roman" w:hAnsi="Arial" w:cs="Arial"/>
          <w:color w:val="141B4D"/>
          <w:sz w:val="24"/>
          <w:szCs w:val="24"/>
        </w:rPr>
        <w:t xml:space="preserve">who </w:t>
      </w:r>
      <w:r w:rsidRPr="008B5977">
        <w:rPr>
          <w:rFonts w:ascii="Arial" w:eastAsia="Times New Roman" w:hAnsi="Arial" w:cs="Arial"/>
          <w:color w:val="141B4D"/>
          <w:sz w:val="24"/>
          <w:szCs w:val="24"/>
        </w:rPr>
        <w:t>work on a part time basis. 2</w:t>
      </w:r>
      <w:r w:rsidR="00FF1985">
        <w:rPr>
          <w:rFonts w:ascii="Arial" w:eastAsia="Times New Roman" w:hAnsi="Arial" w:cs="Arial"/>
          <w:color w:val="141B4D"/>
          <w:sz w:val="24"/>
          <w:szCs w:val="24"/>
        </w:rPr>
        <w:t>,</w:t>
      </w:r>
      <w:r w:rsidRPr="008B5977">
        <w:rPr>
          <w:rFonts w:ascii="Arial" w:eastAsia="Times New Roman" w:hAnsi="Arial" w:cs="Arial"/>
          <w:color w:val="141B4D"/>
          <w:sz w:val="24"/>
          <w:szCs w:val="24"/>
        </w:rPr>
        <w:t>117 members of staff work on a part time basis for the Trust, 84% of those are female. This is the single biggest factor in explaining our gender pay gap.</w:t>
      </w:r>
    </w:p>
    <w:p w14:paraId="720D3277" w14:textId="77777777" w:rsidR="008B5977" w:rsidRPr="008B5977" w:rsidRDefault="008B5977" w:rsidP="008B5977">
      <w:pPr>
        <w:spacing w:after="0" w:line="240" w:lineRule="auto"/>
        <w:rPr>
          <w:rFonts w:ascii="Arial" w:eastAsia="Times New Roman" w:hAnsi="Arial" w:cs="Arial"/>
          <w:color w:val="141B4D"/>
          <w:sz w:val="24"/>
          <w:szCs w:val="24"/>
        </w:rPr>
      </w:pPr>
    </w:p>
    <w:p w14:paraId="7F5604C0" w14:textId="77777777" w:rsidR="008B5977" w:rsidRPr="008B5977" w:rsidRDefault="008B5977" w:rsidP="008B5977">
      <w:pPr>
        <w:spacing w:after="0" w:line="240" w:lineRule="auto"/>
        <w:rPr>
          <w:rFonts w:ascii="Arial" w:eastAsia="Times New Roman" w:hAnsi="Arial" w:cs="Arial"/>
          <w:color w:val="141B4D"/>
          <w:sz w:val="24"/>
          <w:szCs w:val="24"/>
        </w:rPr>
      </w:pPr>
      <w:r w:rsidRPr="008B5977">
        <w:rPr>
          <w:rFonts w:ascii="Arial" w:eastAsia="Times New Roman" w:hAnsi="Arial" w:cs="Arial"/>
          <w:color w:val="141B4D"/>
          <w:sz w:val="24"/>
          <w:szCs w:val="24"/>
        </w:rPr>
        <w:t>In the past three years the proportions of male and female staff across each quartile have broadly remained the same. Differences of note that may explain the decrease in the gender pay gap are:</w:t>
      </w:r>
    </w:p>
    <w:p w14:paraId="22012DF7" w14:textId="77777777" w:rsidR="008B5977" w:rsidRPr="008B5977" w:rsidRDefault="008B5977" w:rsidP="008B5977">
      <w:pPr>
        <w:spacing w:after="0" w:line="240" w:lineRule="auto"/>
        <w:rPr>
          <w:rFonts w:ascii="Arial" w:eastAsia="Times New Roman" w:hAnsi="Arial" w:cs="Arial"/>
          <w:color w:val="141B4D"/>
          <w:sz w:val="24"/>
          <w:szCs w:val="24"/>
        </w:rPr>
      </w:pPr>
    </w:p>
    <w:p w14:paraId="224D2C15" w14:textId="77777777" w:rsidR="008B5977" w:rsidRPr="008B5977" w:rsidRDefault="008B5977" w:rsidP="008B5977">
      <w:pPr>
        <w:numPr>
          <w:ilvl w:val="0"/>
          <w:numId w:val="4"/>
        </w:numPr>
        <w:spacing w:after="0" w:line="240" w:lineRule="auto"/>
        <w:contextualSpacing/>
        <w:rPr>
          <w:rFonts w:ascii="Arial" w:eastAsia="Times New Roman" w:hAnsi="Arial" w:cs="Arial"/>
          <w:color w:val="141B4D"/>
          <w:sz w:val="24"/>
          <w:szCs w:val="24"/>
        </w:rPr>
      </w:pPr>
      <w:r w:rsidRPr="008B5977">
        <w:rPr>
          <w:rFonts w:ascii="Arial" w:eastAsia="Times New Roman" w:hAnsi="Arial" w:cs="Arial"/>
          <w:color w:val="141B4D"/>
          <w:sz w:val="24"/>
          <w:szCs w:val="24"/>
        </w:rPr>
        <w:t>Growth of female representation in top quartile from 69.6% to 72.3% during the three year period.</w:t>
      </w:r>
    </w:p>
    <w:p w14:paraId="05A0E2D2" w14:textId="77777777" w:rsidR="008B5977" w:rsidRPr="008B5977" w:rsidRDefault="008B5977" w:rsidP="008B5977">
      <w:pPr>
        <w:numPr>
          <w:ilvl w:val="0"/>
          <w:numId w:val="4"/>
        </w:numPr>
        <w:spacing w:after="0" w:line="240" w:lineRule="auto"/>
        <w:contextualSpacing/>
        <w:rPr>
          <w:rFonts w:ascii="Arial" w:eastAsia="Times New Roman" w:hAnsi="Arial" w:cs="Arial"/>
          <w:color w:val="141B4D"/>
          <w:sz w:val="24"/>
          <w:szCs w:val="24"/>
        </w:rPr>
      </w:pPr>
      <w:r w:rsidRPr="008B5977">
        <w:rPr>
          <w:rFonts w:ascii="Arial" w:eastAsia="Times New Roman" w:hAnsi="Arial" w:cs="Arial"/>
          <w:color w:val="141B4D"/>
          <w:sz w:val="24"/>
          <w:szCs w:val="24"/>
        </w:rPr>
        <w:t>Growth of female representation in the upper middle quartile from 77.8% to 80% during the three year period.</w:t>
      </w:r>
    </w:p>
    <w:p w14:paraId="082A46D1" w14:textId="77777777" w:rsidR="008B5977" w:rsidRPr="008B5977" w:rsidRDefault="008B5977" w:rsidP="008B5977">
      <w:pPr>
        <w:spacing w:after="0" w:line="240" w:lineRule="auto"/>
        <w:rPr>
          <w:rFonts w:ascii="Arial" w:eastAsia="Times New Roman" w:hAnsi="Arial" w:cs="Arial"/>
          <w:color w:val="141B4D"/>
          <w:sz w:val="24"/>
          <w:szCs w:val="24"/>
        </w:rPr>
      </w:pPr>
    </w:p>
    <w:p w14:paraId="58EB8010" w14:textId="77777777" w:rsidR="008B5977" w:rsidRPr="008B5977" w:rsidRDefault="008B5977" w:rsidP="008B5977">
      <w:pPr>
        <w:spacing w:after="0" w:line="240" w:lineRule="auto"/>
        <w:rPr>
          <w:rFonts w:ascii="Arial" w:eastAsia="Times New Roman" w:hAnsi="Arial" w:cs="Arial"/>
          <w:color w:val="141B4D"/>
          <w:sz w:val="24"/>
          <w:szCs w:val="24"/>
        </w:rPr>
      </w:pPr>
      <w:r w:rsidRPr="008B5977">
        <w:rPr>
          <w:rFonts w:ascii="Arial" w:eastAsia="Times New Roman" w:hAnsi="Arial" w:cs="Arial"/>
          <w:color w:val="141B4D"/>
          <w:sz w:val="24"/>
          <w:szCs w:val="24"/>
        </w:rPr>
        <w:br w:type="page"/>
      </w:r>
    </w:p>
    <w:p w14:paraId="5D9CD23B" w14:textId="77777777" w:rsidR="008B5977" w:rsidRPr="008B5977" w:rsidRDefault="008B5977" w:rsidP="008B5977">
      <w:pPr>
        <w:spacing w:after="0" w:line="240" w:lineRule="auto"/>
        <w:rPr>
          <w:rFonts w:ascii="Arial" w:eastAsia="Times New Roman" w:hAnsi="Arial" w:cs="Arial"/>
          <w:b/>
          <w:bCs/>
          <w:color w:val="141B4D"/>
          <w:sz w:val="24"/>
          <w:szCs w:val="24"/>
        </w:rPr>
      </w:pPr>
      <w:r w:rsidRPr="008B5977">
        <w:rPr>
          <w:rFonts w:ascii="Arial" w:eastAsia="Times New Roman" w:hAnsi="Arial" w:cs="Arial"/>
          <w:b/>
          <w:bCs/>
          <w:color w:val="141B4D"/>
          <w:sz w:val="24"/>
          <w:szCs w:val="24"/>
        </w:rPr>
        <w:lastRenderedPageBreak/>
        <w:t>Bonus payment gender pay gap</w:t>
      </w:r>
    </w:p>
    <w:p w14:paraId="643A1B44" w14:textId="77777777" w:rsidR="008B5977" w:rsidRPr="008B5977" w:rsidRDefault="008B5977" w:rsidP="008B5977">
      <w:pPr>
        <w:spacing w:after="0" w:line="240" w:lineRule="auto"/>
        <w:rPr>
          <w:rFonts w:ascii="Arial" w:eastAsia="Times New Roman" w:hAnsi="Arial" w:cs="Arial"/>
          <w:sz w:val="24"/>
          <w:szCs w:val="24"/>
        </w:rPr>
      </w:pPr>
    </w:p>
    <w:tbl>
      <w:tblPr>
        <w:tblStyle w:val="TableGrid2"/>
        <w:tblW w:w="0" w:type="auto"/>
        <w:tblLook w:val="04A0" w:firstRow="1" w:lastRow="0" w:firstColumn="1" w:lastColumn="0" w:noHBand="0" w:noVBand="1"/>
      </w:tblPr>
      <w:tblGrid>
        <w:gridCol w:w="2254"/>
        <w:gridCol w:w="2254"/>
        <w:gridCol w:w="2254"/>
        <w:gridCol w:w="2254"/>
      </w:tblGrid>
      <w:tr w:rsidR="008B5977" w:rsidRPr="008B5977" w14:paraId="0DB69603" w14:textId="77777777" w:rsidTr="00893A65">
        <w:tc>
          <w:tcPr>
            <w:tcW w:w="2254" w:type="dxa"/>
          </w:tcPr>
          <w:p w14:paraId="2434E6E2" w14:textId="77777777" w:rsidR="008B5977" w:rsidRPr="008B5977" w:rsidRDefault="008B5977" w:rsidP="008B5977">
            <w:pPr>
              <w:rPr>
                <w:rFonts w:ascii="Arial" w:hAnsi="Arial" w:cs="Arial"/>
                <w:b/>
                <w:bCs/>
                <w:sz w:val="24"/>
                <w:szCs w:val="24"/>
              </w:rPr>
            </w:pPr>
            <w:r w:rsidRPr="008B5977">
              <w:rPr>
                <w:rFonts w:ascii="Arial" w:hAnsi="Arial" w:cs="Arial"/>
                <w:b/>
                <w:bCs/>
                <w:sz w:val="24"/>
                <w:szCs w:val="24"/>
              </w:rPr>
              <w:t>Metric</w:t>
            </w:r>
          </w:p>
        </w:tc>
        <w:tc>
          <w:tcPr>
            <w:tcW w:w="2254" w:type="dxa"/>
          </w:tcPr>
          <w:p w14:paraId="1C8A2427" w14:textId="77777777" w:rsidR="008B5977" w:rsidRPr="008B5977" w:rsidRDefault="008B5977" w:rsidP="008B5977">
            <w:pPr>
              <w:rPr>
                <w:rFonts w:ascii="Arial" w:hAnsi="Arial" w:cs="Arial"/>
                <w:b/>
                <w:bCs/>
                <w:sz w:val="24"/>
                <w:szCs w:val="24"/>
              </w:rPr>
            </w:pPr>
            <w:r w:rsidRPr="008B5977">
              <w:rPr>
                <w:rFonts w:ascii="Arial" w:hAnsi="Arial" w:cs="Arial"/>
                <w:b/>
                <w:bCs/>
                <w:color w:val="000000"/>
                <w:sz w:val="24"/>
                <w:szCs w:val="24"/>
              </w:rPr>
              <w:t>CNTW Figures of 2021- 2022</w:t>
            </w:r>
          </w:p>
        </w:tc>
        <w:tc>
          <w:tcPr>
            <w:tcW w:w="2254" w:type="dxa"/>
          </w:tcPr>
          <w:p w14:paraId="7A999A8C" w14:textId="77777777" w:rsidR="008B5977" w:rsidRPr="008B5977" w:rsidRDefault="008B5977" w:rsidP="008B5977">
            <w:pPr>
              <w:rPr>
                <w:rFonts w:ascii="Arial" w:hAnsi="Arial" w:cs="Arial"/>
                <w:b/>
                <w:bCs/>
                <w:sz w:val="24"/>
                <w:szCs w:val="24"/>
              </w:rPr>
            </w:pPr>
            <w:r w:rsidRPr="008B5977">
              <w:rPr>
                <w:rFonts w:ascii="Arial" w:hAnsi="Arial" w:cs="Arial"/>
                <w:b/>
                <w:bCs/>
                <w:color w:val="000000"/>
                <w:sz w:val="24"/>
                <w:szCs w:val="24"/>
              </w:rPr>
              <w:t>CNTW Figures for 2020-2021</w:t>
            </w:r>
          </w:p>
        </w:tc>
        <w:tc>
          <w:tcPr>
            <w:tcW w:w="2254" w:type="dxa"/>
          </w:tcPr>
          <w:p w14:paraId="71CAD768" w14:textId="77777777" w:rsidR="008B5977" w:rsidRPr="008B5977" w:rsidRDefault="008B5977" w:rsidP="008B5977">
            <w:pPr>
              <w:rPr>
                <w:rFonts w:ascii="Arial" w:hAnsi="Arial" w:cs="Arial"/>
                <w:b/>
                <w:bCs/>
                <w:sz w:val="24"/>
                <w:szCs w:val="24"/>
              </w:rPr>
            </w:pPr>
            <w:r w:rsidRPr="008B5977">
              <w:rPr>
                <w:rFonts w:ascii="Arial" w:hAnsi="Arial" w:cs="Arial"/>
                <w:b/>
                <w:bCs/>
                <w:color w:val="000000"/>
                <w:sz w:val="24"/>
                <w:szCs w:val="24"/>
              </w:rPr>
              <w:t>CNTW Figures for 2019-2020</w:t>
            </w:r>
          </w:p>
        </w:tc>
      </w:tr>
      <w:tr w:rsidR="008B5977" w:rsidRPr="008B5977" w14:paraId="37919F5A" w14:textId="77777777" w:rsidTr="00893A65">
        <w:tc>
          <w:tcPr>
            <w:tcW w:w="2254" w:type="dxa"/>
          </w:tcPr>
          <w:p w14:paraId="30A5B3DA" w14:textId="65B76150" w:rsidR="008B5977" w:rsidRPr="008B5977" w:rsidRDefault="008B5977" w:rsidP="008B5977">
            <w:pPr>
              <w:rPr>
                <w:rFonts w:ascii="Arial" w:hAnsi="Arial" w:cs="Arial"/>
                <w:sz w:val="24"/>
                <w:szCs w:val="24"/>
              </w:rPr>
            </w:pPr>
            <w:r w:rsidRPr="008B5977">
              <w:rPr>
                <w:rFonts w:ascii="Arial" w:hAnsi="Arial" w:cs="Arial"/>
                <w:b/>
                <w:bCs/>
                <w:sz w:val="24"/>
                <w:szCs w:val="24"/>
              </w:rPr>
              <w:t>The mean gender bonus gap:</w:t>
            </w:r>
            <w:r w:rsidRPr="008B5977">
              <w:rPr>
                <w:rFonts w:ascii="Arial" w:hAnsi="Arial" w:cs="Arial"/>
                <w:sz w:val="24"/>
                <w:szCs w:val="24"/>
              </w:rPr>
              <w:t xml:space="preserve"> the % difference in average bonus payments made to male and female employees during the 12 month period to 31</w:t>
            </w:r>
            <w:r w:rsidR="00FF1985">
              <w:rPr>
                <w:rFonts w:ascii="Arial" w:hAnsi="Arial" w:cs="Arial"/>
                <w:sz w:val="24"/>
                <w:szCs w:val="24"/>
                <w:vertAlign w:val="superscript"/>
              </w:rPr>
              <w:t xml:space="preserve"> </w:t>
            </w:r>
            <w:r w:rsidRPr="008B5977">
              <w:rPr>
                <w:rFonts w:ascii="Arial" w:hAnsi="Arial" w:cs="Arial"/>
                <w:sz w:val="24"/>
                <w:szCs w:val="24"/>
              </w:rPr>
              <w:t xml:space="preserve">March </w:t>
            </w:r>
          </w:p>
        </w:tc>
        <w:tc>
          <w:tcPr>
            <w:tcW w:w="2254" w:type="dxa"/>
          </w:tcPr>
          <w:p w14:paraId="5FF185F7" w14:textId="77777777" w:rsidR="008B5977" w:rsidRPr="008B5977" w:rsidRDefault="008B5977" w:rsidP="008B5977">
            <w:pPr>
              <w:rPr>
                <w:rFonts w:ascii="Arial" w:hAnsi="Arial" w:cs="Arial"/>
                <w:sz w:val="24"/>
                <w:szCs w:val="24"/>
              </w:rPr>
            </w:pPr>
            <w:r w:rsidRPr="008B5977">
              <w:rPr>
                <w:rFonts w:ascii="Arial" w:hAnsi="Arial" w:cs="Arial"/>
                <w:sz w:val="24"/>
                <w:szCs w:val="24"/>
              </w:rPr>
              <w:t>9.6%</w:t>
            </w:r>
          </w:p>
        </w:tc>
        <w:tc>
          <w:tcPr>
            <w:tcW w:w="2254" w:type="dxa"/>
          </w:tcPr>
          <w:p w14:paraId="4FAD316B" w14:textId="77777777" w:rsidR="008B5977" w:rsidRPr="008B5977" w:rsidRDefault="008B5977" w:rsidP="008B5977">
            <w:pPr>
              <w:rPr>
                <w:rFonts w:ascii="Arial" w:hAnsi="Arial" w:cs="Arial"/>
                <w:sz w:val="24"/>
                <w:szCs w:val="24"/>
              </w:rPr>
            </w:pPr>
            <w:r w:rsidRPr="008B5977">
              <w:rPr>
                <w:rFonts w:ascii="Arial" w:hAnsi="Arial" w:cs="Arial"/>
                <w:sz w:val="24"/>
                <w:szCs w:val="24"/>
              </w:rPr>
              <w:t>22.3%</w:t>
            </w:r>
          </w:p>
        </w:tc>
        <w:tc>
          <w:tcPr>
            <w:tcW w:w="2254" w:type="dxa"/>
          </w:tcPr>
          <w:p w14:paraId="424DA3CC" w14:textId="77777777" w:rsidR="008B5977" w:rsidRPr="008B5977" w:rsidRDefault="008B5977" w:rsidP="008B5977">
            <w:pPr>
              <w:rPr>
                <w:rFonts w:ascii="Arial" w:hAnsi="Arial" w:cs="Arial"/>
                <w:sz w:val="24"/>
                <w:szCs w:val="24"/>
              </w:rPr>
            </w:pPr>
            <w:r w:rsidRPr="008B5977">
              <w:rPr>
                <w:rFonts w:ascii="Arial" w:hAnsi="Arial" w:cs="Arial"/>
                <w:sz w:val="24"/>
                <w:szCs w:val="24"/>
              </w:rPr>
              <w:t>15.2%</w:t>
            </w:r>
          </w:p>
        </w:tc>
      </w:tr>
      <w:tr w:rsidR="008B5977" w:rsidRPr="008B5977" w14:paraId="23D7B876" w14:textId="77777777" w:rsidTr="00893A65">
        <w:tc>
          <w:tcPr>
            <w:tcW w:w="2254" w:type="dxa"/>
          </w:tcPr>
          <w:p w14:paraId="689B1C28" w14:textId="59987BB4" w:rsidR="008B5977" w:rsidRPr="008B5977" w:rsidRDefault="008B5977" w:rsidP="00FF1985">
            <w:pPr>
              <w:rPr>
                <w:rFonts w:ascii="Arial" w:hAnsi="Arial" w:cs="Arial"/>
                <w:sz w:val="24"/>
                <w:szCs w:val="24"/>
              </w:rPr>
            </w:pPr>
            <w:r w:rsidRPr="008B5977">
              <w:rPr>
                <w:rFonts w:ascii="Arial" w:hAnsi="Arial" w:cs="Arial"/>
                <w:b/>
                <w:bCs/>
                <w:sz w:val="24"/>
                <w:szCs w:val="24"/>
              </w:rPr>
              <w:t>The median gender bonus gap:</w:t>
            </w:r>
            <w:r w:rsidRPr="008B5977">
              <w:rPr>
                <w:rFonts w:ascii="Arial" w:hAnsi="Arial" w:cs="Arial"/>
                <w:sz w:val="24"/>
                <w:szCs w:val="24"/>
              </w:rPr>
              <w:t xml:space="preserve"> the % difference between the mid-point value of bonus payments made to male and female employees during the 12 month period to 31 March </w:t>
            </w:r>
          </w:p>
        </w:tc>
        <w:tc>
          <w:tcPr>
            <w:tcW w:w="2254" w:type="dxa"/>
          </w:tcPr>
          <w:p w14:paraId="219409EB" w14:textId="77777777" w:rsidR="008B5977" w:rsidRPr="008B5977" w:rsidRDefault="008B5977" w:rsidP="008B5977">
            <w:pPr>
              <w:rPr>
                <w:rFonts w:ascii="Arial" w:hAnsi="Arial" w:cs="Arial"/>
                <w:sz w:val="24"/>
                <w:szCs w:val="24"/>
              </w:rPr>
            </w:pPr>
            <w:r w:rsidRPr="008B5977">
              <w:rPr>
                <w:rFonts w:ascii="Arial" w:hAnsi="Arial" w:cs="Arial"/>
                <w:sz w:val="24"/>
                <w:szCs w:val="24"/>
              </w:rPr>
              <w:t>31.3%</w:t>
            </w:r>
          </w:p>
        </w:tc>
        <w:tc>
          <w:tcPr>
            <w:tcW w:w="2254" w:type="dxa"/>
          </w:tcPr>
          <w:p w14:paraId="474D389D" w14:textId="77777777" w:rsidR="008B5977" w:rsidRPr="008B5977" w:rsidRDefault="008B5977" w:rsidP="008B5977">
            <w:pPr>
              <w:rPr>
                <w:rFonts w:ascii="Arial" w:hAnsi="Arial" w:cs="Arial"/>
                <w:sz w:val="24"/>
                <w:szCs w:val="24"/>
              </w:rPr>
            </w:pPr>
            <w:r w:rsidRPr="008B5977">
              <w:rPr>
                <w:rFonts w:ascii="Arial" w:hAnsi="Arial" w:cs="Arial"/>
                <w:sz w:val="24"/>
                <w:szCs w:val="24"/>
              </w:rPr>
              <w:t>55.9%</w:t>
            </w:r>
          </w:p>
        </w:tc>
        <w:tc>
          <w:tcPr>
            <w:tcW w:w="2254" w:type="dxa"/>
          </w:tcPr>
          <w:p w14:paraId="7881BA5F" w14:textId="77777777" w:rsidR="008B5977" w:rsidRPr="008B5977" w:rsidRDefault="008B5977" w:rsidP="008B5977">
            <w:pPr>
              <w:rPr>
                <w:rFonts w:ascii="Arial" w:hAnsi="Arial" w:cs="Arial"/>
                <w:sz w:val="24"/>
                <w:szCs w:val="24"/>
              </w:rPr>
            </w:pPr>
            <w:r w:rsidRPr="008B5977">
              <w:rPr>
                <w:rFonts w:ascii="Arial" w:hAnsi="Arial" w:cs="Arial"/>
                <w:sz w:val="24"/>
                <w:szCs w:val="24"/>
              </w:rPr>
              <w:t>33.3%</w:t>
            </w:r>
          </w:p>
        </w:tc>
      </w:tr>
      <w:tr w:rsidR="008B5977" w:rsidRPr="008B5977" w14:paraId="0DF4C7F3" w14:textId="77777777" w:rsidTr="00893A65">
        <w:trPr>
          <w:trHeight w:val="1105"/>
        </w:trPr>
        <w:tc>
          <w:tcPr>
            <w:tcW w:w="2254" w:type="dxa"/>
            <w:vMerge w:val="restart"/>
          </w:tcPr>
          <w:p w14:paraId="25CC5AB7" w14:textId="1435BFCF" w:rsidR="008B5977" w:rsidRPr="008B5977" w:rsidRDefault="008B5977" w:rsidP="00B36168">
            <w:pPr>
              <w:rPr>
                <w:rFonts w:ascii="Arial" w:hAnsi="Arial" w:cs="Arial"/>
                <w:sz w:val="24"/>
                <w:szCs w:val="24"/>
              </w:rPr>
            </w:pPr>
            <w:r w:rsidRPr="008B5977">
              <w:rPr>
                <w:rFonts w:ascii="Arial" w:hAnsi="Arial" w:cs="Arial"/>
                <w:sz w:val="24"/>
                <w:szCs w:val="24"/>
              </w:rPr>
              <w:t>The proportions of relevant ma</w:t>
            </w:r>
            <w:r w:rsidR="00B36168">
              <w:rPr>
                <w:rFonts w:ascii="Arial" w:hAnsi="Arial" w:cs="Arial"/>
                <w:sz w:val="24"/>
                <w:szCs w:val="24"/>
              </w:rPr>
              <w:t>l</w:t>
            </w:r>
            <w:r w:rsidRPr="008B5977">
              <w:rPr>
                <w:rFonts w:ascii="Arial" w:hAnsi="Arial" w:cs="Arial"/>
                <w:sz w:val="24"/>
                <w:szCs w:val="24"/>
              </w:rPr>
              <w:t>e and female employees who received bonus payments during the 12 month period to 31</w:t>
            </w:r>
            <w:r w:rsidRPr="008B5977">
              <w:rPr>
                <w:rFonts w:ascii="Arial" w:hAnsi="Arial" w:cs="Arial"/>
                <w:sz w:val="24"/>
                <w:szCs w:val="24"/>
                <w:vertAlign w:val="superscript"/>
              </w:rPr>
              <w:t>st</w:t>
            </w:r>
            <w:r w:rsidRPr="008B5977">
              <w:rPr>
                <w:rFonts w:ascii="Arial" w:hAnsi="Arial" w:cs="Arial"/>
                <w:sz w:val="24"/>
                <w:szCs w:val="24"/>
              </w:rPr>
              <w:t xml:space="preserve"> March</w:t>
            </w:r>
          </w:p>
        </w:tc>
        <w:tc>
          <w:tcPr>
            <w:tcW w:w="2254" w:type="dxa"/>
          </w:tcPr>
          <w:p w14:paraId="2BC0DBC6" w14:textId="77777777" w:rsidR="008B5977" w:rsidRPr="008B5977" w:rsidRDefault="008B5977" w:rsidP="008B5977">
            <w:pPr>
              <w:rPr>
                <w:rFonts w:ascii="Arial" w:hAnsi="Arial" w:cs="Arial"/>
                <w:sz w:val="24"/>
                <w:szCs w:val="24"/>
              </w:rPr>
            </w:pPr>
            <w:r w:rsidRPr="008B5977">
              <w:rPr>
                <w:rFonts w:ascii="Arial" w:hAnsi="Arial" w:cs="Arial"/>
                <w:sz w:val="24"/>
                <w:szCs w:val="24"/>
              </w:rPr>
              <w:t>2.0% Men</w:t>
            </w:r>
          </w:p>
        </w:tc>
        <w:tc>
          <w:tcPr>
            <w:tcW w:w="2254" w:type="dxa"/>
          </w:tcPr>
          <w:p w14:paraId="20BC04BC" w14:textId="77777777" w:rsidR="008B5977" w:rsidRPr="008B5977" w:rsidRDefault="008B5977" w:rsidP="008B5977">
            <w:pPr>
              <w:rPr>
                <w:rFonts w:ascii="Arial" w:hAnsi="Arial" w:cs="Arial"/>
                <w:sz w:val="24"/>
                <w:szCs w:val="24"/>
              </w:rPr>
            </w:pPr>
            <w:r w:rsidRPr="008B5977">
              <w:rPr>
                <w:rFonts w:ascii="Arial" w:hAnsi="Arial" w:cs="Arial"/>
                <w:sz w:val="24"/>
                <w:szCs w:val="24"/>
              </w:rPr>
              <w:t>2.2% Men</w:t>
            </w:r>
          </w:p>
        </w:tc>
        <w:tc>
          <w:tcPr>
            <w:tcW w:w="2254" w:type="dxa"/>
          </w:tcPr>
          <w:p w14:paraId="680E76E9" w14:textId="77777777" w:rsidR="008B5977" w:rsidRPr="008B5977" w:rsidRDefault="008B5977" w:rsidP="008B5977">
            <w:pPr>
              <w:rPr>
                <w:rFonts w:ascii="Arial" w:hAnsi="Arial" w:cs="Arial"/>
                <w:sz w:val="24"/>
                <w:szCs w:val="24"/>
              </w:rPr>
            </w:pPr>
            <w:r w:rsidRPr="008B5977">
              <w:rPr>
                <w:rFonts w:ascii="Arial" w:hAnsi="Arial" w:cs="Arial"/>
                <w:sz w:val="24"/>
                <w:szCs w:val="24"/>
              </w:rPr>
              <w:t>2.7% Men</w:t>
            </w:r>
          </w:p>
        </w:tc>
      </w:tr>
      <w:tr w:rsidR="008B5977" w:rsidRPr="008B5977" w14:paraId="47A17730" w14:textId="77777777" w:rsidTr="00893A65">
        <w:trPr>
          <w:trHeight w:val="1105"/>
        </w:trPr>
        <w:tc>
          <w:tcPr>
            <w:tcW w:w="2254" w:type="dxa"/>
            <w:vMerge/>
          </w:tcPr>
          <w:p w14:paraId="02A7800F" w14:textId="77777777" w:rsidR="008B5977" w:rsidRPr="008B5977" w:rsidRDefault="008B5977" w:rsidP="008B5977">
            <w:pPr>
              <w:rPr>
                <w:rFonts w:ascii="Arial" w:hAnsi="Arial" w:cs="Arial"/>
                <w:sz w:val="24"/>
                <w:szCs w:val="24"/>
              </w:rPr>
            </w:pPr>
          </w:p>
        </w:tc>
        <w:tc>
          <w:tcPr>
            <w:tcW w:w="2254" w:type="dxa"/>
          </w:tcPr>
          <w:p w14:paraId="6EE87D90" w14:textId="77777777" w:rsidR="008B5977" w:rsidRPr="008B5977" w:rsidRDefault="008B5977" w:rsidP="008B5977">
            <w:pPr>
              <w:rPr>
                <w:rFonts w:ascii="Arial" w:hAnsi="Arial" w:cs="Arial"/>
                <w:sz w:val="24"/>
                <w:szCs w:val="24"/>
              </w:rPr>
            </w:pPr>
            <w:r w:rsidRPr="008B5977">
              <w:rPr>
                <w:rFonts w:ascii="Arial" w:hAnsi="Arial" w:cs="Arial"/>
                <w:sz w:val="24"/>
                <w:szCs w:val="24"/>
              </w:rPr>
              <w:t>0.5% Women</w:t>
            </w:r>
          </w:p>
        </w:tc>
        <w:tc>
          <w:tcPr>
            <w:tcW w:w="2254" w:type="dxa"/>
          </w:tcPr>
          <w:p w14:paraId="6825ED68" w14:textId="77777777" w:rsidR="008B5977" w:rsidRPr="008B5977" w:rsidRDefault="008B5977" w:rsidP="008B5977">
            <w:pPr>
              <w:rPr>
                <w:rFonts w:ascii="Arial" w:hAnsi="Arial" w:cs="Arial"/>
                <w:sz w:val="24"/>
                <w:szCs w:val="24"/>
              </w:rPr>
            </w:pPr>
            <w:r w:rsidRPr="008B5977">
              <w:rPr>
                <w:rFonts w:ascii="Arial" w:hAnsi="Arial" w:cs="Arial"/>
                <w:sz w:val="24"/>
                <w:szCs w:val="24"/>
              </w:rPr>
              <w:t>0.6% Women</w:t>
            </w:r>
          </w:p>
        </w:tc>
        <w:tc>
          <w:tcPr>
            <w:tcW w:w="2254" w:type="dxa"/>
          </w:tcPr>
          <w:p w14:paraId="12119583" w14:textId="77777777" w:rsidR="008B5977" w:rsidRPr="008B5977" w:rsidRDefault="008B5977" w:rsidP="008B5977">
            <w:pPr>
              <w:rPr>
                <w:rFonts w:ascii="Arial" w:hAnsi="Arial" w:cs="Arial"/>
                <w:sz w:val="24"/>
                <w:szCs w:val="24"/>
              </w:rPr>
            </w:pPr>
            <w:r w:rsidRPr="008B5977">
              <w:rPr>
                <w:rFonts w:ascii="Arial" w:hAnsi="Arial" w:cs="Arial"/>
                <w:sz w:val="24"/>
                <w:szCs w:val="24"/>
              </w:rPr>
              <w:t>0.7% Women</w:t>
            </w:r>
          </w:p>
        </w:tc>
      </w:tr>
    </w:tbl>
    <w:p w14:paraId="186659E9" w14:textId="77777777" w:rsidR="008B5977" w:rsidRPr="008B5977" w:rsidRDefault="008B5977" w:rsidP="008B5977">
      <w:pPr>
        <w:spacing w:after="0" w:line="240" w:lineRule="auto"/>
        <w:rPr>
          <w:rFonts w:ascii="Arial" w:eastAsia="Times New Roman" w:hAnsi="Arial" w:cs="Arial"/>
          <w:sz w:val="24"/>
          <w:szCs w:val="24"/>
        </w:rPr>
      </w:pPr>
    </w:p>
    <w:p w14:paraId="29940195" w14:textId="65842DF5" w:rsidR="008B5977" w:rsidRPr="008B5977" w:rsidRDefault="008B5977" w:rsidP="008B5977">
      <w:pPr>
        <w:spacing w:after="0" w:line="240" w:lineRule="auto"/>
        <w:rPr>
          <w:rFonts w:ascii="Arial" w:eastAsia="Times New Roman" w:hAnsi="Arial" w:cs="Arial"/>
          <w:sz w:val="24"/>
          <w:szCs w:val="24"/>
        </w:rPr>
      </w:pPr>
      <w:r w:rsidRPr="008B5977">
        <w:rPr>
          <w:rFonts w:ascii="Arial" w:eastAsia="Times New Roman" w:hAnsi="Arial" w:cs="Arial"/>
          <w:sz w:val="24"/>
          <w:szCs w:val="24"/>
        </w:rPr>
        <w:t>Bonus payments for staff in the Trust are entirely accounted for by doctors in receipt of Clinical Excellence Award Scheme payments. 65 doctors were in receipt of the award on the 31</w:t>
      </w:r>
      <w:r w:rsidRPr="008B5977">
        <w:rPr>
          <w:rFonts w:ascii="Arial" w:eastAsia="Times New Roman" w:hAnsi="Arial" w:cs="Arial"/>
        </w:rPr>
        <w:t xml:space="preserve"> </w:t>
      </w:r>
      <w:r w:rsidRPr="008B5977">
        <w:rPr>
          <w:rFonts w:ascii="Arial" w:eastAsia="Times New Roman" w:hAnsi="Arial" w:cs="Arial"/>
          <w:sz w:val="24"/>
          <w:szCs w:val="24"/>
        </w:rPr>
        <w:t xml:space="preserve">March, of those 29 (45%) were female and 36 (55%) were male. 17 of the 29 female doctors worked part time, compared to 17 of the 36 male doctors. This, along with the small numbers explains the gap – though it should be noted that both the mean and median have decreased this year. </w:t>
      </w:r>
    </w:p>
    <w:p w14:paraId="2E0D84FA" w14:textId="77777777" w:rsidR="008B5977" w:rsidRPr="008B5977" w:rsidRDefault="008B5977" w:rsidP="008B5977">
      <w:pPr>
        <w:spacing w:after="0" w:line="240" w:lineRule="auto"/>
        <w:rPr>
          <w:rFonts w:ascii="Arial" w:eastAsia="Times New Roman" w:hAnsi="Arial" w:cs="Arial"/>
          <w:sz w:val="24"/>
          <w:szCs w:val="24"/>
        </w:rPr>
      </w:pPr>
    </w:p>
    <w:p w14:paraId="57B3281C" w14:textId="77777777" w:rsidR="008B5977" w:rsidRPr="008B5977" w:rsidRDefault="008B5977" w:rsidP="008B5977">
      <w:pPr>
        <w:spacing w:after="0" w:line="240" w:lineRule="auto"/>
        <w:rPr>
          <w:rFonts w:ascii="Arial" w:eastAsia="Times New Roman" w:hAnsi="Arial" w:cs="Arial"/>
          <w:sz w:val="24"/>
          <w:szCs w:val="24"/>
        </w:rPr>
      </w:pPr>
      <w:r w:rsidRPr="008B5977">
        <w:rPr>
          <w:rFonts w:ascii="Arial" w:eastAsia="Times New Roman" w:hAnsi="Arial" w:cs="Arial"/>
          <w:sz w:val="24"/>
          <w:szCs w:val="24"/>
        </w:rPr>
        <w:t>There have been important changes t</w:t>
      </w:r>
      <w:bookmarkStart w:id="0" w:name="_GoBack"/>
      <w:bookmarkEnd w:id="0"/>
      <w:r w:rsidRPr="008B5977">
        <w:rPr>
          <w:rFonts w:ascii="Arial" w:eastAsia="Times New Roman" w:hAnsi="Arial" w:cs="Arial"/>
          <w:sz w:val="24"/>
          <w:szCs w:val="24"/>
        </w:rPr>
        <w:t>o the National Clinical Excellence Award scheme (NCEAs) during 2022. These will now be known as the National Clinical Impact Award scheme (NCIAs) and the eligibility criteria for their award has changed. In future doctors in receipt of the award who work part time will receive the award in full, rather than a pro-rata amount. This is will significantly reduce the bonus gender pay gap.</w:t>
      </w:r>
    </w:p>
    <w:p w14:paraId="0F16AA58" w14:textId="77777777" w:rsidR="008B5977" w:rsidRPr="008B5977" w:rsidRDefault="008B5977" w:rsidP="008B5977">
      <w:pPr>
        <w:spacing w:after="0" w:line="240" w:lineRule="auto"/>
        <w:rPr>
          <w:rFonts w:ascii="Arial" w:eastAsia="Times New Roman" w:hAnsi="Arial" w:cs="Arial"/>
          <w:sz w:val="24"/>
          <w:szCs w:val="24"/>
        </w:rPr>
      </w:pPr>
      <w:r w:rsidRPr="008B5977">
        <w:rPr>
          <w:rFonts w:ascii="Arial" w:eastAsia="Times New Roman" w:hAnsi="Arial" w:cs="Arial"/>
          <w:sz w:val="24"/>
          <w:szCs w:val="24"/>
        </w:rPr>
        <w:br w:type="page"/>
      </w:r>
    </w:p>
    <w:p w14:paraId="7391A238" w14:textId="77777777" w:rsidR="008B5977" w:rsidRPr="008B5977" w:rsidRDefault="008B5977" w:rsidP="008B5977">
      <w:pPr>
        <w:keepNext/>
        <w:shd w:val="clear" w:color="auto" w:fill="141B4D"/>
        <w:spacing w:after="0" w:line="240" w:lineRule="auto"/>
        <w:outlineLvl w:val="0"/>
        <w:rPr>
          <w:rFonts w:ascii="Arial" w:eastAsia="Times New Roman" w:hAnsi="Arial" w:cs="Arial"/>
          <w:b/>
          <w:color w:val="FFFFFF"/>
          <w:sz w:val="40"/>
          <w:szCs w:val="40"/>
        </w:rPr>
      </w:pPr>
    </w:p>
    <w:p w14:paraId="35093DA6" w14:textId="77777777" w:rsidR="008B5977" w:rsidRPr="008B5977" w:rsidRDefault="008B5977" w:rsidP="008B5977">
      <w:pPr>
        <w:keepNext/>
        <w:shd w:val="clear" w:color="auto" w:fill="141B4D"/>
        <w:spacing w:after="0" w:line="240" w:lineRule="auto"/>
        <w:outlineLvl w:val="0"/>
        <w:rPr>
          <w:rFonts w:ascii="Arial" w:eastAsia="Times New Roman" w:hAnsi="Arial" w:cs="Arial"/>
          <w:b/>
          <w:color w:val="FFFFFF"/>
          <w:sz w:val="40"/>
          <w:szCs w:val="40"/>
        </w:rPr>
      </w:pPr>
      <w:r w:rsidRPr="008B5977">
        <w:rPr>
          <w:rFonts w:ascii="Arial" w:eastAsia="Times New Roman" w:hAnsi="Arial" w:cs="Arial"/>
          <w:b/>
          <w:color w:val="FFFFFF"/>
          <w:sz w:val="40"/>
          <w:szCs w:val="40"/>
        </w:rPr>
        <w:t>How are we tackling the gender pay gap?</w:t>
      </w:r>
    </w:p>
    <w:p w14:paraId="3E8ED429" w14:textId="77777777" w:rsidR="008B5977" w:rsidRPr="008B5977" w:rsidRDefault="008B5977" w:rsidP="008B5977">
      <w:pPr>
        <w:shd w:val="clear" w:color="auto" w:fill="141B4D"/>
        <w:spacing w:after="0" w:line="240" w:lineRule="auto"/>
        <w:rPr>
          <w:rFonts w:ascii="Arial" w:eastAsia="Times New Roman" w:hAnsi="Arial" w:cs="Arial"/>
          <w:color w:val="FFFFFF"/>
          <w:sz w:val="24"/>
          <w:szCs w:val="24"/>
        </w:rPr>
      </w:pPr>
    </w:p>
    <w:p w14:paraId="086DEDFB" w14:textId="77777777" w:rsidR="008B5977" w:rsidRPr="008B5977" w:rsidRDefault="008B5977" w:rsidP="008B5977">
      <w:pPr>
        <w:spacing w:after="0" w:line="240" w:lineRule="auto"/>
        <w:rPr>
          <w:rFonts w:ascii="Arial" w:eastAsia="Times New Roman" w:hAnsi="Arial" w:cs="Arial"/>
          <w:color w:val="000000"/>
          <w:sz w:val="24"/>
          <w:szCs w:val="24"/>
        </w:rPr>
      </w:pPr>
    </w:p>
    <w:p w14:paraId="7C4F7BCA" w14:textId="77777777" w:rsidR="008B5977" w:rsidRPr="008B5977" w:rsidRDefault="008B5977" w:rsidP="008B5977">
      <w:pPr>
        <w:spacing w:after="0" w:line="240" w:lineRule="auto"/>
        <w:rPr>
          <w:rFonts w:ascii="Arial" w:eastAsia="Times New Roman" w:hAnsi="Arial" w:cs="Arial"/>
          <w:color w:val="000000"/>
          <w:sz w:val="24"/>
          <w:szCs w:val="24"/>
        </w:rPr>
      </w:pPr>
    </w:p>
    <w:p w14:paraId="104CEAC6" w14:textId="77777777" w:rsidR="008B5977" w:rsidRPr="008B5977" w:rsidRDefault="008B5977" w:rsidP="008B5977">
      <w:pPr>
        <w:spacing w:after="0" w:line="240" w:lineRule="auto"/>
        <w:rPr>
          <w:rFonts w:ascii="Arial" w:eastAsia="Times New Roman" w:hAnsi="Arial" w:cs="Arial"/>
          <w:color w:val="141B4D"/>
          <w:sz w:val="24"/>
          <w:szCs w:val="24"/>
        </w:rPr>
      </w:pPr>
      <w:r w:rsidRPr="008B5977">
        <w:rPr>
          <w:rFonts w:ascii="Arial" w:eastAsia="Times New Roman" w:hAnsi="Arial" w:cs="Arial"/>
          <w:b/>
          <w:bCs/>
          <w:color w:val="141B4D"/>
          <w:sz w:val="24"/>
          <w:szCs w:val="24"/>
        </w:rPr>
        <w:t>Actions we have taken to close the gender pay gap</w:t>
      </w:r>
    </w:p>
    <w:p w14:paraId="71D7611A" w14:textId="77777777" w:rsidR="008B5977" w:rsidRPr="008B5977" w:rsidRDefault="008B5977" w:rsidP="008B5977">
      <w:pPr>
        <w:spacing w:after="0" w:line="240" w:lineRule="auto"/>
        <w:rPr>
          <w:rFonts w:ascii="Arial" w:eastAsia="Times New Roman" w:hAnsi="Arial" w:cs="Arial"/>
          <w:color w:val="141B4D"/>
          <w:sz w:val="24"/>
          <w:szCs w:val="24"/>
        </w:rPr>
      </w:pPr>
    </w:p>
    <w:p w14:paraId="61EDEE89" w14:textId="314858DF" w:rsidR="00B36168" w:rsidRDefault="008B5977" w:rsidP="008B5977">
      <w:pPr>
        <w:spacing w:after="0" w:line="240" w:lineRule="auto"/>
        <w:rPr>
          <w:rFonts w:ascii="Arial" w:eastAsia="Times New Roman" w:hAnsi="Arial" w:cs="Arial"/>
          <w:sz w:val="24"/>
          <w:szCs w:val="24"/>
        </w:rPr>
      </w:pPr>
      <w:r w:rsidRPr="008B5977">
        <w:rPr>
          <w:rFonts w:ascii="Arial" w:eastAsia="Times New Roman" w:hAnsi="Arial" w:cs="Arial"/>
          <w:b/>
          <w:bCs/>
          <w:sz w:val="24"/>
          <w:szCs w:val="24"/>
        </w:rPr>
        <w:t>Commitment to paying the UK Living Wage:</w:t>
      </w:r>
      <w:r w:rsidRPr="008B5977">
        <w:rPr>
          <w:rFonts w:ascii="Arial" w:eastAsia="Times New Roman" w:hAnsi="Arial" w:cs="Arial"/>
          <w:sz w:val="24"/>
          <w:szCs w:val="24"/>
        </w:rPr>
        <w:t xml:space="preserve"> C</w:t>
      </w:r>
      <w:r w:rsidR="00B36168">
        <w:rPr>
          <w:rFonts w:ascii="Arial" w:eastAsia="Times New Roman" w:hAnsi="Arial" w:cs="Arial"/>
          <w:sz w:val="24"/>
          <w:szCs w:val="24"/>
        </w:rPr>
        <w:t>umbria, Northumberland, Tyne an</w:t>
      </w:r>
      <w:r w:rsidR="009D049C">
        <w:rPr>
          <w:rFonts w:ascii="Arial" w:eastAsia="Times New Roman" w:hAnsi="Arial" w:cs="Arial"/>
          <w:sz w:val="24"/>
          <w:szCs w:val="24"/>
        </w:rPr>
        <w:t>d</w:t>
      </w:r>
      <w:r w:rsidR="00B36168">
        <w:rPr>
          <w:rFonts w:ascii="Arial" w:eastAsia="Times New Roman" w:hAnsi="Arial" w:cs="Arial"/>
          <w:sz w:val="24"/>
          <w:szCs w:val="24"/>
        </w:rPr>
        <w:t xml:space="preserve"> Wear </w:t>
      </w:r>
      <w:r w:rsidRPr="008B5977">
        <w:rPr>
          <w:rFonts w:ascii="Arial" w:eastAsia="Times New Roman" w:hAnsi="Arial" w:cs="Arial"/>
          <w:sz w:val="24"/>
          <w:szCs w:val="24"/>
        </w:rPr>
        <w:t xml:space="preserve">NHS Foundation Trust became an accredited Living Wage Employer in 2013. We were the first NHS Trust in the North-East of England to accredit with the Living Wage Foundation </w:t>
      </w:r>
      <w:r w:rsidR="009D049C">
        <w:rPr>
          <w:rFonts w:ascii="Arial" w:eastAsia="Times New Roman" w:hAnsi="Arial" w:cs="Arial"/>
          <w:sz w:val="24"/>
          <w:szCs w:val="24"/>
        </w:rPr>
        <w:t xml:space="preserve">and have continued to champion </w:t>
      </w:r>
      <w:r w:rsidRPr="008B5977">
        <w:rPr>
          <w:rFonts w:ascii="Arial" w:eastAsia="Times New Roman" w:hAnsi="Arial" w:cs="Arial"/>
          <w:sz w:val="24"/>
          <w:szCs w:val="24"/>
        </w:rPr>
        <w:t>the Living Wage during Living Wage Week each November.</w:t>
      </w:r>
      <w:r w:rsidRPr="008B5977">
        <w:rPr>
          <w:rFonts w:ascii="Arial" w:eastAsia="Times New Roman" w:hAnsi="Arial" w:cs="Arial"/>
          <w:sz w:val="24"/>
          <w:szCs w:val="24"/>
        </w:rPr>
        <w:cr/>
      </w:r>
    </w:p>
    <w:p w14:paraId="3658281E" w14:textId="3CF17C9E" w:rsidR="008B5977" w:rsidRPr="008B5977" w:rsidRDefault="00A128DD" w:rsidP="008B5977">
      <w:pPr>
        <w:spacing w:after="0" w:line="240" w:lineRule="auto"/>
        <w:rPr>
          <w:rFonts w:ascii="Arial" w:eastAsia="Times New Roman" w:hAnsi="Arial" w:cs="Arial"/>
          <w:sz w:val="24"/>
          <w:szCs w:val="24"/>
        </w:rPr>
      </w:pPr>
      <w:r>
        <w:rPr>
          <w:rFonts w:ascii="Arial" w:eastAsia="Times New Roman" w:hAnsi="Arial" w:cs="Arial"/>
          <w:sz w:val="24"/>
          <w:szCs w:val="24"/>
        </w:rPr>
        <w:t>T</w:t>
      </w:r>
      <w:r w:rsidR="008B5977" w:rsidRPr="008B5977">
        <w:rPr>
          <w:rFonts w:ascii="Arial" w:eastAsia="Times New Roman" w:hAnsi="Arial" w:cs="Arial"/>
          <w:sz w:val="24"/>
          <w:szCs w:val="24"/>
        </w:rPr>
        <w:t xml:space="preserve">he Real Living Wage is worked out independently and takes into account rising bills and costs. Paying a Living Wage means that all staff are appointed on at least Band 2 of the Agenda for Change </w:t>
      </w:r>
      <w:r>
        <w:rPr>
          <w:rFonts w:ascii="Arial" w:eastAsia="Times New Roman" w:hAnsi="Arial" w:cs="Arial"/>
          <w:sz w:val="24"/>
          <w:szCs w:val="24"/>
        </w:rPr>
        <w:t>p</w:t>
      </w:r>
      <w:r w:rsidR="008B5977" w:rsidRPr="008B5977">
        <w:rPr>
          <w:rFonts w:ascii="Arial" w:eastAsia="Times New Roman" w:hAnsi="Arial" w:cs="Arial"/>
          <w:sz w:val="24"/>
          <w:szCs w:val="24"/>
        </w:rPr>
        <w:t>ay scales for NHS staff.</w:t>
      </w:r>
    </w:p>
    <w:p w14:paraId="6F07E1A2" w14:textId="77777777" w:rsidR="008B5977" w:rsidRPr="008B5977" w:rsidRDefault="008B5977" w:rsidP="008B5977">
      <w:pPr>
        <w:spacing w:after="0" w:line="240" w:lineRule="auto"/>
        <w:rPr>
          <w:rFonts w:ascii="Arial" w:eastAsia="Times New Roman" w:hAnsi="Arial" w:cs="Arial"/>
          <w:sz w:val="24"/>
          <w:szCs w:val="24"/>
        </w:rPr>
      </w:pPr>
    </w:p>
    <w:p w14:paraId="1C6802C8" w14:textId="77777777" w:rsidR="008B5977" w:rsidRPr="008B5977" w:rsidRDefault="008B5977" w:rsidP="008B5977">
      <w:pPr>
        <w:spacing w:after="0" w:line="240" w:lineRule="auto"/>
        <w:rPr>
          <w:rFonts w:ascii="Arial" w:eastAsia="Times New Roman" w:hAnsi="Arial" w:cs="Arial"/>
          <w:sz w:val="24"/>
          <w:szCs w:val="24"/>
        </w:rPr>
      </w:pPr>
      <w:r w:rsidRPr="008B5977">
        <w:rPr>
          <w:rFonts w:ascii="Arial" w:eastAsia="Times New Roman" w:hAnsi="Arial" w:cs="Arial"/>
          <w:b/>
          <w:bCs/>
          <w:sz w:val="24"/>
          <w:szCs w:val="24"/>
        </w:rPr>
        <w:t xml:space="preserve">Encouraging flexible working: </w:t>
      </w:r>
      <w:r w:rsidRPr="008B5977">
        <w:rPr>
          <w:rFonts w:ascii="Arial" w:eastAsia="Times New Roman" w:hAnsi="Arial" w:cs="Arial"/>
          <w:sz w:val="24"/>
          <w:szCs w:val="24"/>
        </w:rPr>
        <w:t>the Trust promotes a supportive and flexible working culture. We recognise that flexible working helps employees to achieve a better balance between their work and home life, as well as improve service delivery through a flexible workforce. It can help the Trust become an employer of choice, aid recruitment and retention, reduce sickness absence and improve employee engagement, leading to an improved patient experience.</w:t>
      </w:r>
    </w:p>
    <w:p w14:paraId="5D3F811B" w14:textId="77777777" w:rsidR="008B5977" w:rsidRPr="008B5977" w:rsidRDefault="008B5977" w:rsidP="008B5977">
      <w:pPr>
        <w:spacing w:after="0" w:line="240" w:lineRule="auto"/>
        <w:rPr>
          <w:rFonts w:ascii="Arial" w:eastAsia="Times New Roman" w:hAnsi="Arial" w:cs="Arial"/>
          <w:sz w:val="24"/>
          <w:szCs w:val="24"/>
        </w:rPr>
      </w:pPr>
    </w:p>
    <w:p w14:paraId="6848C977" w14:textId="66DB6A49" w:rsidR="008B5977" w:rsidRPr="008B5977" w:rsidRDefault="008B5977" w:rsidP="008B5977">
      <w:pPr>
        <w:spacing w:after="0" w:line="240" w:lineRule="auto"/>
        <w:rPr>
          <w:rFonts w:ascii="Arial" w:eastAsia="Times New Roman" w:hAnsi="Arial" w:cs="Arial"/>
          <w:sz w:val="24"/>
          <w:szCs w:val="24"/>
        </w:rPr>
      </w:pPr>
      <w:r w:rsidRPr="008B5977">
        <w:rPr>
          <w:rFonts w:ascii="Arial" w:eastAsia="Times New Roman" w:hAnsi="Arial" w:cs="Arial"/>
          <w:b/>
          <w:bCs/>
          <w:sz w:val="24"/>
          <w:szCs w:val="24"/>
        </w:rPr>
        <w:t>Inclusive recruitment:</w:t>
      </w:r>
      <w:r w:rsidRPr="008B5977">
        <w:rPr>
          <w:rFonts w:ascii="Arial" w:eastAsia="Times New Roman" w:hAnsi="Arial" w:cs="Arial"/>
          <w:sz w:val="24"/>
          <w:szCs w:val="24"/>
        </w:rPr>
        <w:t xml:space="preserve"> the Trust has undertaken a substantial piece of work examining our recruitment processes, with the objective of removing any barriers to entry by protected characteristics as defined by the Equality Act 2010. Many of the measures we have adopted have recently been implemented. The next key piece of work that follows on from this will be a review of job descriptions. As part of this we </w:t>
      </w:r>
      <w:r w:rsidR="00A128DD">
        <w:rPr>
          <w:rFonts w:ascii="Arial" w:eastAsia="Times New Roman" w:hAnsi="Arial" w:cs="Arial"/>
          <w:sz w:val="24"/>
          <w:szCs w:val="24"/>
        </w:rPr>
        <w:t xml:space="preserve">will </w:t>
      </w:r>
      <w:r w:rsidRPr="008B5977">
        <w:rPr>
          <w:rFonts w:ascii="Arial" w:eastAsia="Times New Roman" w:hAnsi="Arial" w:cs="Arial"/>
          <w:sz w:val="24"/>
          <w:szCs w:val="24"/>
        </w:rPr>
        <w:t>carefully examine and remove any gender bias that may affect the numbers of men and women applying for jobs with the Trust.</w:t>
      </w:r>
    </w:p>
    <w:p w14:paraId="4B65C035" w14:textId="77777777" w:rsidR="008B5977" w:rsidRPr="008B5977" w:rsidRDefault="008B5977" w:rsidP="008B5977">
      <w:pPr>
        <w:spacing w:after="0" w:line="240" w:lineRule="auto"/>
        <w:rPr>
          <w:rFonts w:ascii="Arial" w:eastAsia="Times New Roman" w:hAnsi="Arial" w:cs="Arial"/>
          <w:sz w:val="24"/>
          <w:szCs w:val="24"/>
        </w:rPr>
      </w:pPr>
    </w:p>
    <w:p w14:paraId="198B9343" w14:textId="319F2F58" w:rsidR="008B5977" w:rsidRPr="008B5977" w:rsidRDefault="008B5977" w:rsidP="008B5977">
      <w:pPr>
        <w:spacing w:after="0" w:line="240" w:lineRule="auto"/>
        <w:rPr>
          <w:rFonts w:ascii="Arial" w:eastAsia="Times New Roman" w:hAnsi="Arial" w:cs="Arial"/>
          <w:sz w:val="24"/>
          <w:szCs w:val="24"/>
        </w:rPr>
      </w:pPr>
      <w:r w:rsidRPr="008B5977">
        <w:rPr>
          <w:rFonts w:ascii="Arial" w:eastAsia="Times New Roman" w:hAnsi="Arial" w:cs="Arial"/>
          <w:b/>
          <w:bCs/>
          <w:sz w:val="24"/>
          <w:szCs w:val="24"/>
        </w:rPr>
        <w:t>Springboard for women pilot:</w:t>
      </w:r>
      <w:r w:rsidRPr="008B5977">
        <w:rPr>
          <w:rFonts w:ascii="Arial" w:eastAsia="Times New Roman" w:hAnsi="Arial" w:cs="Arial"/>
          <w:sz w:val="24"/>
          <w:szCs w:val="24"/>
        </w:rPr>
        <w:t xml:space="preserve"> across society, the NHS, and here in</w:t>
      </w:r>
      <w:r w:rsidR="00B36168">
        <w:rPr>
          <w:rFonts w:ascii="Arial" w:eastAsia="Times New Roman" w:hAnsi="Arial" w:cs="Arial"/>
          <w:sz w:val="24"/>
          <w:szCs w:val="24"/>
        </w:rPr>
        <w:t xml:space="preserve"> the Trust,</w:t>
      </w:r>
      <w:r w:rsidRPr="008B5977">
        <w:rPr>
          <w:rFonts w:ascii="Arial" w:eastAsia="Times New Roman" w:hAnsi="Arial" w:cs="Arial"/>
          <w:sz w:val="24"/>
          <w:szCs w:val="24"/>
        </w:rPr>
        <w:t xml:space="preserve"> people who identify as having a protected characteristic tell us they do not always have the same opportunities as others to learn, develop and progress. Springboard for Women, one of several development programmes offered by Springboard Consultancy, provides women with the inspiration, tools and confidence boost to enable them to choose what they want to do and to take their next steps (at work, in life) when the time is right for them. The programme seeks to enable women to thrive, helping them to feel more confident, self-aware</w:t>
      </w:r>
      <w:r w:rsidR="00B36168">
        <w:rPr>
          <w:rFonts w:ascii="Arial" w:eastAsia="Times New Roman" w:hAnsi="Arial" w:cs="Arial"/>
          <w:sz w:val="24"/>
          <w:szCs w:val="24"/>
        </w:rPr>
        <w:t xml:space="preserve"> and</w:t>
      </w:r>
      <w:r w:rsidRPr="008B5977">
        <w:rPr>
          <w:rFonts w:ascii="Arial" w:eastAsia="Times New Roman" w:hAnsi="Arial" w:cs="Arial"/>
          <w:sz w:val="24"/>
          <w:szCs w:val="24"/>
        </w:rPr>
        <w:t xml:space="preserve"> assertive. Twenty-one women, from all areas of the Trust, participated in the pilot programme which completed in September. In a break from the usual Springboard format </w:t>
      </w:r>
      <w:r w:rsidR="00B36168">
        <w:rPr>
          <w:rFonts w:ascii="Arial" w:eastAsia="Times New Roman" w:hAnsi="Arial" w:cs="Arial"/>
          <w:sz w:val="24"/>
          <w:szCs w:val="24"/>
        </w:rPr>
        <w:t xml:space="preserve">the Trust </w:t>
      </w:r>
      <w:r w:rsidRPr="008B5977">
        <w:rPr>
          <w:rFonts w:ascii="Arial" w:eastAsia="Times New Roman" w:hAnsi="Arial" w:cs="Arial"/>
          <w:sz w:val="24"/>
          <w:szCs w:val="24"/>
        </w:rPr>
        <w:t>also engaged with participants</w:t>
      </w:r>
      <w:r w:rsidR="00B36168">
        <w:rPr>
          <w:rFonts w:ascii="Arial" w:eastAsia="Times New Roman" w:hAnsi="Arial" w:cs="Arial"/>
          <w:sz w:val="24"/>
          <w:szCs w:val="24"/>
        </w:rPr>
        <w:t>’</w:t>
      </w:r>
      <w:r w:rsidRPr="008B5977">
        <w:rPr>
          <w:rFonts w:ascii="Arial" w:eastAsia="Times New Roman" w:hAnsi="Arial" w:cs="Arial"/>
          <w:sz w:val="24"/>
          <w:szCs w:val="24"/>
        </w:rPr>
        <w:t xml:space="preserve"> Line Managers to help them actively support their members of staff whilst on programme. The pilot was evaluated, key findings from the evaluation were reported, including:</w:t>
      </w:r>
    </w:p>
    <w:p w14:paraId="1A9D3B4C" w14:textId="77777777" w:rsidR="008B5977" w:rsidRPr="008B5977" w:rsidRDefault="008B5977" w:rsidP="008B5977">
      <w:pPr>
        <w:spacing w:after="0" w:line="240" w:lineRule="auto"/>
        <w:rPr>
          <w:rFonts w:ascii="Arial" w:eastAsia="Times New Roman" w:hAnsi="Arial" w:cs="Arial"/>
          <w:sz w:val="24"/>
          <w:szCs w:val="24"/>
        </w:rPr>
      </w:pPr>
    </w:p>
    <w:p w14:paraId="1CF890CD" w14:textId="77777777" w:rsidR="008B5977" w:rsidRPr="008B5977" w:rsidRDefault="008B5977" w:rsidP="008B5977">
      <w:pPr>
        <w:numPr>
          <w:ilvl w:val="0"/>
          <w:numId w:val="5"/>
        </w:numPr>
        <w:spacing w:after="0" w:line="240" w:lineRule="auto"/>
        <w:contextualSpacing/>
        <w:jc w:val="both"/>
        <w:rPr>
          <w:rFonts w:ascii="Arial" w:eastAsia="Calibri" w:hAnsi="Arial" w:cs="Arial"/>
          <w:sz w:val="24"/>
          <w:szCs w:val="24"/>
        </w:rPr>
      </w:pPr>
      <w:r w:rsidRPr="008B5977">
        <w:rPr>
          <w:rFonts w:ascii="Arial" w:eastAsia="Calibri" w:hAnsi="Arial" w:cs="Arial"/>
          <w:sz w:val="24"/>
          <w:szCs w:val="24"/>
        </w:rPr>
        <w:t xml:space="preserve">94% felt more confident in </w:t>
      </w:r>
    </w:p>
    <w:p w14:paraId="06D7D92D" w14:textId="77777777" w:rsidR="008B5977" w:rsidRPr="008B5977" w:rsidRDefault="008B5977" w:rsidP="008B5977">
      <w:pPr>
        <w:numPr>
          <w:ilvl w:val="1"/>
          <w:numId w:val="5"/>
        </w:numPr>
        <w:spacing w:after="0" w:line="240" w:lineRule="auto"/>
        <w:contextualSpacing/>
        <w:jc w:val="both"/>
        <w:rPr>
          <w:rFonts w:ascii="Arial" w:eastAsia="Calibri" w:hAnsi="Arial" w:cs="Arial"/>
          <w:sz w:val="24"/>
          <w:szCs w:val="24"/>
        </w:rPr>
      </w:pPr>
      <w:r w:rsidRPr="008B5977">
        <w:rPr>
          <w:rFonts w:ascii="Arial" w:eastAsia="Calibri" w:hAnsi="Arial" w:cs="Arial"/>
          <w:sz w:val="24"/>
          <w:szCs w:val="24"/>
        </w:rPr>
        <w:t>productivity</w:t>
      </w:r>
    </w:p>
    <w:p w14:paraId="21B33884" w14:textId="77777777" w:rsidR="008B5977" w:rsidRPr="008B5977" w:rsidRDefault="008B5977" w:rsidP="008B5977">
      <w:pPr>
        <w:numPr>
          <w:ilvl w:val="1"/>
          <w:numId w:val="5"/>
        </w:numPr>
        <w:spacing w:after="0" w:line="240" w:lineRule="auto"/>
        <w:contextualSpacing/>
        <w:jc w:val="both"/>
        <w:rPr>
          <w:rFonts w:ascii="Arial" w:eastAsia="Calibri" w:hAnsi="Arial" w:cs="Arial"/>
          <w:sz w:val="24"/>
          <w:szCs w:val="24"/>
        </w:rPr>
      </w:pPr>
      <w:r w:rsidRPr="008B5977">
        <w:rPr>
          <w:rFonts w:ascii="Arial" w:eastAsia="Calibri" w:hAnsi="Arial" w:cs="Arial"/>
          <w:sz w:val="24"/>
          <w:szCs w:val="24"/>
        </w:rPr>
        <w:t>development needs</w:t>
      </w:r>
    </w:p>
    <w:p w14:paraId="738BD706" w14:textId="77777777" w:rsidR="008B5977" w:rsidRPr="008B5977" w:rsidRDefault="008B5977" w:rsidP="008B5977">
      <w:pPr>
        <w:numPr>
          <w:ilvl w:val="1"/>
          <w:numId w:val="5"/>
        </w:numPr>
        <w:spacing w:after="0" w:line="240" w:lineRule="auto"/>
        <w:contextualSpacing/>
        <w:jc w:val="both"/>
        <w:rPr>
          <w:rFonts w:ascii="Arial" w:eastAsia="Calibri" w:hAnsi="Arial" w:cs="Arial"/>
          <w:sz w:val="24"/>
          <w:szCs w:val="24"/>
        </w:rPr>
      </w:pPr>
      <w:r w:rsidRPr="008B5977">
        <w:rPr>
          <w:rFonts w:ascii="Arial" w:eastAsia="Calibri" w:hAnsi="Arial" w:cs="Arial"/>
          <w:sz w:val="24"/>
          <w:szCs w:val="24"/>
        </w:rPr>
        <w:lastRenderedPageBreak/>
        <w:t>positivity</w:t>
      </w:r>
    </w:p>
    <w:p w14:paraId="56C4EE6D" w14:textId="77777777" w:rsidR="008B5977" w:rsidRPr="008B5977" w:rsidRDefault="008B5977" w:rsidP="008B5977">
      <w:pPr>
        <w:numPr>
          <w:ilvl w:val="0"/>
          <w:numId w:val="5"/>
        </w:numPr>
        <w:spacing w:after="0" w:line="240" w:lineRule="auto"/>
        <w:contextualSpacing/>
        <w:jc w:val="both"/>
        <w:rPr>
          <w:rFonts w:ascii="Arial" w:eastAsia="Calibri" w:hAnsi="Arial" w:cs="Arial"/>
          <w:sz w:val="24"/>
          <w:szCs w:val="24"/>
        </w:rPr>
      </w:pPr>
      <w:r w:rsidRPr="008B5977">
        <w:rPr>
          <w:rFonts w:ascii="Arial" w:eastAsia="Calibri" w:hAnsi="Arial" w:cs="Arial"/>
          <w:sz w:val="24"/>
          <w:szCs w:val="24"/>
        </w:rPr>
        <w:t xml:space="preserve">88% feel more confident in </w:t>
      </w:r>
    </w:p>
    <w:p w14:paraId="5BFB9F24" w14:textId="77777777" w:rsidR="008B5977" w:rsidRPr="008B5977" w:rsidRDefault="008B5977" w:rsidP="008B5977">
      <w:pPr>
        <w:numPr>
          <w:ilvl w:val="1"/>
          <w:numId w:val="5"/>
        </w:numPr>
        <w:spacing w:after="0" w:line="240" w:lineRule="auto"/>
        <w:contextualSpacing/>
        <w:jc w:val="both"/>
        <w:rPr>
          <w:rFonts w:ascii="Arial" w:eastAsia="Calibri" w:hAnsi="Arial" w:cs="Arial"/>
          <w:sz w:val="24"/>
          <w:szCs w:val="24"/>
        </w:rPr>
      </w:pPr>
      <w:r w:rsidRPr="008B5977">
        <w:rPr>
          <w:rFonts w:ascii="Arial" w:eastAsia="Calibri" w:hAnsi="Arial" w:cs="Arial"/>
          <w:sz w:val="24"/>
          <w:szCs w:val="24"/>
        </w:rPr>
        <w:t>goal setting</w:t>
      </w:r>
    </w:p>
    <w:p w14:paraId="5F151639" w14:textId="77777777" w:rsidR="008B5977" w:rsidRPr="008B5977" w:rsidRDefault="008B5977" w:rsidP="008B5977">
      <w:pPr>
        <w:numPr>
          <w:ilvl w:val="1"/>
          <w:numId w:val="5"/>
        </w:numPr>
        <w:spacing w:after="0" w:line="240" w:lineRule="auto"/>
        <w:contextualSpacing/>
        <w:jc w:val="both"/>
        <w:rPr>
          <w:rFonts w:ascii="Arial" w:eastAsia="Calibri" w:hAnsi="Arial" w:cs="Arial"/>
          <w:sz w:val="24"/>
          <w:szCs w:val="24"/>
        </w:rPr>
      </w:pPr>
      <w:r w:rsidRPr="008B5977">
        <w:rPr>
          <w:rFonts w:ascii="Arial" w:eastAsia="Calibri" w:hAnsi="Arial" w:cs="Arial"/>
          <w:sz w:val="24"/>
          <w:szCs w:val="24"/>
        </w:rPr>
        <w:t xml:space="preserve">communicating </w:t>
      </w:r>
    </w:p>
    <w:p w14:paraId="470262FF" w14:textId="77777777" w:rsidR="008B5977" w:rsidRPr="008B5977" w:rsidRDefault="008B5977" w:rsidP="008B5977">
      <w:pPr>
        <w:numPr>
          <w:ilvl w:val="1"/>
          <w:numId w:val="5"/>
        </w:numPr>
        <w:spacing w:after="0" w:line="240" w:lineRule="auto"/>
        <w:contextualSpacing/>
        <w:jc w:val="both"/>
        <w:rPr>
          <w:rFonts w:ascii="Arial" w:eastAsia="Calibri" w:hAnsi="Arial" w:cs="Arial"/>
          <w:sz w:val="24"/>
          <w:szCs w:val="24"/>
        </w:rPr>
      </w:pPr>
      <w:r w:rsidRPr="008B5977">
        <w:rPr>
          <w:rFonts w:ascii="Arial" w:eastAsia="Calibri" w:hAnsi="Arial" w:cs="Arial"/>
          <w:sz w:val="24"/>
          <w:szCs w:val="24"/>
        </w:rPr>
        <w:t xml:space="preserve">assertiveness </w:t>
      </w:r>
    </w:p>
    <w:p w14:paraId="419CA5C1" w14:textId="77777777" w:rsidR="008B5977" w:rsidRPr="008B5977" w:rsidRDefault="008B5977" w:rsidP="008B5977">
      <w:pPr>
        <w:spacing w:after="0" w:line="240" w:lineRule="auto"/>
        <w:jc w:val="both"/>
        <w:rPr>
          <w:rFonts w:ascii="Arial" w:eastAsia="Calibri" w:hAnsi="Arial" w:cs="Arial"/>
          <w:sz w:val="24"/>
          <w:szCs w:val="24"/>
        </w:rPr>
      </w:pPr>
    </w:p>
    <w:p w14:paraId="318FC424" w14:textId="48FDD9E3" w:rsidR="008B5977" w:rsidRPr="008B5977" w:rsidRDefault="008B5977" w:rsidP="008B5977">
      <w:pPr>
        <w:spacing w:after="0" w:line="240" w:lineRule="auto"/>
        <w:jc w:val="both"/>
        <w:rPr>
          <w:rFonts w:ascii="Arial" w:eastAsia="Calibri" w:hAnsi="Arial" w:cs="Arial"/>
          <w:sz w:val="24"/>
          <w:szCs w:val="24"/>
        </w:rPr>
      </w:pPr>
      <w:r w:rsidRPr="008B5977">
        <w:rPr>
          <w:rFonts w:ascii="Arial" w:eastAsia="Calibri" w:hAnsi="Arial" w:cs="Arial"/>
          <w:b/>
          <w:bCs/>
          <w:sz w:val="24"/>
          <w:szCs w:val="24"/>
        </w:rPr>
        <w:t>Establishment of a group to consider proactive work around gender issues:</w:t>
      </w:r>
      <w:r w:rsidRPr="008B5977">
        <w:rPr>
          <w:rFonts w:ascii="Arial" w:eastAsia="Calibri" w:hAnsi="Arial" w:cs="Arial"/>
          <w:sz w:val="24"/>
          <w:szCs w:val="24"/>
        </w:rPr>
        <w:t xml:space="preserve"> at the end of the Springboard Pilot </w:t>
      </w:r>
      <w:r w:rsidR="007C6082">
        <w:rPr>
          <w:rFonts w:ascii="Arial" w:eastAsia="Calibri" w:hAnsi="Arial" w:cs="Arial"/>
          <w:sz w:val="24"/>
          <w:szCs w:val="24"/>
        </w:rPr>
        <w:t xml:space="preserve">a focus group was set up to consider </w:t>
      </w:r>
      <w:r w:rsidRPr="008B5977">
        <w:rPr>
          <w:rFonts w:ascii="Arial" w:eastAsia="Calibri" w:hAnsi="Arial" w:cs="Arial"/>
          <w:sz w:val="24"/>
          <w:szCs w:val="24"/>
        </w:rPr>
        <w:t>issues relating to the gender pay gap. The next meeting will take place in February to consider the information contained in this report.</w:t>
      </w:r>
    </w:p>
    <w:p w14:paraId="7364698C" w14:textId="77777777" w:rsidR="008B5977" w:rsidRPr="008B5977" w:rsidRDefault="008B5977" w:rsidP="008B5977">
      <w:pPr>
        <w:spacing w:after="0" w:line="240" w:lineRule="auto"/>
        <w:rPr>
          <w:rFonts w:ascii="Arial" w:eastAsia="Times New Roman" w:hAnsi="Arial" w:cs="Arial"/>
          <w:sz w:val="24"/>
          <w:szCs w:val="24"/>
        </w:rPr>
      </w:pPr>
    </w:p>
    <w:p w14:paraId="6E322335" w14:textId="77777777" w:rsidR="008B5977" w:rsidRPr="008B5977" w:rsidRDefault="008B5977" w:rsidP="008B5977">
      <w:pPr>
        <w:spacing w:after="0" w:line="240" w:lineRule="auto"/>
        <w:rPr>
          <w:rFonts w:ascii="Arial" w:eastAsia="Times New Roman" w:hAnsi="Arial" w:cs="Arial"/>
          <w:color w:val="141B4D"/>
          <w:sz w:val="24"/>
          <w:szCs w:val="24"/>
        </w:rPr>
      </w:pPr>
      <w:r w:rsidRPr="008B5977">
        <w:rPr>
          <w:rFonts w:ascii="Arial" w:eastAsia="Times New Roman" w:hAnsi="Arial" w:cs="Arial"/>
          <w:b/>
          <w:bCs/>
          <w:color w:val="141B4D"/>
          <w:sz w:val="24"/>
          <w:szCs w:val="24"/>
        </w:rPr>
        <w:t>Actions we plan to take to close the gender pay gap</w:t>
      </w:r>
    </w:p>
    <w:p w14:paraId="147D9221" w14:textId="77777777" w:rsidR="008B5977" w:rsidRPr="008B5977" w:rsidRDefault="008B5977" w:rsidP="008B5977">
      <w:pPr>
        <w:spacing w:after="0" w:line="240" w:lineRule="auto"/>
        <w:rPr>
          <w:rFonts w:ascii="Arial" w:eastAsia="Times New Roman" w:hAnsi="Arial" w:cs="Arial"/>
          <w:color w:val="141B4D"/>
          <w:sz w:val="24"/>
          <w:szCs w:val="24"/>
        </w:rPr>
      </w:pPr>
    </w:p>
    <w:p w14:paraId="305BC8CB" w14:textId="77777777" w:rsidR="008B5977" w:rsidRPr="008B5977" w:rsidRDefault="008B5977" w:rsidP="008B5977">
      <w:pPr>
        <w:spacing w:after="0" w:line="240" w:lineRule="auto"/>
        <w:rPr>
          <w:rFonts w:ascii="Arial" w:eastAsia="Times New Roman" w:hAnsi="Arial" w:cs="Arial"/>
          <w:sz w:val="24"/>
          <w:szCs w:val="24"/>
        </w:rPr>
      </w:pPr>
      <w:r w:rsidRPr="008B5977">
        <w:rPr>
          <w:rFonts w:ascii="Arial" w:eastAsia="Times New Roman" w:hAnsi="Arial" w:cs="Arial"/>
          <w:b/>
          <w:bCs/>
          <w:sz w:val="24"/>
          <w:szCs w:val="24"/>
        </w:rPr>
        <w:t xml:space="preserve">Remove barriers: </w:t>
      </w:r>
      <w:r w:rsidRPr="008B5977">
        <w:rPr>
          <w:rFonts w:ascii="Arial" w:eastAsia="Times New Roman" w:hAnsi="Arial" w:cs="Arial"/>
          <w:sz w:val="24"/>
          <w:szCs w:val="24"/>
        </w:rPr>
        <w:t>to challenge ourselves to identify barriers to addressing the gap and to seek, where we can close them. This will involve the development of the following:</w:t>
      </w:r>
    </w:p>
    <w:p w14:paraId="4C32CE31" w14:textId="77777777" w:rsidR="008B5977" w:rsidRPr="008B5977" w:rsidRDefault="008B5977" w:rsidP="008B5977">
      <w:pPr>
        <w:spacing w:after="0" w:line="240" w:lineRule="auto"/>
        <w:rPr>
          <w:rFonts w:ascii="Arial" w:eastAsia="Times New Roman" w:hAnsi="Arial" w:cs="Arial"/>
          <w:sz w:val="24"/>
          <w:szCs w:val="24"/>
        </w:rPr>
      </w:pPr>
    </w:p>
    <w:p w14:paraId="541CFB5A" w14:textId="77777777" w:rsidR="008B5977" w:rsidRPr="008B5977" w:rsidRDefault="008B5977" w:rsidP="008B5977">
      <w:pPr>
        <w:spacing w:after="0" w:line="240" w:lineRule="auto"/>
        <w:rPr>
          <w:rFonts w:ascii="Arial" w:eastAsia="Times New Roman" w:hAnsi="Arial" w:cs="Arial"/>
          <w:sz w:val="24"/>
          <w:szCs w:val="24"/>
        </w:rPr>
      </w:pPr>
      <w:r w:rsidRPr="008B5977">
        <w:rPr>
          <w:rFonts w:ascii="Arial" w:eastAsia="Times New Roman" w:hAnsi="Arial" w:cs="Arial"/>
          <w:b/>
          <w:bCs/>
          <w:sz w:val="24"/>
          <w:szCs w:val="24"/>
        </w:rPr>
        <w:t>Monitoring and reporting:</w:t>
      </w:r>
      <w:r w:rsidRPr="008B5977">
        <w:rPr>
          <w:rFonts w:ascii="Arial" w:eastAsia="Times New Roman" w:hAnsi="Arial" w:cs="Arial"/>
          <w:sz w:val="24"/>
          <w:szCs w:val="24"/>
        </w:rPr>
        <w:t xml:space="preserve"> part of our inclusive recruitment work is the need to identify the success of the measures we take and have the ability to change our approach, where data suggests that we need to. We are developing our approach to this and will implement during 2023-24. Monitoring of these measures will be received regularly by the Trust’s Equality, Diversity and Inclusion Steering Group, with reports to be received by The People Committee.</w:t>
      </w:r>
    </w:p>
    <w:p w14:paraId="76E38575" w14:textId="77777777" w:rsidR="008B5977" w:rsidRPr="008B5977" w:rsidRDefault="008B5977" w:rsidP="008B5977">
      <w:pPr>
        <w:spacing w:after="0" w:line="240" w:lineRule="auto"/>
        <w:rPr>
          <w:rFonts w:ascii="Arial" w:eastAsia="Times New Roman" w:hAnsi="Arial" w:cs="Arial"/>
          <w:sz w:val="24"/>
          <w:szCs w:val="24"/>
        </w:rPr>
      </w:pPr>
    </w:p>
    <w:p w14:paraId="1183CA93" w14:textId="77777777" w:rsidR="008B5977" w:rsidRPr="008B5977" w:rsidRDefault="008B5977" w:rsidP="008B5977">
      <w:pPr>
        <w:spacing w:after="0" w:line="240" w:lineRule="auto"/>
        <w:rPr>
          <w:rFonts w:ascii="Arial" w:eastAsia="Times New Roman" w:hAnsi="Arial" w:cs="Arial"/>
          <w:sz w:val="24"/>
          <w:szCs w:val="24"/>
        </w:rPr>
      </w:pPr>
      <w:r w:rsidRPr="008B5977">
        <w:rPr>
          <w:rFonts w:ascii="Arial" w:eastAsia="Times New Roman" w:hAnsi="Arial" w:cs="Arial"/>
          <w:b/>
          <w:bCs/>
          <w:sz w:val="24"/>
          <w:szCs w:val="24"/>
        </w:rPr>
        <w:t>Grow and encourage the group examining gender issues:</w:t>
      </w:r>
      <w:r w:rsidRPr="008B5977">
        <w:rPr>
          <w:rFonts w:ascii="Arial" w:eastAsia="Times New Roman" w:hAnsi="Arial" w:cs="Arial"/>
          <w:sz w:val="24"/>
          <w:szCs w:val="24"/>
        </w:rPr>
        <w:t xml:space="preserve"> as described above we need to harness the enthusiasm from the initial meeting in October 2022 to enable this group to flourish. The work of this group will be key in identifying and removing barriers to help close the gender pay gap.</w:t>
      </w:r>
    </w:p>
    <w:p w14:paraId="07FF20A1" w14:textId="77777777" w:rsidR="008B5977" w:rsidRPr="008B5977" w:rsidRDefault="008B5977" w:rsidP="008B5977">
      <w:pPr>
        <w:spacing w:after="0" w:line="240" w:lineRule="auto"/>
        <w:rPr>
          <w:rFonts w:ascii="Arial" w:eastAsia="Times New Roman" w:hAnsi="Arial" w:cs="Arial"/>
          <w:sz w:val="24"/>
          <w:szCs w:val="24"/>
        </w:rPr>
      </w:pPr>
    </w:p>
    <w:p w14:paraId="61936EF1" w14:textId="1E574D77" w:rsidR="008B5977" w:rsidRPr="008B5977" w:rsidRDefault="008B5977" w:rsidP="008B5977">
      <w:pPr>
        <w:spacing w:after="0" w:line="240" w:lineRule="auto"/>
        <w:rPr>
          <w:rFonts w:ascii="Arial" w:eastAsia="Times New Roman" w:hAnsi="Arial" w:cs="Arial"/>
          <w:sz w:val="24"/>
          <w:szCs w:val="24"/>
        </w:rPr>
      </w:pPr>
      <w:r w:rsidRPr="008B5977">
        <w:rPr>
          <w:rFonts w:ascii="Arial" w:eastAsia="Times New Roman" w:hAnsi="Arial" w:cs="Arial"/>
          <w:b/>
          <w:bCs/>
          <w:sz w:val="24"/>
          <w:szCs w:val="24"/>
        </w:rPr>
        <w:t>Integrated planning:</w:t>
      </w:r>
      <w:r w:rsidRPr="008B5977">
        <w:rPr>
          <w:rFonts w:ascii="Arial" w:eastAsia="Times New Roman" w:hAnsi="Arial" w:cs="Arial"/>
          <w:sz w:val="24"/>
          <w:szCs w:val="24"/>
        </w:rPr>
        <w:t xml:space="preserve"> ensuring that the actions we need to take are included in our yearly review of our </w:t>
      </w:r>
      <w:r>
        <w:rPr>
          <w:rFonts w:ascii="Arial" w:eastAsia="Times New Roman" w:hAnsi="Arial" w:cs="Arial"/>
          <w:sz w:val="24"/>
          <w:szCs w:val="24"/>
        </w:rPr>
        <w:t>e</w:t>
      </w:r>
      <w:r w:rsidRPr="008B5977">
        <w:rPr>
          <w:rFonts w:ascii="Arial" w:eastAsia="Times New Roman" w:hAnsi="Arial" w:cs="Arial"/>
          <w:sz w:val="24"/>
          <w:szCs w:val="24"/>
        </w:rPr>
        <w:t xml:space="preserve">quality </w:t>
      </w:r>
      <w:r>
        <w:rPr>
          <w:rFonts w:ascii="Arial" w:eastAsia="Times New Roman" w:hAnsi="Arial" w:cs="Arial"/>
          <w:sz w:val="24"/>
          <w:szCs w:val="24"/>
        </w:rPr>
        <w:t>o</w:t>
      </w:r>
      <w:r w:rsidRPr="008B5977">
        <w:rPr>
          <w:rFonts w:ascii="Arial" w:eastAsia="Times New Roman" w:hAnsi="Arial" w:cs="Arial"/>
          <w:sz w:val="24"/>
          <w:szCs w:val="24"/>
        </w:rPr>
        <w:t>bjectives.</w:t>
      </w:r>
    </w:p>
    <w:p w14:paraId="70140511" w14:textId="77777777" w:rsidR="008B5977" w:rsidRPr="008B5977" w:rsidRDefault="008B5977" w:rsidP="008B5977">
      <w:pPr>
        <w:spacing w:after="0" w:line="240" w:lineRule="auto"/>
        <w:rPr>
          <w:rFonts w:ascii="Arial" w:eastAsia="Times New Roman" w:hAnsi="Arial" w:cs="Arial"/>
          <w:sz w:val="24"/>
          <w:szCs w:val="24"/>
        </w:rPr>
      </w:pPr>
    </w:p>
    <w:p w14:paraId="4B133E22" w14:textId="77777777" w:rsidR="008B5977" w:rsidRPr="008B5977" w:rsidRDefault="008B5977" w:rsidP="008B5977">
      <w:pPr>
        <w:spacing w:after="0" w:line="240" w:lineRule="auto"/>
        <w:rPr>
          <w:rFonts w:ascii="Arial" w:eastAsia="Times New Roman" w:hAnsi="Arial" w:cs="Arial"/>
          <w:color w:val="141B4D"/>
          <w:sz w:val="24"/>
          <w:szCs w:val="24"/>
        </w:rPr>
      </w:pPr>
      <w:r w:rsidRPr="008B5977">
        <w:rPr>
          <w:rFonts w:ascii="Arial" w:eastAsia="Times New Roman" w:hAnsi="Arial" w:cs="Arial"/>
          <w:b/>
          <w:bCs/>
          <w:color w:val="141B4D"/>
          <w:sz w:val="24"/>
          <w:szCs w:val="24"/>
        </w:rPr>
        <w:t>Our Equality, Diversity and Inclusion Strategy</w:t>
      </w:r>
    </w:p>
    <w:p w14:paraId="3C4379FD" w14:textId="77777777" w:rsidR="008B5977" w:rsidRPr="008B5977" w:rsidRDefault="008B5977" w:rsidP="008B5977">
      <w:pPr>
        <w:spacing w:after="0" w:line="240" w:lineRule="auto"/>
        <w:rPr>
          <w:rFonts w:ascii="Arial" w:eastAsia="Times New Roman" w:hAnsi="Arial" w:cs="Arial"/>
          <w:color w:val="141B4D"/>
          <w:sz w:val="24"/>
          <w:szCs w:val="24"/>
        </w:rPr>
      </w:pPr>
    </w:p>
    <w:p w14:paraId="03ABBE5F" w14:textId="77777777" w:rsidR="008B5977" w:rsidRPr="008B5977" w:rsidRDefault="008B5977" w:rsidP="008B5977">
      <w:pPr>
        <w:spacing w:after="0" w:line="240" w:lineRule="auto"/>
        <w:rPr>
          <w:rFonts w:ascii="Arial" w:eastAsia="Times New Roman" w:hAnsi="Arial" w:cs="Arial"/>
          <w:sz w:val="24"/>
          <w:szCs w:val="24"/>
        </w:rPr>
      </w:pPr>
      <w:r w:rsidRPr="008B5977">
        <w:rPr>
          <w:rFonts w:ascii="Arial" w:eastAsia="Times New Roman" w:hAnsi="Arial" w:cs="Arial"/>
          <w:sz w:val="24"/>
          <w:szCs w:val="24"/>
        </w:rPr>
        <w:t>We believe that any modern organisation has to reflect all the communities and people it serves, in both service delivery and employment, and tackle all forms of discrimination. We need to remove inequality and ensure there are no barriers to health and wellbeing. We aim to implement this by:</w:t>
      </w:r>
    </w:p>
    <w:p w14:paraId="6EB305B8" w14:textId="77777777" w:rsidR="008B5977" w:rsidRPr="008B5977" w:rsidRDefault="008B5977" w:rsidP="008B5977">
      <w:pPr>
        <w:spacing w:after="0" w:line="240" w:lineRule="auto"/>
        <w:rPr>
          <w:rFonts w:ascii="Arial" w:eastAsia="Times New Roman" w:hAnsi="Arial" w:cs="Arial"/>
          <w:sz w:val="24"/>
          <w:szCs w:val="24"/>
        </w:rPr>
      </w:pPr>
    </w:p>
    <w:p w14:paraId="64EF616C" w14:textId="77777777" w:rsidR="008B5977" w:rsidRPr="008B5977" w:rsidRDefault="008B5977" w:rsidP="008B5977">
      <w:pPr>
        <w:numPr>
          <w:ilvl w:val="0"/>
          <w:numId w:val="6"/>
        </w:numPr>
        <w:spacing w:after="0" w:line="240" w:lineRule="auto"/>
        <w:contextualSpacing/>
        <w:rPr>
          <w:rFonts w:ascii="Arial" w:eastAsia="Times New Roman" w:hAnsi="Arial" w:cs="Arial"/>
          <w:sz w:val="24"/>
          <w:szCs w:val="24"/>
        </w:rPr>
      </w:pPr>
      <w:r w:rsidRPr="008B5977">
        <w:rPr>
          <w:rFonts w:ascii="Arial" w:eastAsia="Times New Roman" w:hAnsi="Arial" w:cs="Arial"/>
          <w:sz w:val="24"/>
          <w:szCs w:val="24"/>
        </w:rPr>
        <w:t xml:space="preserve">becoming a leading organisation for the promotion of Equality, Diversity and Inclusion, for challenging discrimination, and for promoting equalities in service delivery and employment </w:t>
      </w:r>
    </w:p>
    <w:p w14:paraId="4E79568F" w14:textId="77777777" w:rsidR="008B5977" w:rsidRPr="008B5977" w:rsidRDefault="008B5977" w:rsidP="008B5977">
      <w:pPr>
        <w:numPr>
          <w:ilvl w:val="0"/>
          <w:numId w:val="6"/>
        </w:numPr>
        <w:spacing w:after="0" w:line="240" w:lineRule="auto"/>
        <w:contextualSpacing/>
        <w:rPr>
          <w:rFonts w:ascii="Arial" w:eastAsia="Times New Roman" w:hAnsi="Arial" w:cs="Arial"/>
          <w:sz w:val="24"/>
          <w:szCs w:val="24"/>
        </w:rPr>
      </w:pPr>
      <w:r w:rsidRPr="008B5977">
        <w:rPr>
          <w:rFonts w:ascii="Arial" w:eastAsia="Times New Roman" w:hAnsi="Arial" w:cs="Arial"/>
          <w:sz w:val="24"/>
          <w:szCs w:val="24"/>
        </w:rPr>
        <w:t>identifying and removing barriers that prevent people we serve from being treated equally</w:t>
      </w:r>
    </w:p>
    <w:p w14:paraId="1FFA7C20" w14:textId="5A414DE1" w:rsidR="008B5977" w:rsidRPr="008B5977" w:rsidRDefault="008B5977" w:rsidP="008B5977">
      <w:pPr>
        <w:numPr>
          <w:ilvl w:val="0"/>
          <w:numId w:val="6"/>
        </w:numPr>
        <w:spacing w:after="0" w:line="240" w:lineRule="auto"/>
        <w:contextualSpacing/>
        <w:rPr>
          <w:rFonts w:ascii="Arial" w:eastAsia="Times New Roman" w:hAnsi="Arial" w:cs="Arial"/>
          <w:sz w:val="24"/>
          <w:szCs w:val="24"/>
        </w:rPr>
      </w:pPr>
      <w:r w:rsidRPr="008B5977">
        <w:rPr>
          <w:rFonts w:ascii="Arial" w:eastAsia="Times New Roman" w:hAnsi="Arial" w:cs="Arial"/>
          <w:sz w:val="24"/>
          <w:szCs w:val="24"/>
        </w:rPr>
        <w:t>treating all people as individuals respecting and valuing their own experiences and needs</w:t>
      </w:r>
    </w:p>
    <w:p w14:paraId="1DA7053B" w14:textId="604C6A3D" w:rsidR="003C79C4" w:rsidRPr="008B5977" w:rsidRDefault="008B5977" w:rsidP="004C0073">
      <w:pPr>
        <w:numPr>
          <w:ilvl w:val="0"/>
          <w:numId w:val="6"/>
        </w:numPr>
        <w:spacing w:after="0" w:line="240" w:lineRule="auto"/>
        <w:contextualSpacing/>
        <w:rPr>
          <w:rFonts w:ascii="Arial" w:hAnsi="Arial" w:cs="Arial"/>
          <w:sz w:val="24"/>
          <w:szCs w:val="24"/>
        </w:rPr>
      </w:pPr>
      <w:r w:rsidRPr="008B5977">
        <w:rPr>
          <w:rFonts w:ascii="Arial" w:eastAsia="Times New Roman" w:hAnsi="Arial" w:cs="Arial"/>
          <w:sz w:val="24"/>
          <w:szCs w:val="24"/>
        </w:rPr>
        <w:t>ensuring that Cumbria, Northumberland, Tyne and Wear NHS FT is regarded as a great place to work - an organisation which recognises the contribution of all staff, and which is supportive, fair and free from discrimination.</w:t>
      </w:r>
    </w:p>
    <w:sectPr w:rsidR="003C79C4" w:rsidRPr="008B597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63370" w14:textId="77777777" w:rsidR="00B378FA" w:rsidRDefault="00B378FA" w:rsidP="008B5977">
      <w:pPr>
        <w:spacing w:after="0" w:line="240" w:lineRule="auto"/>
      </w:pPr>
      <w:r>
        <w:separator/>
      </w:r>
    </w:p>
  </w:endnote>
  <w:endnote w:type="continuationSeparator" w:id="0">
    <w:p w14:paraId="727DA91F" w14:textId="77777777" w:rsidR="00B378FA" w:rsidRDefault="00B378FA" w:rsidP="008B5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183457"/>
      <w:docPartObj>
        <w:docPartGallery w:val="Page Numbers (Bottom of Page)"/>
        <w:docPartUnique/>
      </w:docPartObj>
    </w:sdtPr>
    <w:sdtEndPr>
      <w:rPr>
        <w:noProof/>
      </w:rPr>
    </w:sdtEndPr>
    <w:sdtContent>
      <w:p w14:paraId="14963101" w14:textId="46C8F6E2" w:rsidR="008B5977" w:rsidRDefault="008B5977">
        <w:pPr>
          <w:pStyle w:val="Footer"/>
          <w:jc w:val="right"/>
        </w:pPr>
        <w:r>
          <w:fldChar w:fldCharType="begin"/>
        </w:r>
        <w:r>
          <w:instrText xml:space="preserve"> PAGE   \* MERGEFORMAT </w:instrText>
        </w:r>
        <w:r>
          <w:fldChar w:fldCharType="separate"/>
        </w:r>
        <w:r w:rsidR="00EE6B6A">
          <w:rPr>
            <w:noProof/>
          </w:rPr>
          <w:t>8</w:t>
        </w:r>
        <w:r>
          <w:rPr>
            <w:noProof/>
          </w:rPr>
          <w:fldChar w:fldCharType="end"/>
        </w:r>
      </w:p>
    </w:sdtContent>
  </w:sdt>
  <w:p w14:paraId="5672548E" w14:textId="77777777" w:rsidR="008B5977" w:rsidRDefault="008B5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BAAE0" w14:textId="77777777" w:rsidR="00B378FA" w:rsidRDefault="00B378FA" w:rsidP="008B5977">
      <w:pPr>
        <w:spacing w:after="0" w:line="240" w:lineRule="auto"/>
      </w:pPr>
      <w:r>
        <w:separator/>
      </w:r>
    </w:p>
  </w:footnote>
  <w:footnote w:type="continuationSeparator" w:id="0">
    <w:p w14:paraId="5E981C0D" w14:textId="77777777" w:rsidR="00B378FA" w:rsidRDefault="00B378FA" w:rsidP="008B5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81F"/>
    <w:multiLevelType w:val="hybridMultilevel"/>
    <w:tmpl w:val="0938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B293D"/>
    <w:multiLevelType w:val="hybridMultilevel"/>
    <w:tmpl w:val="D8329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D304503"/>
    <w:multiLevelType w:val="hybridMultilevel"/>
    <w:tmpl w:val="2930A1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B432DAD"/>
    <w:multiLevelType w:val="hybridMultilevel"/>
    <w:tmpl w:val="6A6ADC96"/>
    <w:lvl w:ilvl="0" w:tplc="B35C775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C04CD2"/>
    <w:multiLevelType w:val="hybridMultilevel"/>
    <w:tmpl w:val="B7C0B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99505A"/>
    <w:multiLevelType w:val="hybridMultilevel"/>
    <w:tmpl w:val="CBE24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073"/>
    <w:rsid w:val="0010246A"/>
    <w:rsid w:val="0013260D"/>
    <w:rsid w:val="00165D09"/>
    <w:rsid w:val="002523D2"/>
    <w:rsid w:val="002A4DCB"/>
    <w:rsid w:val="002C37F6"/>
    <w:rsid w:val="00397DA7"/>
    <w:rsid w:val="003A55AE"/>
    <w:rsid w:val="003C79C4"/>
    <w:rsid w:val="004B29C6"/>
    <w:rsid w:val="004C0073"/>
    <w:rsid w:val="004C79E1"/>
    <w:rsid w:val="00574631"/>
    <w:rsid w:val="00577962"/>
    <w:rsid w:val="005864F0"/>
    <w:rsid w:val="00654CA5"/>
    <w:rsid w:val="006C6044"/>
    <w:rsid w:val="006F53EB"/>
    <w:rsid w:val="007243AF"/>
    <w:rsid w:val="007A4765"/>
    <w:rsid w:val="007C6082"/>
    <w:rsid w:val="008B5977"/>
    <w:rsid w:val="0092115F"/>
    <w:rsid w:val="00974D70"/>
    <w:rsid w:val="009D049C"/>
    <w:rsid w:val="00A128DD"/>
    <w:rsid w:val="00A8651D"/>
    <w:rsid w:val="00B02966"/>
    <w:rsid w:val="00B32D53"/>
    <w:rsid w:val="00B36168"/>
    <w:rsid w:val="00B378FA"/>
    <w:rsid w:val="00B632C1"/>
    <w:rsid w:val="00BF4C63"/>
    <w:rsid w:val="00CB5BA9"/>
    <w:rsid w:val="00CC7163"/>
    <w:rsid w:val="00CF161C"/>
    <w:rsid w:val="00D96F64"/>
    <w:rsid w:val="00DA7050"/>
    <w:rsid w:val="00EE6B6A"/>
    <w:rsid w:val="00F94D6C"/>
    <w:rsid w:val="00FC7686"/>
    <w:rsid w:val="00FF1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AF4A"/>
  <w15:chartTrackingRefBased/>
  <w15:docId w15:val="{FBE235C3-5672-41CB-A785-AB1B6A8B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C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C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79C4"/>
    <w:pPr>
      <w:ind w:left="720"/>
      <w:contextualSpacing/>
    </w:pPr>
  </w:style>
  <w:style w:type="table" w:customStyle="1" w:styleId="TableGrid2">
    <w:name w:val="Table Grid2"/>
    <w:basedOn w:val="TableNormal"/>
    <w:next w:val="TableGrid"/>
    <w:rsid w:val="008B5977"/>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9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7"/>
  </w:style>
  <w:style w:type="paragraph" w:styleId="Footer">
    <w:name w:val="footer"/>
    <w:basedOn w:val="Normal"/>
    <w:link w:val="FooterChar"/>
    <w:uiPriority w:val="99"/>
    <w:unhideWhenUsed/>
    <w:rsid w:val="008B5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41220F-7BC6-4730-A5E4-5A19B81300E4}"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58D84D59-BBF5-417D-9A90-D81C126AFD9D}">
      <dgm:prSet/>
      <dgm:spPr>
        <a:xfrm>
          <a:off x="1885950" y="485774"/>
          <a:ext cx="1714499" cy="1028700"/>
        </a:xfrm>
        <a:prstGeom prst="rect">
          <a:avLst/>
        </a:prstGeom>
        <a:solidFill>
          <a:srgbClr val="141B4D"/>
        </a:solidFill>
        <a:ln w="12700" cap="flat" cmpd="sng" algn="ctr">
          <a:solidFill>
            <a:sysClr val="window" lastClr="FFFFFF">
              <a:hueOff val="0"/>
              <a:satOff val="0"/>
              <a:lumOff val="0"/>
              <a:alphaOff val="0"/>
            </a:sysClr>
          </a:solidFill>
          <a:prstDash val="solid"/>
          <a:miter lim="800000"/>
        </a:ln>
        <a:effectLst/>
      </dgm:spPr>
      <dgm:t>
        <a:bodyPr/>
        <a:lstStyle/>
        <a:p>
          <a:pPr algn="l">
            <a:buFont typeface="+mj-lt"/>
            <a:buNone/>
          </a:pPr>
          <a:r>
            <a:rPr lang="en-GB" b="0" i="0">
              <a:solidFill>
                <a:sysClr val="window" lastClr="FFFFFF"/>
              </a:solidFill>
              <a:latin typeface="Calibri" panose="020F0502020204030204"/>
              <a:ea typeface="+mn-ea"/>
              <a:cs typeface="+mn-cs"/>
            </a:rPr>
            <a:t>The percentage of men and women in each hourly pay quarter</a:t>
          </a:r>
        </a:p>
      </dgm:t>
    </dgm:pt>
    <dgm:pt modelId="{FCDA569E-F7CA-4A29-BF60-905AFCADAA9D}" type="parTrans" cxnId="{090CFD26-0B85-499D-919D-A49895485FD3}">
      <dgm:prSet/>
      <dgm:spPr/>
      <dgm:t>
        <a:bodyPr/>
        <a:lstStyle/>
        <a:p>
          <a:endParaRPr lang="en-GB"/>
        </a:p>
      </dgm:t>
    </dgm:pt>
    <dgm:pt modelId="{10673C7D-220C-4F40-BCBA-693B7E937718}" type="sibTrans" cxnId="{090CFD26-0B85-499D-919D-A49895485FD3}">
      <dgm:prSet/>
      <dgm:spPr/>
      <dgm:t>
        <a:bodyPr/>
        <a:lstStyle/>
        <a:p>
          <a:endParaRPr lang="en-GB"/>
        </a:p>
      </dgm:t>
    </dgm:pt>
    <dgm:pt modelId="{42720373-FA5C-4110-A4F8-736CCD04EF95}">
      <dgm:prSet/>
      <dgm:spPr>
        <a:xfrm>
          <a:off x="0" y="1685925"/>
          <a:ext cx="1714499" cy="1028700"/>
        </a:xfrm>
        <a:prstGeom prst="rect">
          <a:avLst/>
        </a:prstGeom>
        <a:solidFill>
          <a:srgbClr val="141B4D"/>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GB" b="0" i="0">
              <a:solidFill>
                <a:sysClr val="window" lastClr="FFFFFF"/>
              </a:solidFill>
              <a:latin typeface="Calibri" panose="020F0502020204030204"/>
              <a:ea typeface="+mn-ea"/>
              <a:cs typeface="+mn-cs"/>
            </a:rPr>
            <a:t>The mean (average) gender pay gap using hourly pay</a:t>
          </a:r>
          <a:endParaRPr lang="en-GB">
            <a:solidFill>
              <a:sysClr val="window" lastClr="FFFFFF"/>
            </a:solidFill>
            <a:latin typeface="Calibri" panose="020F0502020204030204"/>
            <a:ea typeface="+mn-ea"/>
            <a:cs typeface="+mn-cs"/>
          </a:endParaRPr>
        </a:p>
      </dgm:t>
    </dgm:pt>
    <dgm:pt modelId="{8571F939-352C-48C4-B980-8C4FEEE4DA42}" type="parTrans" cxnId="{91443D79-B6EB-4346-9836-D5F57CEAA0F3}">
      <dgm:prSet/>
      <dgm:spPr/>
      <dgm:t>
        <a:bodyPr/>
        <a:lstStyle/>
        <a:p>
          <a:endParaRPr lang="en-GB"/>
        </a:p>
      </dgm:t>
    </dgm:pt>
    <dgm:pt modelId="{5FAA3178-A479-4468-8668-9372CA04E459}" type="sibTrans" cxnId="{91443D79-B6EB-4346-9836-D5F57CEAA0F3}">
      <dgm:prSet/>
      <dgm:spPr/>
      <dgm:t>
        <a:bodyPr/>
        <a:lstStyle/>
        <a:p>
          <a:endParaRPr lang="en-GB"/>
        </a:p>
      </dgm:t>
    </dgm:pt>
    <dgm:pt modelId="{F369D71C-5BAD-4F60-B765-481C9A873964}">
      <dgm:prSet/>
      <dgm:spPr>
        <a:xfrm>
          <a:off x="3771900" y="1685925"/>
          <a:ext cx="1714499" cy="1028700"/>
        </a:xfrm>
        <a:prstGeom prst="rect">
          <a:avLst/>
        </a:prstGeom>
        <a:solidFill>
          <a:srgbClr val="141B4D"/>
        </a:solidFill>
        <a:ln w="12700" cap="flat" cmpd="sng" algn="ctr">
          <a:solidFill>
            <a:sysClr val="window" lastClr="FFFFFF">
              <a:hueOff val="0"/>
              <a:satOff val="0"/>
              <a:lumOff val="0"/>
              <a:alphaOff val="0"/>
            </a:sysClr>
          </a:solidFill>
          <a:prstDash val="solid"/>
          <a:miter lim="800000"/>
        </a:ln>
        <a:effectLst/>
      </dgm:spPr>
      <dgm:t>
        <a:bodyPr/>
        <a:lstStyle/>
        <a:p>
          <a:pPr algn="l">
            <a:buFont typeface="+mj-lt"/>
            <a:buNone/>
          </a:pPr>
          <a:r>
            <a:rPr lang="en-GB" b="0" i="0">
              <a:solidFill>
                <a:sysClr val="window" lastClr="FFFFFF"/>
              </a:solidFill>
              <a:latin typeface="Calibri" panose="020F0502020204030204"/>
              <a:ea typeface="+mn-ea"/>
              <a:cs typeface="+mn-cs"/>
            </a:rPr>
            <a:t>The median gender pay gap using hourly pay</a:t>
          </a:r>
        </a:p>
      </dgm:t>
    </dgm:pt>
    <dgm:pt modelId="{B95DEDE7-7925-49AB-AE0A-EA4A9D9405F4}" type="parTrans" cxnId="{284DD53A-8D7A-492C-AB70-CE1935753F74}">
      <dgm:prSet/>
      <dgm:spPr/>
      <dgm:t>
        <a:bodyPr/>
        <a:lstStyle/>
        <a:p>
          <a:endParaRPr lang="en-GB"/>
        </a:p>
      </dgm:t>
    </dgm:pt>
    <dgm:pt modelId="{A0E640AF-44B4-402B-800F-0A29DA912C93}" type="sibTrans" cxnId="{284DD53A-8D7A-492C-AB70-CE1935753F74}">
      <dgm:prSet/>
      <dgm:spPr/>
      <dgm:t>
        <a:bodyPr/>
        <a:lstStyle/>
        <a:p>
          <a:endParaRPr lang="en-GB"/>
        </a:p>
      </dgm:t>
    </dgm:pt>
    <dgm:pt modelId="{DFFD8FA2-FFA7-43AF-9E6D-F11E896DD653}">
      <dgm:prSet/>
      <dgm:spPr>
        <a:xfrm>
          <a:off x="3771900" y="485774"/>
          <a:ext cx="1714499" cy="1028700"/>
        </a:xfrm>
        <a:prstGeom prst="rect">
          <a:avLst/>
        </a:prstGeom>
        <a:solidFill>
          <a:srgbClr val="141B4D"/>
        </a:solidFill>
        <a:ln w="12700" cap="flat" cmpd="sng" algn="ctr">
          <a:solidFill>
            <a:sysClr val="window" lastClr="FFFFFF">
              <a:hueOff val="0"/>
              <a:satOff val="0"/>
              <a:lumOff val="0"/>
              <a:alphaOff val="0"/>
            </a:sysClr>
          </a:solidFill>
          <a:prstDash val="solid"/>
          <a:miter lim="800000"/>
        </a:ln>
        <a:effectLst/>
      </dgm:spPr>
      <dgm:t>
        <a:bodyPr/>
        <a:lstStyle/>
        <a:p>
          <a:pPr algn="l">
            <a:buFont typeface="+mj-lt"/>
            <a:buNone/>
          </a:pPr>
          <a:r>
            <a:rPr lang="en-GB" b="0" i="0">
              <a:solidFill>
                <a:sysClr val="window" lastClr="FFFFFF"/>
              </a:solidFill>
              <a:latin typeface="Calibri" panose="020F0502020204030204"/>
              <a:ea typeface="+mn-ea"/>
              <a:cs typeface="+mn-cs"/>
            </a:rPr>
            <a:t>The percentage of men and women receiving bonus pay</a:t>
          </a:r>
        </a:p>
      </dgm:t>
    </dgm:pt>
    <dgm:pt modelId="{17D6942F-E6F0-449B-94C7-62859DBF96F8}" type="parTrans" cxnId="{253ABA60-9310-4FBE-B67A-0449716BADB0}">
      <dgm:prSet/>
      <dgm:spPr/>
      <dgm:t>
        <a:bodyPr/>
        <a:lstStyle/>
        <a:p>
          <a:endParaRPr lang="en-GB"/>
        </a:p>
      </dgm:t>
    </dgm:pt>
    <dgm:pt modelId="{412AC4B2-0850-4CDB-AC24-9BD9885BC860}" type="sibTrans" cxnId="{253ABA60-9310-4FBE-B67A-0449716BADB0}">
      <dgm:prSet/>
      <dgm:spPr/>
      <dgm:t>
        <a:bodyPr/>
        <a:lstStyle/>
        <a:p>
          <a:endParaRPr lang="en-GB"/>
        </a:p>
      </dgm:t>
    </dgm:pt>
    <dgm:pt modelId="{0CF470CD-6B39-457B-AA39-06E9AD974E50}">
      <dgm:prSet/>
      <dgm:spPr>
        <a:xfrm>
          <a:off x="1885950" y="1685925"/>
          <a:ext cx="1714499" cy="1028700"/>
        </a:xfrm>
        <a:prstGeom prst="rect">
          <a:avLst/>
        </a:prstGeom>
        <a:solidFill>
          <a:srgbClr val="141B4D"/>
        </a:solidFill>
        <a:ln w="12700" cap="flat" cmpd="sng" algn="ctr">
          <a:solidFill>
            <a:sysClr val="window" lastClr="FFFFFF">
              <a:hueOff val="0"/>
              <a:satOff val="0"/>
              <a:lumOff val="0"/>
              <a:alphaOff val="0"/>
            </a:sysClr>
          </a:solidFill>
          <a:prstDash val="solid"/>
          <a:miter lim="800000"/>
        </a:ln>
        <a:effectLst/>
      </dgm:spPr>
      <dgm:t>
        <a:bodyPr/>
        <a:lstStyle/>
        <a:p>
          <a:pPr algn="l">
            <a:buFont typeface="+mj-lt"/>
            <a:buNone/>
          </a:pPr>
          <a:r>
            <a:rPr lang="en-GB" b="0" i="0">
              <a:solidFill>
                <a:sysClr val="window" lastClr="FFFFFF"/>
              </a:solidFill>
              <a:latin typeface="Calibri" panose="020F0502020204030204"/>
              <a:ea typeface="+mn-ea"/>
              <a:cs typeface="+mn-cs"/>
            </a:rPr>
            <a:t>The mean (average) gender pay gap using bonus pay</a:t>
          </a:r>
        </a:p>
      </dgm:t>
    </dgm:pt>
    <dgm:pt modelId="{AFB064D1-07F7-4015-9D92-289FCBC8D090}" type="parTrans" cxnId="{3F44026F-C458-44F7-A0B8-A1D6032E8BB0}">
      <dgm:prSet/>
      <dgm:spPr/>
      <dgm:t>
        <a:bodyPr/>
        <a:lstStyle/>
        <a:p>
          <a:endParaRPr lang="en-GB"/>
        </a:p>
      </dgm:t>
    </dgm:pt>
    <dgm:pt modelId="{E567CE3F-9655-484B-8974-02563A54B2F2}" type="sibTrans" cxnId="{3F44026F-C458-44F7-A0B8-A1D6032E8BB0}">
      <dgm:prSet/>
      <dgm:spPr/>
      <dgm:t>
        <a:bodyPr/>
        <a:lstStyle/>
        <a:p>
          <a:endParaRPr lang="en-GB"/>
        </a:p>
      </dgm:t>
    </dgm:pt>
    <dgm:pt modelId="{723E7004-DA89-4B4D-B4B7-CBAAC53ACFF9}">
      <dgm:prSet/>
      <dgm:spPr>
        <a:xfrm>
          <a:off x="0" y="485774"/>
          <a:ext cx="1714499" cy="1028700"/>
        </a:xfrm>
        <a:prstGeom prst="rect">
          <a:avLst/>
        </a:prstGeom>
        <a:solidFill>
          <a:srgbClr val="141B4D"/>
        </a:solidFill>
        <a:ln w="12700" cap="flat" cmpd="sng" algn="ctr">
          <a:solidFill>
            <a:sysClr val="window" lastClr="FFFFFF">
              <a:hueOff val="0"/>
              <a:satOff val="0"/>
              <a:lumOff val="0"/>
              <a:alphaOff val="0"/>
            </a:sysClr>
          </a:solidFill>
          <a:prstDash val="solid"/>
          <a:miter lim="800000"/>
        </a:ln>
        <a:effectLst/>
      </dgm:spPr>
      <dgm:t>
        <a:bodyPr/>
        <a:lstStyle/>
        <a:p>
          <a:pPr algn="l">
            <a:buFont typeface="+mj-lt"/>
            <a:buNone/>
          </a:pPr>
          <a:r>
            <a:rPr lang="en-GB" b="0" i="0">
              <a:solidFill>
                <a:sysClr val="window" lastClr="FFFFFF"/>
              </a:solidFill>
              <a:latin typeface="Calibri" panose="020F0502020204030204"/>
              <a:ea typeface="+mn-ea"/>
              <a:cs typeface="+mn-cs"/>
            </a:rPr>
            <a:t>The median gender pay gap using bonus pay</a:t>
          </a:r>
        </a:p>
      </dgm:t>
    </dgm:pt>
    <dgm:pt modelId="{3FEB4EAF-73D5-4BA6-827B-FBD9621DE541}" type="parTrans" cxnId="{3BC339BD-423E-4EA8-A677-2989972F1439}">
      <dgm:prSet/>
      <dgm:spPr/>
      <dgm:t>
        <a:bodyPr/>
        <a:lstStyle/>
        <a:p>
          <a:endParaRPr lang="en-GB"/>
        </a:p>
      </dgm:t>
    </dgm:pt>
    <dgm:pt modelId="{DABCD643-2E91-4B3C-97A4-0A608E87E322}" type="sibTrans" cxnId="{3BC339BD-423E-4EA8-A677-2989972F1439}">
      <dgm:prSet/>
      <dgm:spPr/>
      <dgm:t>
        <a:bodyPr/>
        <a:lstStyle/>
        <a:p>
          <a:endParaRPr lang="en-GB"/>
        </a:p>
      </dgm:t>
    </dgm:pt>
    <dgm:pt modelId="{B8D72561-41DD-45A2-852B-A4A426C9BED6}" type="pres">
      <dgm:prSet presAssocID="{1841220F-7BC6-4730-A5E4-5A19B81300E4}" presName="diagram" presStyleCnt="0">
        <dgm:presLayoutVars>
          <dgm:dir/>
          <dgm:resizeHandles val="exact"/>
        </dgm:presLayoutVars>
      </dgm:prSet>
      <dgm:spPr/>
      <dgm:t>
        <a:bodyPr/>
        <a:lstStyle/>
        <a:p>
          <a:endParaRPr lang="en-US"/>
        </a:p>
      </dgm:t>
    </dgm:pt>
    <dgm:pt modelId="{CE402A3E-55AC-4CD9-908D-DF712FEECBC5}" type="pres">
      <dgm:prSet presAssocID="{723E7004-DA89-4B4D-B4B7-CBAAC53ACFF9}" presName="node" presStyleLbl="node1" presStyleIdx="0" presStyleCnt="6">
        <dgm:presLayoutVars>
          <dgm:bulletEnabled val="1"/>
        </dgm:presLayoutVars>
      </dgm:prSet>
      <dgm:spPr/>
      <dgm:t>
        <a:bodyPr/>
        <a:lstStyle/>
        <a:p>
          <a:endParaRPr lang="en-US"/>
        </a:p>
      </dgm:t>
    </dgm:pt>
    <dgm:pt modelId="{6C18FAF5-FA05-469C-8006-EC104AA5B6F3}" type="pres">
      <dgm:prSet presAssocID="{DABCD643-2E91-4B3C-97A4-0A608E87E322}" presName="sibTrans" presStyleCnt="0"/>
      <dgm:spPr/>
    </dgm:pt>
    <dgm:pt modelId="{8BA47037-5138-434E-8D00-52F204A96D10}" type="pres">
      <dgm:prSet presAssocID="{58D84D59-BBF5-417D-9A90-D81C126AFD9D}" presName="node" presStyleLbl="node1" presStyleIdx="1" presStyleCnt="6">
        <dgm:presLayoutVars>
          <dgm:bulletEnabled val="1"/>
        </dgm:presLayoutVars>
      </dgm:prSet>
      <dgm:spPr/>
      <dgm:t>
        <a:bodyPr/>
        <a:lstStyle/>
        <a:p>
          <a:endParaRPr lang="en-US"/>
        </a:p>
      </dgm:t>
    </dgm:pt>
    <dgm:pt modelId="{235E3FE7-4278-4113-A037-52890F188086}" type="pres">
      <dgm:prSet presAssocID="{10673C7D-220C-4F40-BCBA-693B7E937718}" presName="sibTrans" presStyleCnt="0"/>
      <dgm:spPr/>
    </dgm:pt>
    <dgm:pt modelId="{EF4512E2-6164-4A74-8B13-4C8D2E54EA42}" type="pres">
      <dgm:prSet presAssocID="{DFFD8FA2-FFA7-43AF-9E6D-F11E896DD653}" presName="node" presStyleLbl="node1" presStyleIdx="2" presStyleCnt="6">
        <dgm:presLayoutVars>
          <dgm:bulletEnabled val="1"/>
        </dgm:presLayoutVars>
      </dgm:prSet>
      <dgm:spPr/>
      <dgm:t>
        <a:bodyPr/>
        <a:lstStyle/>
        <a:p>
          <a:endParaRPr lang="en-US"/>
        </a:p>
      </dgm:t>
    </dgm:pt>
    <dgm:pt modelId="{05C06593-E470-484A-A542-ED245D50210E}" type="pres">
      <dgm:prSet presAssocID="{412AC4B2-0850-4CDB-AC24-9BD9885BC860}" presName="sibTrans" presStyleCnt="0"/>
      <dgm:spPr/>
    </dgm:pt>
    <dgm:pt modelId="{C438814C-5975-4515-9B56-66845E29AC88}" type="pres">
      <dgm:prSet presAssocID="{42720373-FA5C-4110-A4F8-736CCD04EF95}" presName="node" presStyleLbl="node1" presStyleIdx="3" presStyleCnt="6">
        <dgm:presLayoutVars>
          <dgm:bulletEnabled val="1"/>
        </dgm:presLayoutVars>
      </dgm:prSet>
      <dgm:spPr/>
      <dgm:t>
        <a:bodyPr/>
        <a:lstStyle/>
        <a:p>
          <a:endParaRPr lang="en-US"/>
        </a:p>
      </dgm:t>
    </dgm:pt>
    <dgm:pt modelId="{57A5E2DA-FA0C-4C0A-A953-E6F5EC2FDBBA}" type="pres">
      <dgm:prSet presAssocID="{5FAA3178-A479-4468-8668-9372CA04E459}" presName="sibTrans" presStyleCnt="0"/>
      <dgm:spPr/>
    </dgm:pt>
    <dgm:pt modelId="{96D88870-B4D2-4D06-8544-EDA0CCDADC6F}" type="pres">
      <dgm:prSet presAssocID="{0CF470CD-6B39-457B-AA39-06E9AD974E50}" presName="node" presStyleLbl="node1" presStyleIdx="4" presStyleCnt="6">
        <dgm:presLayoutVars>
          <dgm:bulletEnabled val="1"/>
        </dgm:presLayoutVars>
      </dgm:prSet>
      <dgm:spPr/>
      <dgm:t>
        <a:bodyPr/>
        <a:lstStyle/>
        <a:p>
          <a:endParaRPr lang="en-US"/>
        </a:p>
      </dgm:t>
    </dgm:pt>
    <dgm:pt modelId="{0DF0E675-6744-428B-8886-4C4603A033C5}" type="pres">
      <dgm:prSet presAssocID="{E567CE3F-9655-484B-8974-02563A54B2F2}" presName="sibTrans" presStyleCnt="0"/>
      <dgm:spPr/>
    </dgm:pt>
    <dgm:pt modelId="{C0B13B75-E039-4CE5-A6C6-204F0010CC3A}" type="pres">
      <dgm:prSet presAssocID="{F369D71C-5BAD-4F60-B765-481C9A873964}" presName="node" presStyleLbl="node1" presStyleIdx="5" presStyleCnt="6">
        <dgm:presLayoutVars>
          <dgm:bulletEnabled val="1"/>
        </dgm:presLayoutVars>
      </dgm:prSet>
      <dgm:spPr/>
      <dgm:t>
        <a:bodyPr/>
        <a:lstStyle/>
        <a:p>
          <a:endParaRPr lang="en-US"/>
        </a:p>
      </dgm:t>
    </dgm:pt>
  </dgm:ptLst>
  <dgm:cxnLst>
    <dgm:cxn modelId="{3F44026F-C458-44F7-A0B8-A1D6032E8BB0}" srcId="{1841220F-7BC6-4730-A5E4-5A19B81300E4}" destId="{0CF470CD-6B39-457B-AA39-06E9AD974E50}" srcOrd="4" destOrd="0" parTransId="{AFB064D1-07F7-4015-9D92-289FCBC8D090}" sibTransId="{E567CE3F-9655-484B-8974-02563A54B2F2}"/>
    <dgm:cxn modelId="{DDC33177-179C-4714-9328-E23B27A249D1}" type="presOf" srcId="{F369D71C-5BAD-4F60-B765-481C9A873964}" destId="{C0B13B75-E039-4CE5-A6C6-204F0010CC3A}" srcOrd="0" destOrd="0" presId="urn:microsoft.com/office/officeart/2005/8/layout/default"/>
    <dgm:cxn modelId="{047BC919-EF76-4F33-AE93-D916B0644CC9}" type="presOf" srcId="{DFFD8FA2-FFA7-43AF-9E6D-F11E896DD653}" destId="{EF4512E2-6164-4A74-8B13-4C8D2E54EA42}" srcOrd="0" destOrd="0" presId="urn:microsoft.com/office/officeart/2005/8/layout/default"/>
    <dgm:cxn modelId="{090CFD26-0B85-499D-919D-A49895485FD3}" srcId="{1841220F-7BC6-4730-A5E4-5A19B81300E4}" destId="{58D84D59-BBF5-417D-9A90-D81C126AFD9D}" srcOrd="1" destOrd="0" parTransId="{FCDA569E-F7CA-4A29-BF60-905AFCADAA9D}" sibTransId="{10673C7D-220C-4F40-BCBA-693B7E937718}"/>
    <dgm:cxn modelId="{B12F236B-075E-4361-A9E0-CCDDA9B841D1}" type="presOf" srcId="{42720373-FA5C-4110-A4F8-736CCD04EF95}" destId="{C438814C-5975-4515-9B56-66845E29AC88}" srcOrd="0" destOrd="0" presId="urn:microsoft.com/office/officeart/2005/8/layout/default"/>
    <dgm:cxn modelId="{3BC339BD-423E-4EA8-A677-2989972F1439}" srcId="{1841220F-7BC6-4730-A5E4-5A19B81300E4}" destId="{723E7004-DA89-4B4D-B4B7-CBAAC53ACFF9}" srcOrd="0" destOrd="0" parTransId="{3FEB4EAF-73D5-4BA6-827B-FBD9621DE541}" sibTransId="{DABCD643-2E91-4B3C-97A4-0A608E87E322}"/>
    <dgm:cxn modelId="{284DD53A-8D7A-492C-AB70-CE1935753F74}" srcId="{1841220F-7BC6-4730-A5E4-5A19B81300E4}" destId="{F369D71C-5BAD-4F60-B765-481C9A873964}" srcOrd="5" destOrd="0" parTransId="{B95DEDE7-7925-49AB-AE0A-EA4A9D9405F4}" sibTransId="{A0E640AF-44B4-402B-800F-0A29DA912C93}"/>
    <dgm:cxn modelId="{91443D79-B6EB-4346-9836-D5F57CEAA0F3}" srcId="{1841220F-7BC6-4730-A5E4-5A19B81300E4}" destId="{42720373-FA5C-4110-A4F8-736CCD04EF95}" srcOrd="3" destOrd="0" parTransId="{8571F939-352C-48C4-B980-8C4FEEE4DA42}" sibTransId="{5FAA3178-A479-4468-8668-9372CA04E459}"/>
    <dgm:cxn modelId="{9D3A1B9C-3A54-4AC0-90B9-D0BF96B3D8F0}" type="presOf" srcId="{723E7004-DA89-4B4D-B4B7-CBAAC53ACFF9}" destId="{CE402A3E-55AC-4CD9-908D-DF712FEECBC5}" srcOrd="0" destOrd="0" presId="urn:microsoft.com/office/officeart/2005/8/layout/default"/>
    <dgm:cxn modelId="{E01F739E-AD15-46A1-85E7-D01658A84772}" type="presOf" srcId="{0CF470CD-6B39-457B-AA39-06E9AD974E50}" destId="{96D88870-B4D2-4D06-8544-EDA0CCDADC6F}" srcOrd="0" destOrd="0" presId="urn:microsoft.com/office/officeart/2005/8/layout/default"/>
    <dgm:cxn modelId="{EBAE8B67-D079-459E-8463-190BDE04007D}" type="presOf" srcId="{1841220F-7BC6-4730-A5E4-5A19B81300E4}" destId="{B8D72561-41DD-45A2-852B-A4A426C9BED6}" srcOrd="0" destOrd="0" presId="urn:microsoft.com/office/officeart/2005/8/layout/default"/>
    <dgm:cxn modelId="{4694404C-32AA-44CB-AF15-9197ADEF523E}" type="presOf" srcId="{58D84D59-BBF5-417D-9A90-D81C126AFD9D}" destId="{8BA47037-5138-434E-8D00-52F204A96D10}" srcOrd="0" destOrd="0" presId="urn:microsoft.com/office/officeart/2005/8/layout/default"/>
    <dgm:cxn modelId="{253ABA60-9310-4FBE-B67A-0449716BADB0}" srcId="{1841220F-7BC6-4730-A5E4-5A19B81300E4}" destId="{DFFD8FA2-FFA7-43AF-9E6D-F11E896DD653}" srcOrd="2" destOrd="0" parTransId="{17D6942F-E6F0-449B-94C7-62859DBF96F8}" sibTransId="{412AC4B2-0850-4CDB-AC24-9BD9885BC860}"/>
    <dgm:cxn modelId="{4A38CB3B-43AA-4D5F-B5CD-ABB4A2DEE087}" type="presParOf" srcId="{B8D72561-41DD-45A2-852B-A4A426C9BED6}" destId="{CE402A3E-55AC-4CD9-908D-DF712FEECBC5}" srcOrd="0" destOrd="0" presId="urn:microsoft.com/office/officeart/2005/8/layout/default"/>
    <dgm:cxn modelId="{E0FEC55C-5872-4182-9AC2-336B49ADC597}" type="presParOf" srcId="{B8D72561-41DD-45A2-852B-A4A426C9BED6}" destId="{6C18FAF5-FA05-469C-8006-EC104AA5B6F3}" srcOrd="1" destOrd="0" presId="urn:microsoft.com/office/officeart/2005/8/layout/default"/>
    <dgm:cxn modelId="{3B708921-76DD-4221-8DE1-F97CD6028FF3}" type="presParOf" srcId="{B8D72561-41DD-45A2-852B-A4A426C9BED6}" destId="{8BA47037-5138-434E-8D00-52F204A96D10}" srcOrd="2" destOrd="0" presId="urn:microsoft.com/office/officeart/2005/8/layout/default"/>
    <dgm:cxn modelId="{7D37816C-9721-4513-B6D6-979DA868023C}" type="presParOf" srcId="{B8D72561-41DD-45A2-852B-A4A426C9BED6}" destId="{235E3FE7-4278-4113-A037-52890F188086}" srcOrd="3" destOrd="0" presId="urn:microsoft.com/office/officeart/2005/8/layout/default"/>
    <dgm:cxn modelId="{B315818B-A9C7-4643-A774-D28C43B65C03}" type="presParOf" srcId="{B8D72561-41DD-45A2-852B-A4A426C9BED6}" destId="{EF4512E2-6164-4A74-8B13-4C8D2E54EA42}" srcOrd="4" destOrd="0" presId="urn:microsoft.com/office/officeart/2005/8/layout/default"/>
    <dgm:cxn modelId="{A155B238-CAC8-4B70-90DF-8DCA7A210D81}" type="presParOf" srcId="{B8D72561-41DD-45A2-852B-A4A426C9BED6}" destId="{05C06593-E470-484A-A542-ED245D50210E}" srcOrd="5" destOrd="0" presId="urn:microsoft.com/office/officeart/2005/8/layout/default"/>
    <dgm:cxn modelId="{D12769A5-2DA1-46E2-9660-8523B4F1A5F8}" type="presParOf" srcId="{B8D72561-41DD-45A2-852B-A4A426C9BED6}" destId="{C438814C-5975-4515-9B56-66845E29AC88}" srcOrd="6" destOrd="0" presId="urn:microsoft.com/office/officeart/2005/8/layout/default"/>
    <dgm:cxn modelId="{F63AEDF0-07B3-45A3-8483-5AF933A38ED2}" type="presParOf" srcId="{B8D72561-41DD-45A2-852B-A4A426C9BED6}" destId="{57A5E2DA-FA0C-4C0A-A953-E6F5EC2FDBBA}" srcOrd="7" destOrd="0" presId="urn:microsoft.com/office/officeart/2005/8/layout/default"/>
    <dgm:cxn modelId="{11592927-B0A1-4A53-99F9-F7C434AC7D80}" type="presParOf" srcId="{B8D72561-41DD-45A2-852B-A4A426C9BED6}" destId="{96D88870-B4D2-4D06-8544-EDA0CCDADC6F}" srcOrd="8" destOrd="0" presId="urn:microsoft.com/office/officeart/2005/8/layout/default"/>
    <dgm:cxn modelId="{45F39739-9D41-4C9B-8632-9D70B5397894}" type="presParOf" srcId="{B8D72561-41DD-45A2-852B-A4A426C9BED6}" destId="{0DF0E675-6744-428B-8886-4C4603A033C5}" srcOrd="9" destOrd="0" presId="urn:microsoft.com/office/officeart/2005/8/layout/default"/>
    <dgm:cxn modelId="{47F5F279-9315-4E35-B177-2A72D263706B}" type="presParOf" srcId="{B8D72561-41DD-45A2-852B-A4A426C9BED6}" destId="{C0B13B75-E039-4CE5-A6C6-204F0010CC3A}" srcOrd="10"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402A3E-55AC-4CD9-908D-DF712FEECBC5}">
      <dsp:nvSpPr>
        <dsp:cNvPr id="0" name=""/>
        <dsp:cNvSpPr/>
      </dsp:nvSpPr>
      <dsp:spPr>
        <a:xfrm>
          <a:off x="0" y="485774"/>
          <a:ext cx="1714499" cy="1028700"/>
        </a:xfrm>
        <a:prstGeom prst="rect">
          <a:avLst/>
        </a:prstGeom>
        <a:solidFill>
          <a:srgbClr val="141B4D"/>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buFont typeface="+mj-lt"/>
            <a:buNone/>
          </a:pPr>
          <a:r>
            <a:rPr lang="en-GB" sz="1600" b="0" i="0" kern="1200">
              <a:solidFill>
                <a:sysClr val="window" lastClr="FFFFFF"/>
              </a:solidFill>
              <a:latin typeface="Calibri" panose="020F0502020204030204"/>
              <a:ea typeface="+mn-ea"/>
              <a:cs typeface="+mn-cs"/>
            </a:rPr>
            <a:t>The median gender pay gap using bonus pay</a:t>
          </a:r>
        </a:p>
      </dsp:txBody>
      <dsp:txXfrm>
        <a:off x="0" y="485774"/>
        <a:ext cx="1714499" cy="1028700"/>
      </dsp:txXfrm>
    </dsp:sp>
    <dsp:sp modelId="{8BA47037-5138-434E-8D00-52F204A96D10}">
      <dsp:nvSpPr>
        <dsp:cNvPr id="0" name=""/>
        <dsp:cNvSpPr/>
      </dsp:nvSpPr>
      <dsp:spPr>
        <a:xfrm>
          <a:off x="1885950" y="485774"/>
          <a:ext cx="1714499" cy="1028700"/>
        </a:xfrm>
        <a:prstGeom prst="rect">
          <a:avLst/>
        </a:prstGeom>
        <a:solidFill>
          <a:srgbClr val="141B4D"/>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buFont typeface="+mj-lt"/>
            <a:buNone/>
          </a:pPr>
          <a:r>
            <a:rPr lang="en-GB" sz="1600" b="0" i="0" kern="1200">
              <a:solidFill>
                <a:sysClr val="window" lastClr="FFFFFF"/>
              </a:solidFill>
              <a:latin typeface="Calibri" panose="020F0502020204030204"/>
              <a:ea typeface="+mn-ea"/>
              <a:cs typeface="+mn-cs"/>
            </a:rPr>
            <a:t>The percentage of men and women in each hourly pay quarter</a:t>
          </a:r>
        </a:p>
      </dsp:txBody>
      <dsp:txXfrm>
        <a:off x="1885950" y="485774"/>
        <a:ext cx="1714499" cy="1028700"/>
      </dsp:txXfrm>
    </dsp:sp>
    <dsp:sp modelId="{EF4512E2-6164-4A74-8B13-4C8D2E54EA42}">
      <dsp:nvSpPr>
        <dsp:cNvPr id="0" name=""/>
        <dsp:cNvSpPr/>
      </dsp:nvSpPr>
      <dsp:spPr>
        <a:xfrm>
          <a:off x="3771900" y="485774"/>
          <a:ext cx="1714499" cy="1028700"/>
        </a:xfrm>
        <a:prstGeom prst="rect">
          <a:avLst/>
        </a:prstGeom>
        <a:solidFill>
          <a:srgbClr val="141B4D"/>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buFont typeface="+mj-lt"/>
            <a:buNone/>
          </a:pPr>
          <a:r>
            <a:rPr lang="en-GB" sz="1600" b="0" i="0" kern="1200">
              <a:solidFill>
                <a:sysClr val="window" lastClr="FFFFFF"/>
              </a:solidFill>
              <a:latin typeface="Calibri" panose="020F0502020204030204"/>
              <a:ea typeface="+mn-ea"/>
              <a:cs typeface="+mn-cs"/>
            </a:rPr>
            <a:t>The percentage of men and women receiving bonus pay</a:t>
          </a:r>
        </a:p>
      </dsp:txBody>
      <dsp:txXfrm>
        <a:off x="3771900" y="485774"/>
        <a:ext cx="1714499" cy="1028700"/>
      </dsp:txXfrm>
    </dsp:sp>
    <dsp:sp modelId="{C438814C-5975-4515-9B56-66845E29AC88}">
      <dsp:nvSpPr>
        <dsp:cNvPr id="0" name=""/>
        <dsp:cNvSpPr/>
      </dsp:nvSpPr>
      <dsp:spPr>
        <a:xfrm>
          <a:off x="0" y="1685925"/>
          <a:ext cx="1714499" cy="1028700"/>
        </a:xfrm>
        <a:prstGeom prst="rect">
          <a:avLst/>
        </a:prstGeom>
        <a:solidFill>
          <a:srgbClr val="141B4D"/>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buNone/>
          </a:pPr>
          <a:r>
            <a:rPr lang="en-GB" sz="1600" b="0" i="0" kern="1200">
              <a:solidFill>
                <a:sysClr val="window" lastClr="FFFFFF"/>
              </a:solidFill>
              <a:latin typeface="Calibri" panose="020F0502020204030204"/>
              <a:ea typeface="+mn-ea"/>
              <a:cs typeface="+mn-cs"/>
            </a:rPr>
            <a:t>The mean (average) gender pay gap using hourly pay</a:t>
          </a:r>
          <a:endParaRPr lang="en-GB" sz="1600" kern="1200">
            <a:solidFill>
              <a:sysClr val="window" lastClr="FFFFFF"/>
            </a:solidFill>
            <a:latin typeface="Calibri" panose="020F0502020204030204"/>
            <a:ea typeface="+mn-ea"/>
            <a:cs typeface="+mn-cs"/>
          </a:endParaRPr>
        </a:p>
      </dsp:txBody>
      <dsp:txXfrm>
        <a:off x="0" y="1685925"/>
        <a:ext cx="1714499" cy="1028700"/>
      </dsp:txXfrm>
    </dsp:sp>
    <dsp:sp modelId="{96D88870-B4D2-4D06-8544-EDA0CCDADC6F}">
      <dsp:nvSpPr>
        <dsp:cNvPr id="0" name=""/>
        <dsp:cNvSpPr/>
      </dsp:nvSpPr>
      <dsp:spPr>
        <a:xfrm>
          <a:off x="1885950" y="1685925"/>
          <a:ext cx="1714499" cy="1028700"/>
        </a:xfrm>
        <a:prstGeom prst="rect">
          <a:avLst/>
        </a:prstGeom>
        <a:solidFill>
          <a:srgbClr val="141B4D"/>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buFont typeface="+mj-lt"/>
            <a:buNone/>
          </a:pPr>
          <a:r>
            <a:rPr lang="en-GB" sz="1600" b="0" i="0" kern="1200">
              <a:solidFill>
                <a:sysClr val="window" lastClr="FFFFFF"/>
              </a:solidFill>
              <a:latin typeface="Calibri" panose="020F0502020204030204"/>
              <a:ea typeface="+mn-ea"/>
              <a:cs typeface="+mn-cs"/>
            </a:rPr>
            <a:t>The mean (average) gender pay gap using bonus pay</a:t>
          </a:r>
        </a:p>
      </dsp:txBody>
      <dsp:txXfrm>
        <a:off x="1885950" y="1685925"/>
        <a:ext cx="1714499" cy="1028700"/>
      </dsp:txXfrm>
    </dsp:sp>
    <dsp:sp modelId="{C0B13B75-E039-4CE5-A6C6-204F0010CC3A}">
      <dsp:nvSpPr>
        <dsp:cNvPr id="0" name=""/>
        <dsp:cNvSpPr/>
      </dsp:nvSpPr>
      <dsp:spPr>
        <a:xfrm>
          <a:off x="3771900" y="1685925"/>
          <a:ext cx="1714499" cy="1028700"/>
        </a:xfrm>
        <a:prstGeom prst="rect">
          <a:avLst/>
        </a:prstGeom>
        <a:solidFill>
          <a:srgbClr val="141B4D"/>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buFont typeface="+mj-lt"/>
            <a:buNone/>
          </a:pPr>
          <a:r>
            <a:rPr lang="en-GB" sz="1600" b="0" i="0" kern="1200">
              <a:solidFill>
                <a:sysClr val="window" lastClr="FFFFFF"/>
              </a:solidFill>
              <a:latin typeface="Calibri" panose="020F0502020204030204"/>
              <a:ea typeface="+mn-ea"/>
              <a:cs typeface="+mn-cs"/>
            </a:rPr>
            <a:t>The median gender pay gap using hourly pay</a:t>
          </a:r>
        </a:p>
      </dsp:txBody>
      <dsp:txXfrm>
        <a:off x="3771900" y="1685925"/>
        <a:ext cx="1714499" cy="102870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Debbie (Chief Executive Office)</dc:creator>
  <cp:keywords/>
  <dc:description/>
  <cp:lastModifiedBy>Shaw, Lynne (She/Her/Hers) (Workforce &amp; Organisational Development)</cp:lastModifiedBy>
  <cp:revision>3</cp:revision>
  <dcterms:created xsi:type="dcterms:W3CDTF">2023-02-21T12:18:00Z</dcterms:created>
  <dcterms:modified xsi:type="dcterms:W3CDTF">2023-02-21T12:46:00Z</dcterms:modified>
</cp:coreProperties>
</file>