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1667" w:type="dxa"/>
        <w:tblInd w:w="0" w:type="dxa"/>
        <w:tblLook w:val="04A0" w:firstRow="1" w:lastRow="0" w:firstColumn="1" w:lastColumn="0" w:noHBand="0" w:noVBand="1"/>
      </w:tblPr>
      <w:tblGrid>
        <w:gridCol w:w="1912"/>
        <w:gridCol w:w="1324"/>
        <w:gridCol w:w="4839"/>
        <w:gridCol w:w="4536"/>
        <w:gridCol w:w="1276"/>
        <w:gridCol w:w="1701"/>
        <w:gridCol w:w="6079"/>
      </w:tblGrid>
      <w:tr w:rsidR="00C2349B" w:rsidRPr="00F56E69" w:rsidTr="00A43133">
        <w:trPr>
          <w:tblHeader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Objective</w:t>
            </w:r>
          </w:p>
          <w:p w:rsidR="00C2349B" w:rsidRPr="00F56E69" w:rsidRDefault="00C2349B" w:rsidP="00C2349B">
            <w:pPr>
              <w:spacing w:after="120"/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(Service Related)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Date Arisen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Milestones</w:t>
            </w: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Action By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Progress Report</w:t>
            </w:r>
          </w:p>
        </w:tc>
      </w:tr>
      <w:tr w:rsidR="00C2349B" w:rsidRPr="00F56E69" w:rsidTr="00A43133">
        <w:trPr>
          <w:trHeight w:val="637"/>
          <w:tblHeader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 xml:space="preserve">Improved Patient Access and Experience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9B" w:rsidRPr="00F56E69" w:rsidRDefault="00C2349B" w:rsidP="00C2349B">
            <w:pPr>
              <w:pStyle w:val="ListParagraph"/>
              <w:ind w:left="175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We will work to improve the accessibility of information that we provide to our service user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A43133" w:rsidRDefault="00C2349B" w:rsidP="00C2349B">
            <w:pPr>
              <w:pStyle w:val="ListParagraph"/>
              <w:rPr>
                <w:sz w:val="22"/>
                <w:szCs w:val="22"/>
              </w:rPr>
            </w:pPr>
          </w:p>
          <w:p w:rsidR="00C2349B" w:rsidRPr="00A43133" w:rsidRDefault="00C2349B" w:rsidP="00C2349B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2"/>
                <w:szCs w:val="22"/>
              </w:rPr>
            </w:pPr>
            <w:r w:rsidRPr="00A43133">
              <w:rPr>
                <w:sz w:val="22"/>
                <w:szCs w:val="22"/>
              </w:rPr>
              <w:t>Implement and evaluate the success of a pilot study using Synertec software</w:t>
            </w:r>
          </w:p>
          <w:p w:rsidR="00C2349B" w:rsidRPr="00A43133" w:rsidRDefault="00C2349B" w:rsidP="00C2349B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A43133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A43133" w:rsidRDefault="00C2349B" w:rsidP="00C2349B">
            <w:pPr>
              <w:rPr>
                <w:sz w:val="22"/>
                <w:szCs w:val="22"/>
              </w:rPr>
            </w:pPr>
          </w:p>
          <w:p w:rsidR="00C2349B" w:rsidRPr="00A43133" w:rsidRDefault="00C2349B" w:rsidP="00C2349B">
            <w:pPr>
              <w:spacing w:after="120"/>
              <w:rPr>
                <w:sz w:val="22"/>
                <w:szCs w:val="22"/>
              </w:rPr>
            </w:pPr>
            <w:r w:rsidRPr="00A43133">
              <w:rPr>
                <w:sz w:val="22"/>
                <w:szCs w:val="22"/>
              </w:rPr>
              <w:t>Complete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A43133" w:rsidRDefault="00C2349B" w:rsidP="00C2349B">
            <w:pPr>
              <w:rPr>
                <w:sz w:val="22"/>
                <w:szCs w:val="22"/>
              </w:rPr>
            </w:pPr>
          </w:p>
          <w:p w:rsidR="00F24A1B" w:rsidRDefault="00AB5DA3" w:rsidP="00A431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 w:rsidRPr="00A43133">
              <w:rPr>
                <w:sz w:val="22"/>
                <w:szCs w:val="22"/>
              </w:rPr>
              <w:t xml:space="preserve"> - </w:t>
            </w:r>
            <w:r w:rsidR="00C2349B" w:rsidRPr="00A43133">
              <w:rPr>
                <w:sz w:val="22"/>
                <w:szCs w:val="22"/>
              </w:rPr>
              <w:t>Meeting took place in December 2018, agreement to focus on a local solution rather than the Synertec approach</w:t>
            </w:r>
          </w:p>
          <w:p w:rsidR="00A43133" w:rsidRPr="00A43133" w:rsidRDefault="00A43133" w:rsidP="00A43133">
            <w:pPr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637"/>
          <w:tblHeader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/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ind w:left="0"/>
            </w:pPr>
          </w:p>
        </w:tc>
        <w:tc>
          <w:tcPr>
            <w:tcW w:w="4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ind w:left="17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C57FDF" w:rsidRDefault="00C2349B" w:rsidP="00C2349B">
            <w:pPr>
              <w:pStyle w:val="ListParagraph"/>
              <w:rPr>
                <w:sz w:val="22"/>
                <w:szCs w:val="22"/>
              </w:rPr>
            </w:pPr>
          </w:p>
          <w:p w:rsidR="00C2349B" w:rsidRPr="00C57FDF" w:rsidRDefault="00C2349B" w:rsidP="00A43133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57FDF">
              <w:rPr>
                <w:sz w:val="22"/>
                <w:szCs w:val="22"/>
              </w:rPr>
              <w:t>Research into software package ‘Re</w:t>
            </w:r>
            <w:r w:rsidR="00F14580">
              <w:rPr>
                <w:sz w:val="22"/>
                <w:szCs w:val="22"/>
              </w:rPr>
              <w:t xml:space="preserve">cite </w:t>
            </w:r>
            <w:r w:rsidRPr="00C57FDF">
              <w:rPr>
                <w:sz w:val="22"/>
                <w:szCs w:val="22"/>
              </w:rPr>
              <w:t>Me’ which turns text into speech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0" w:rsidRPr="00F56E69" w:rsidRDefault="00F14580" w:rsidP="00C2349B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14580" w:rsidRDefault="00C2349B" w:rsidP="00C2349B">
            <w:pPr>
              <w:rPr>
                <w:sz w:val="22"/>
                <w:szCs w:val="22"/>
              </w:rPr>
            </w:pPr>
          </w:p>
          <w:p w:rsidR="00C2349B" w:rsidRPr="00F14580" w:rsidRDefault="00AB5DA3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>
              <w:rPr>
                <w:sz w:val="22"/>
                <w:szCs w:val="22"/>
              </w:rPr>
              <w:t xml:space="preserve"> - </w:t>
            </w:r>
            <w:r w:rsidR="00F24A1B" w:rsidRPr="00F14580">
              <w:rPr>
                <w:sz w:val="22"/>
                <w:szCs w:val="22"/>
              </w:rPr>
              <w:t>Meetin</w:t>
            </w:r>
            <w:r w:rsidR="00A43133">
              <w:rPr>
                <w:sz w:val="22"/>
                <w:szCs w:val="22"/>
              </w:rPr>
              <w:t>g arranged for 18.06.2019</w:t>
            </w:r>
          </w:p>
          <w:p w:rsidR="00F14580" w:rsidRDefault="00AB5DA3" w:rsidP="00A431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A43133">
              <w:rPr>
                <w:sz w:val="22"/>
                <w:szCs w:val="22"/>
              </w:rPr>
              <w:t xml:space="preserve"> - KO</w:t>
            </w:r>
            <w:r w:rsidR="00F14580" w:rsidRPr="00F14580">
              <w:rPr>
                <w:sz w:val="22"/>
                <w:szCs w:val="22"/>
              </w:rPr>
              <w:t xml:space="preserve"> </w:t>
            </w:r>
            <w:r w:rsidR="00A43133">
              <w:rPr>
                <w:sz w:val="22"/>
                <w:szCs w:val="22"/>
              </w:rPr>
              <w:t>advised the Trust have signed up to this service and are</w:t>
            </w:r>
            <w:r w:rsidR="00F14580" w:rsidRPr="00F14580">
              <w:rPr>
                <w:sz w:val="22"/>
                <w:szCs w:val="22"/>
              </w:rPr>
              <w:t xml:space="preserve"> now waiting for developers to find best place on website to put</w:t>
            </w:r>
            <w:r w:rsidR="00A43133">
              <w:rPr>
                <w:sz w:val="22"/>
                <w:szCs w:val="22"/>
              </w:rPr>
              <w:t xml:space="preserve"> the</w:t>
            </w:r>
            <w:r w:rsidR="00F14580" w:rsidRPr="00F14580">
              <w:rPr>
                <w:sz w:val="22"/>
                <w:szCs w:val="22"/>
              </w:rPr>
              <w:t xml:space="preserve"> icon</w:t>
            </w:r>
            <w:r w:rsidR="00A43133">
              <w:rPr>
                <w:sz w:val="22"/>
                <w:szCs w:val="22"/>
              </w:rPr>
              <w:t>.  The design of the icon is to be agreed – Update from KO in August</w:t>
            </w:r>
          </w:p>
          <w:p w:rsidR="00A43133" w:rsidRPr="00F14580" w:rsidRDefault="00A43133" w:rsidP="00A43133">
            <w:pPr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216"/>
          <w:tblHeader/>
        </w:trPr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C2349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C2349B">
            <w:pPr>
              <w:pStyle w:val="ListParagraph"/>
              <w:ind w:left="175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C2349B">
            <w:pPr>
              <w:pStyle w:val="ListParagraph"/>
              <w:ind w:left="29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C2349B">
            <w:pPr>
              <w:pStyle w:val="ListParagraph"/>
              <w:ind w:left="290"/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49B" w:rsidRPr="00F56E69" w:rsidRDefault="00C2349B" w:rsidP="00A43133">
            <w:pPr>
              <w:pStyle w:val="ListParagraph"/>
              <w:ind w:left="290" w:hanging="1393"/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758"/>
          <w:tblHeader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Objective</w:t>
            </w:r>
          </w:p>
          <w:p w:rsidR="00C2349B" w:rsidRPr="00F56E69" w:rsidRDefault="00C2349B" w:rsidP="00C2349B">
            <w:pPr>
              <w:spacing w:after="120"/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(Workforce Related)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Milestones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Action By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</w:p>
          <w:p w:rsidR="00C2349B" w:rsidRPr="00F56E69" w:rsidRDefault="00C2349B" w:rsidP="00C2349B">
            <w:pPr>
              <w:rPr>
                <w:b/>
                <w:sz w:val="22"/>
                <w:szCs w:val="22"/>
              </w:rPr>
            </w:pPr>
            <w:r w:rsidRPr="00F56E69">
              <w:rPr>
                <w:b/>
                <w:sz w:val="22"/>
                <w:szCs w:val="22"/>
              </w:rPr>
              <w:t>Progress Report</w:t>
            </w:r>
          </w:p>
        </w:tc>
      </w:tr>
      <w:tr w:rsidR="00C2349B" w:rsidRPr="00F56E69" w:rsidTr="00A43133">
        <w:trPr>
          <w:trHeight w:val="758"/>
          <w:tblHeader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A representative and supported workforce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2019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120"/>
              <w:ind w:left="360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Implement and monitor a campaign for staff to update their personal information through ESR Self Service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A baseline metric of protected characteristic information for staff to be recorded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Default="00C2349B" w:rsidP="00A43133">
            <w:pPr>
              <w:rPr>
                <w:sz w:val="22"/>
                <w:szCs w:val="22"/>
              </w:rPr>
            </w:pPr>
          </w:p>
          <w:p w:rsidR="00F14580" w:rsidRPr="00F56E69" w:rsidRDefault="00F14580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F24A1B" w:rsidRDefault="00AB5DA3" w:rsidP="00C23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>
              <w:rPr>
                <w:sz w:val="22"/>
                <w:szCs w:val="22"/>
              </w:rPr>
              <w:t xml:space="preserve"> - </w:t>
            </w:r>
            <w:r w:rsidR="00E9279D">
              <w:rPr>
                <w:sz w:val="22"/>
                <w:szCs w:val="22"/>
              </w:rPr>
              <w:t>WD</w:t>
            </w:r>
            <w:bookmarkStart w:id="0" w:name="_GoBack"/>
            <w:bookmarkEnd w:id="0"/>
            <w:r w:rsidR="00C2349B">
              <w:rPr>
                <w:sz w:val="22"/>
                <w:szCs w:val="22"/>
              </w:rPr>
              <w:t>ES Date meeting on 18.06.2019</w:t>
            </w:r>
          </w:p>
          <w:p w:rsidR="00C2349B" w:rsidRPr="00F56E69" w:rsidRDefault="00AB5DA3" w:rsidP="00A431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A43133">
              <w:rPr>
                <w:b/>
                <w:sz w:val="22"/>
                <w:szCs w:val="22"/>
              </w:rPr>
              <w:t xml:space="preserve"> </w:t>
            </w:r>
            <w:r w:rsidR="00A43133">
              <w:rPr>
                <w:sz w:val="22"/>
                <w:szCs w:val="22"/>
              </w:rPr>
              <w:t>- CR advised now available</w:t>
            </w:r>
          </w:p>
        </w:tc>
      </w:tr>
      <w:tr w:rsidR="00C2349B" w:rsidRPr="00F56E69" w:rsidTr="00A43133">
        <w:trPr>
          <w:trHeight w:val="205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Develop a briefing note for staff advising them of why we collect the information and how they can update their personal information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C2349B" w:rsidRDefault="00AB5DA3" w:rsidP="00A431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>
              <w:rPr>
                <w:b/>
                <w:sz w:val="22"/>
                <w:szCs w:val="22"/>
              </w:rPr>
              <w:t xml:space="preserve"> </w:t>
            </w:r>
            <w:r w:rsidR="00A43133">
              <w:rPr>
                <w:sz w:val="22"/>
                <w:szCs w:val="22"/>
              </w:rPr>
              <w:t xml:space="preserve">- </w:t>
            </w:r>
            <w:r w:rsidR="00C2349B">
              <w:rPr>
                <w:sz w:val="22"/>
                <w:szCs w:val="22"/>
              </w:rPr>
              <w:t>CR to circulate to networks</w:t>
            </w:r>
          </w:p>
          <w:p w:rsidR="00F24A1B" w:rsidRPr="00F56E69" w:rsidRDefault="00F24A1B" w:rsidP="00C2349B">
            <w:pPr>
              <w:spacing w:after="120"/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205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Communications Campaign on why we wish to collect this information, how staff can update their information and the benefits of doing so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A43133">
            <w:pPr>
              <w:rPr>
                <w:sz w:val="22"/>
                <w:szCs w:val="22"/>
              </w:rPr>
            </w:pPr>
          </w:p>
          <w:p w:rsidR="00F14580" w:rsidRPr="00F56E69" w:rsidRDefault="00F14580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 2019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spacing w:after="120"/>
              <w:rPr>
                <w:sz w:val="22"/>
                <w:szCs w:val="22"/>
              </w:rPr>
            </w:pPr>
          </w:p>
          <w:p w:rsidR="00A43133" w:rsidRPr="00F56E69" w:rsidRDefault="00A43133" w:rsidP="00C2349B">
            <w:pPr>
              <w:spacing w:after="120"/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205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rPr>
                <w:sz w:val="22"/>
                <w:szCs w:val="22"/>
              </w:rPr>
            </w:pPr>
          </w:p>
          <w:p w:rsidR="00A43133" w:rsidRDefault="00C2349B" w:rsidP="00A4313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Quarterly updates on progress – the campaign needs to roll until we have x% detailed coverage of protected characteristics of staff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A43133">
            <w:pPr>
              <w:rPr>
                <w:sz w:val="22"/>
                <w:szCs w:val="22"/>
              </w:rPr>
            </w:pPr>
          </w:p>
          <w:p w:rsidR="00F14580" w:rsidRPr="00F56E69" w:rsidRDefault="00A43133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14580">
              <w:rPr>
                <w:sz w:val="22"/>
                <w:szCs w:val="22"/>
              </w:rPr>
              <w:t>ngoing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205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2019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120"/>
              <w:ind w:left="360"/>
              <w:rPr>
                <w:sz w:val="22"/>
                <w:szCs w:val="22"/>
              </w:rPr>
            </w:pPr>
          </w:p>
          <w:p w:rsidR="00C2349B" w:rsidRPr="00F56E69" w:rsidRDefault="00C2349B" w:rsidP="00C2349B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Implement the Workforce Disability Equality Standard</w:t>
            </w:r>
          </w:p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240"/>
              <w:ind w:left="360"/>
              <w:rPr>
                <w:sz w:val="22"/>
                <w:szCs w:val="22"/>
              </w:rPr>
            </w:pPr>
          </w:p>
          <w:p w:rsidR="00C2349B" w:rsidRPr="00F56E69" w:rsidRDefault="00C2349B" w:rsidP="00A4313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Receive and disseminate WDES Technical Standard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C2349B" w:rsidRDefault="00AB5DA3" w:rsidP="00C23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>
              <w:rPr>
                <w:sz w:val="22"/>
                <w:szCs w:val="22"/>
              </w:rPr>
              <w:t xml:space="preserve"> - </w:t>
            </w:r>
            <w:r w:rsidR="00C2349B">
              <w:rPr>
                <w:sz w:val="22"/>
                <w:szCs w:val="22"/>
              </w:rPr>
              <w:t>Roll out of information commenced April 2019</w:t>
            </w:r>
          </w:p>
          <w:p w:rsidR="00F24A1B" w:rsidRDefault="00AB5DA3" w:rsidP="00A4313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A43133">
              <w:rPr>
                <w:sz w:val="22"/>
                <w:szCs w:val="22"/>
              </w:rPr>
              <w:t xml:space="preserve"> - Received</w:t>
            </w:r>
            <w:r w:rsidR="00F14580">
              <w:rPr>
                <w:sz w:val="22"/>
                <w:szCs w:val="22"/>
              </w:rPr>
              <w:t xml:space="preserve"> standard </w:t>
            </w:r>
            <w:r w:rsidR="00A43133">
              <w:rPr>
                <w:sz w:val="22"/>
                <w:szCs w:val="22"/>
              </w:rPr>
              <w:t>and</w:t>
            </w:r>
            <w:r w:rsidR="00F14580">
              <w:rPr>
                <w:sz w:val="22"/>
                <w:szCs w:val="22"/>
              </w:rPr>
              <w:t xml:space="preserve"> had </w:t>
            </w:r>
            <w:r w:rsidR="00A43133">
              <w:rPr>
                <w:sz w:val="22"/>
                <w:szCs w:val="22"/>
              </w:rPr>
              <w:t>discussions</w:t>
            </w:r>
            <w:r w:rsidR="00F14580">
              <w:rPr>
                <w:sz w:val="22"/>
                <w:szCs w:val="22"/>
              </w:rPr>
              <w:t xml:space="preserve"> about what it means</w:t>
            </w:r>
            <w:r w:rsidR="00A43133">
              <w:rPr>
                <w:sz w:val="22"/>
                <w:szCs w:val="22"/>
              </w:rPr>
              <w:t>.  Will now go to Trust Board in August.</w:t>
            </w:r>
            <w:r w:rsidR="00F14580">
              <w:rPr>
                <w:sz w:val="22"/>
                <w:szCs w:val="22"/>
              </w:rPr>
              <w:t xml:space="preserve"> </w:t>
            </w:r>
            <w:r w:rsidR="00A43133">
              <w:rPr>
                <w:sz w:val="22"/>
                <w:szCs w:val="22"/>
              </w:rPr>
              <w:t xml:space="preserve"> </w:t>
            </w:r>
          </w:p>
          <w:p w:rsidR="00A43133" w:rsidRPr="00F56E69" w:rsidRDefault="00A43133" w:rsidP="00A43133">
            <w:pPr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134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240"/>
              <w:ind w:left="360"/>
              <w:rPr>
                <w:sz w:val="22"/>
                <w:szCs w:val="22"/>
              </w:rPr>
            </w:pPr>
          </w:p>
          <w:p w:rsidR="00C2349B" w:rsidRPr="00F56E69" w:rsidRDefault="00C2349B" w:rsidP="00A4313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Review date and reporting against the metrics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C2349B" w:rsidRDefault="00AB5DA3" w:rsidP="00C2349B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 w:rsidR="00A43133">
              <w:rPr>
                <w:sz w:val="22"/>
                <w:szCs w:val="22"/>
              </w:rPr>
              <w:t xml:space="preserve"> - </w:t>
            </w:r>
            <w:r w:rsidR="00C2349B">
              <w:rPr>
                <w:sz w:val="22"/>
                <w:szCs w:val="22"/>
              </w:rPr>
              <w:t>Metrics to be completed by 1 August 2019</w:t>
            </w:r>
          </w:p>
          <w:p w:rsidR="00F24A1B" w:rsidRPr="00F56E69" w:rsidRDefault="00F24A1B" w:rsidP="00C2349B">
            <w:pPr>
              <w:spacing w:after="120"/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349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spacing w:after="240"/>
              <w:ind w:left="360"/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Release of reporting sheet with prepopulated data to check and complete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199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pStyle w:val="ListParagraph"/>
              <w:spacing w:after="240"/>
              <w:ind w:left="360"/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Report compiled and presented to Trust Board along with associated action plans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</w:tr>
      <w:tr w:rsidR="00C2349B" w:rsidRPr="00F56E69" w:rsidTr="00A43133">
        <w:trPr>
          <w:trHeight w:val="415"/>
          <w:tblHeader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pStyle w:val="ListParagraph"/>
              <w:spacing w:after="240"/>
              <w:ind w:left="360"/>
              <w:rPr>
                <w:sz w:val="22"/>
                <w:szCs w:val="22"/>
              </w:rPr>
            </w:pPr>
          </w:p>
          <w:p w:rsidR="00C2349B" w:rsidRDefault="00C2349B" w:rsidP="00A4313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56E69">
              <w:rPr>
                <w:sz w:val="22"/>
                <w:szCs w:val="22"/>
              </w:rPr>
              <w:t>Upload our report to NHS England</w:t>
            </w:r>
          </w:p>
          <w:p w:rsidR="00A43133" w:rsidRPr="00A43133" w:rsidRDefault="00A43133" w:rsidP="00A431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C2349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Pr="00F56E69" w:rsidRDefault="00C2349B" w:rsidP="00A43133">
            <w:pPr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B" w:rsidRDefault="00C2349B" w:rsidP="00C2349B">
            <w:pPr>
              <w:rPr>
                <w:sz w:val="22"/>
                <w:szCs w:val="22"/>
              </w:rPr>
            </w:pPr>
          </w:p>
          <w:p w:rsidR="00C2349B" w:rsidRDefault="00A43133" w:rsidP="00C2349B">
            <w:pPr>
              <w:spacing w:after="120"/>
              <w:rPr>
                <w:sz w:val="22"/>
                <w:szCs w:val="22"/>
              </w:rPr>
            </w:pPr>
            <w:r w:rsidRPr="00A43133">
              <w:rPr>
                <w:b/>
                <w:sz w:val="22"/>
                <w:szCs w:val="22"/>
              </w:rPr>
              <w:t>Jun</w:t>
            </w:r>
            <w:r>
              <w:rPr>
                <w:sz w:val="22"/>
                <w:szCs w:val="22"/>
              </w:rPr>
              <w:t xml:space="preserve"> - </w:t>
            </w:r>
            <w:r w:rsidR="00C2349B" w:rsidRPr="00A43133">
              <w:rPr>
                <w:sz w:val="22"/>
                <w:szCs w:val="22"/>
              </w:rPr>
              <w:t>Deadline</w:t>
            </w:r>
            <w:r w:rsidR="00C2349B">
              <w:rPr>
                <w:sz w:val="22"/>
                <w:szCs w:val="22"/>
              </w:rPr>
              <w:t xml:space="preserve"> 30 September 2019</w:t>
            </w:r>
          </w:p>
          <w:p w:rsidR="00F24A1B" w:rsidRPr="00F56E69" w:rsidRDefault="00F24A1B" w:rsidP="00C2349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FE7D50" w:rsidRPr="00A413A6" w:rsidRDefault="00FE7D50"/>
    <w:sectPr w:rsidR="00FE7D50" w:rsidRPr="00A413A6" w:rsidSect="00F56E69">
      <w:headerReference w:type="default" r:id="rId7"/>
      <w:footerReference w:type="default" r:id="rId8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C0" w:rsidRDefault="004C3FC0" w:rsidP="004C3FC0">
      <w:pPr>
        <w:spacing w:after="0" w:line="240" w:lineRule="auto"/>
      </w:pPr>
      <w:r>
        <w:separator/>
      </w:r>
    </w:p>
  </w:endnote>
  <w:endnote w:type="continuationSeparator" w:id="0">
    <w:p w:rsidR="004C3FC0" w:rsidRDefault="004C3FC0" w:rsidP="004C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C0" w:rsidRPr="004C3FC0" w:rsidRDefault="004C3FC0">
    <w:pPr>
      <w:pStyle w:val="Footer"/>
      <w:rPr>
        <w:rFonts w:ascii="Arial" w:hAnsi="Arial" w:cs="Arial"/>
        <w:sz w:val="24"/>
        <w:szCs w:val="24"/>
      </w:rPr>
    </w:pPr>
    <w:r w:rsidRPr="004C3FC0">
      <w:rPr>
        <w:rFonts w:ascii="Arial" w:hAnsi="Arial" w:cs="Arial"/>
        <w:sz w:val="24"/>
        <w:szCs w:val="24"/>
      </w:rPr>
      <w:t>Equality Strategy 2018-2022</w:t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</w:r>
    <w:r w:rsidR="00F23D32">
      <w:rPr>
        <w:rFonts w:ascii="Arial" w:hAnsi="Arial" w:cs="Arial"/>
        <w:sz w:val="24"/>
        <w:szCs w:val="24"/>
      </w:rPr>
      <w:tab/>
      <w:t xml:space="preserve">         Updated 1</w:t>
    </w:r>
    <w:r w:rsidR="00F24A1B">
      <w:rPr>
        <w:rFonts w:ascii="Arial" w:hAnsi="Arial" w:cs="Arial"/>
        <w:sz w:val="24"/>
        <w:szCs w:val="24"/>
      </w:rPr>
      <w:t>1.07</w:t>
    </w:r>
    <w:r w:rsidR="00F23D32">
      <w:rPr>
        <w:rFonts w:ascii="Arial" w:hAnsi="Arial" w:cs="Arial"/>
        <w:sz w:val="24"/>
        <w:szCs w:val="24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C0" w:rsidRDefault="004C3FC0" w:rsidP="004C3FC0">
      <w:pPr>
        <w:spacing w:after="0" w:line="240" w:lineRule="auto"/>
      </w:pPr>
      <w:r>
        <w:separator/>
      </w:r>
    </w:p>
  </w:footnote>
  <w:footnote w:type="continuationSeparator" w:id="0">
    <w:p w:rsidR="004C3FC0" w:rsidRDefault="004C3FC0" w:rsidP="004C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C0" w:rsidRPr="004C3FC0" w:rsidRDefault="00D37474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Disability</w:t>
    </w:r>
    <w:r w:rsidR="004C3FC0" w:rsidRPr="004C3FC0">
      <w:rPr>
        <w:rFonts w:ascii="Arial" w:hAnsi="Arial" w:cs="Arial"/>
        <w:b/>
        <w:sz w:val="28"/>
        <w:szCs w:val="28"/>
      </w:rPr>
      <w:t xml:space="preserve"> Themed Actions</w:t>
    </w:r>
  </w:p>
  <w:p w:rsidR="004C3FC0" w:rsidRDefault="004C3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7B7"/>
    <w:multiLevelType w:val="hybridMultilevel"/>
    <w:tmpl w:val="B1823E94"/>
    <w:lvl w:ilvl="0" w:tplc="4DA05E62">
      <w:start w:val="1"/>
      <w:numFmt w:val="decimal"/>
      <w:lvlText w:val="%1a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F1B"/>
    <w:multiLevelType w:val="hybridMultilevel"/>
    <w:tmpl w:val="C03C510C"/>
    <w:lvl w:ilvl="0" w:tplc="45344C18">
      <w:start w:val="1"/>
      <w:numFmt w:val="lowerLetter"/>
      <w:lvlText w:val="1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B90"/>
    <w:multiLevelType w:val="hybridMultilevel"/>
    <w:tmpl w:val="8A7E6518"/>
    <w:lvl w:ilvl="0" w:tplc="4DA05E62">
      <w:start w:val="1"/>
      <w:numFmt w:val="decimal"/>
      <w:lvlText w:val="%1a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50E7D"/>
    <w:multiLevelType w:val="hybridMultilevel"/>
    <w:tmpl w:val="E7E6E920"/>
    <w:lvl w:ilvl="0" w:tplc="4DA05E62">
      <w:start w:val="1"/>
      <w:numFmt w:val="decimal"/>
      <w:lvlText w:val="%1a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D1BAA"/>
    <w:multiLevelType w:val="hybridMultilevel"/>
    <w:tmpl w:val="6FA0A4B4"/>
    <w:lvl w:ilvl="0" w:tplc="45344C18">
      <w:start w:val="1"/>
      <w:numFmt w:val="lowerLetter"/>
      <w:lvlText w:val="1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D39"/>
    <w:multiLevelType w:val="hybridMultilevel"/>
    <w:tmpl w:val="9A2ABA12"/>
    <w:lvl w:ilvl="0" w:tplc="D278F80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4514E"/>
    <w:multiLevelType w:val="hybridMultilevel"/>
    <w:tmpl w:val="C0BC6DEC"/>
    <w:lvl w:ilvl="0" w:tplc="609E06B8">
      <w:start w:val="1"/>
      <w:numFmt w:val="lowerLetter"/>
      <w:lvlText w:val="5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0AE7"/>
    <w:multiLevelType w:val="hybridMultilevel"/>
    <w:tmpl w:val="286AB55E"/>
    <w:lvl w:ilvl="0" w:tplc="71C28E50">
      <w:start w:val="1"/>
      <w:numFmt w:val="lowerLetter"/>
      <w:lvlText w:val="2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56C65"/>
    <w:multiLevelType w:val="hybridMultilevel"/>
    <w:tmpl w:val="23E68AAE"/>
    <w:lvl w:ilvl="0" w:tplc="D5223A8C">
      <w:start w:val="1"/>
      <w:numFmt w:val="lowerLetter"/>
      <w:lvlText w:val="4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57FA"/>
    <w:multiLevelType w:val="hybridMultilevel"/>
    <w:tmpl w:val="CE6C7E1A"/>
    <w:lvl w:ilvl="0" w:tplc="3AECDF1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B47CF"/>
    <w:multiLevelType w:val="hybridMultilevel"/>
    <w:tmpl w:val="6824A4EA"/>
    <w:lvl w:ilvl="0" w:tplc="71C28E50">
      <w:start w:val="1"/>
      <w:numFmt w:val="lowerLetter"/>
      <w:lvlText w:val="2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A2E51"/>
    <w:multiLevelType w:val="hybridMultilevel"/>
    <w:tmpl w:val="579EA53A"/>
    <w:lvl w:ilvl="0" w:tplc="9BF20C5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61B98"/>
    <w:multiLevelType w:val="hybridMultilevel"/>
    <w:tmpl w:val="821A9E0E"/>
    <w:lvl w:ilvl="0" w:tplc="2D4C3B06">
      <w:start w:val="1"/>
      <w:numFmt w:val="lowerLetter"/>
      <w:lvlText w:val="3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642E"/>
    <w:multiLevelType w:val="hybridMultilevel"/>
    <w:tmpl w:val="D4B84354"/>
    <w:lvl w:ilvl="0" w:tplc="FA44CE80">
      <w:start w:val="3"/>
      <w:numFmt w:val="lowerLetter"/>
      <w:lvlText w:val="3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458A1"/>
    <w:multiLevelType w:val="hybridMultilevel"/>
    <w:tmpl w:val="7D22EFD6"/>
    <w:lvl w:ilvl="0" w:tplc="45344C18">
      <w:start w:val="1"/>
      <w:numFmt w:val="lowerLetter"/>
      <w:lvlText w:val="1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436CC"/>
    <w:multiLevelType w:val="hybridMultilevel"/>
    <w:tmpl w:val="ED765942"/>
    <w:lvl w:ilvl="0" w:tplc="A5066EAC">
      <w:start w:val="3"/>
      <w:numFmt w:val="decimal"/>
      <w:lvlText w:val="%1a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82CA3"/>
    <w:multiLevelType w:val="hybridMultilevel"/>
    <w:tmpl w:val="7FB4A028"/>
    <w:lvl w:ilvl="0" w:tplc="FA44CE80">
      <w:start w:val="3"/>
      <w:numFmt w:val="lowerLetter"/>
      <w:lvlText w:val="3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91DC7"/>
    <w:multiLevelType w:val="hybridMultilevel"/>
    <w:tmpl w:val="431A94C4"/>
    <w:lvl w:ilvl="0" w:tplc="45344C18">
      <w:start w:val="1"/>
      <w:numFmt w:val="lowerLetter"/>
      <w:lvlText w:val="1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8E"/>
    <w:rsid w:val="000877DD"/>
    <w:rsid w:val="0009260F"/>
    <w:rsid w:val="00295B72"/>
    <w:rsid w:val="002C0ECF"/>
    <w:rsid w:val="002C7E7A"/>
    <w:rsid w:val="004C3FC0"/>
    <w:rsid w:val="004F3AED"/>
    <w:rsid w:val="005C4A98"/>
    <w:rsid w:val="00611E1F"/>
    <w:rsid w:val="00735AE7"/>
    <w:rsid w:val="007912FF"/>
    <w:rsid w:val="007D1782"/>
    <w:rsid w:val="007D24EC"/>
    <w:rsid w:val="00972F25"/>
    <w:rsid w:val="00A413A6"/>
    <w:rsid w:val="00A43133"/>
    <w:rsid w:val="00AB5DA3"/>
    <w:rsid w:val="00B1542C"/>
    <w:rsid w:val="00BD7299"/>
    <w:rsid w:val="00C2349B"/>
    <w:rsid w:val="00C57FDF"/>
    <w:rsid w:val="00D37474"/>
    <w:rsid w:val="00DA758E"/>
    <w:rsid w:val="00DB7B20"/>
    <w:rsid w:val="00E9279D"/>
    <w:rsid w:val="00ED7CAF"/>
    <w:rsid w:val="00F04C44"/>
    <w:rsid w:val="00F14580"/>
    <w:rsid w:val="00F23D32"/>
    <w:rsid w:val="00F24A1B"/>
    <w:rsid w:val="00F56E69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16F28-295F-468D-9FB0-BF334AEB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58E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C0"/>
  </w:style>
  <w:style w:type="paragraph" w:styleId="Footer">
    <w:name w:val="footer"/>
    <w:basedOn w:val="Normal"/>
    <w:link w:val="FooterChar"/>
    <w:uiPriority w:val="99"/>
    <w:unhideWhenUsed/>
    <w:rsid w:val="004C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C0"/>
  </w:style>
  <w:style w:type="paragraph" w:styleId="ListParagraph">
    <w:name w:val="List Paragraph"/>
    <w:basedOn w:val="Normal"/>
    <w:uiPriority w:val="34"/>
    <w:qFormat/>
    <w:rsid w:val="00735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Chris (Workforce &amp; Organisational Development)</dc:creator>
  <cp:keywords/>
  <dc:description/>
  <cp:lastModifiedBy>Gibbons, Julia (Workforce &amp; Organisational Development)</cp:lastModifiedBy>
  <cp:revision>14</cp:revision>
  <cp:lastPrinted>2019-08-03T09:56:00Z</cp:lastPrinted>
  <dcterms:created xsi:type="dcterms:W3CDTF">2019-07-02T12:21:00Z</dcterms:created>
  <dcterms:modified xsi:type="dcterms:W3CDTF">2019-08-05T12:49:00Z</dcterms:modified>
</cp:coreProperties>
</file>