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496" w:rsidRPr="00294496" w:rsidRDefault="00294496" w:rsidP="00294496">
      <w:pPr>
        <w:jc w:val="center"/>
        <w:outlineLvl w:val="0"/>
        <w:rPr>
          <w:rFonts w:cs="Arial"/>
          <w:b/>
          <w:sz w:val="24"/>
        </w:rPr>
      </w:pPr>
      <w:r w:rsidRPr="00294496">
        <w:rPr>
          <w:rFonts w:cs="Arial"/>
          <w:noProof/>
          <w:sz w:val="24"/>
          <w:lang w:eastAsia="en-GB"/>
        </w:rPr>
        <mc:AlternateContent>
          <mc:Choice Requires="wps">
            <w:drawing>
              <wp:anchor distT="0" distB="0" distL="114300" distR="114300" simplePos="0" relativeHeight="251659264" behindDoc="0" locked="0" layoutInCell="1" allowOverlap="1" wp14:anchorId="08786892" wp14:editId="0E5067AF">
                <wp:simplePos x="0" y="0"/>
                <wp:positionH relativeFrom="column">
                  <wp:posOffset>3962400</wp:posOffset>
                </wp:positionH>
                <wp:positionV relativeFrom="paragraph">
                  <wp:posOffset>-638175</wp:posOffset>
                </wp:positionV>
                <wp:extent cx="2352675" cy="3238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E94" w:rsidRDefault="00044E94" w:rsidP="00294496">
                            <w:pPr>
                              <w:jc w:val="right"/>
                              <w:outlineLvl w:val="0"/>
                              <w:rPr>
                                <w:rFonts w:cs="Arial"/>
                                <w:b/>
                                <w:szCs w:val="22"/>
                              </w:rPr>
                            </w:pPr>
                            <w:r>
                              <w:rPr>
                                <w:rFonts w:cs="Arial"/>
                                <w:b/>
                                <w:szCs w:val="22"/>
                              </w:rPr>
                              <w:t xml:space="preserve"> Agenda item    </w:t>
                            </w:r>
                          </w:p>
                          <w:p w:rsidR="00044E94" w:rsidRDefault="00044E94" w:rsidP="00294496">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12pt;margin-top:-50.25pt;width:185.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" stroked="f">
                <v:textbox>
                  <w:txbxContent>
                    <w:p w:rsidR="00044E94" w:rsidRDefault="00044E94" w:rsidP="00294496">
                      <w:pPr>
                        <w:jc w:val="right"/>
                        <w:outlineLvl w:val="0"/>
                        <w:rPr>
                          <w:rFonts w:cs="Arial"/>
                          <w:b/>
                          <w:szCs w:val="22"/>
                        </w:rPr>
                      </w:pPr>
                      <w:r>
                        <w:rPr>
                          <w:rFonts w:cs="Arial"/>
                          <w:b/>
                          <w:szCs w:val="22"/>
                        </w:rPr>
                        <w:t xml:space="preserve"> Agenda item    </w:t>
                      </w:r>
                    </w:p>
                    <w:p w:rsidR="00044E94" w:rsidRDefault="00044E94" w:rsidP="00294496">
                      <w:pPr>
                        <w:jc w:val="right"/>
                      </w:pPr>
                    </w:p>
                  </w:txbxContent>
                </v:textbox>
              </v:shape>
            </w:pict>
          </mc:Fallback>
        </mc:AlternateContent>
      </w:r>
      <w:r w:rsidRPr="00294496">
        <w:rPr>
          <w:rFonts w:cs="Arial"/>
          <w:b/>
          <w:sz w:val="24"/>
        </w:rPr>
        <w:t>Northumberland, Tyne and Wear NHS Foundation Trust</w:t>
      </w:r>
    </w:p>
    <w:p w:rsidR="00294496" w:rsidRPr="00294496" w:rsidRDefault="00294496" w:rsidP="00294496">
      <w:pPr>
        <w:outlineLvl w:val="0"/>
        <w:rPr>
          <w:rFonts w:cs="Arial"/>
          <w:b/>
          <w:sz w:val="24"/>
        </w:rPr>
      </w:pPr>
    </w:p>
    <w:p w:rsidR="00294496" w:rsidRPr="00294496" w:rsidRDefault="00294496" w:rsidP="00294496">
      <w:pPr>
        <w:jc w:val="center"/>
        <w:outlineLvl w:val="0"/>
        <w:rPr>
          <w:rFonts w:cs="Arial"/>
          <w:b/>
          <w:sz w:val="24"/>
        </w:rPr>
      </w:pPr>
      <w:r w:rsidRPr="00294496">
        <w:rPr>
          <w:rFonts w:cs="Arial"/>
          <w:b/>
          <w:sz w:val="24"/>
        </w:rPr>
        <w:t>Board of Directors Meeting</w:t>
      </w:r>
    </w:p>
    <w:p w:rsidR="00294496" w:rsidRPr="00294496" w:rsidRDefault="00294496" w:rsidP="00294496">
      <w:pPr>
        <w:jc w:val="center"/>
        <w:outlineLvl w:val="0"/>
        <w:rPr>
          <w:rFonts w:cs="Arial"/>
          <w:b/>
          <w:sz w:val="24"/>
        </w:rPr>
      </w:pPr>
    </w:p>
    <w:p w:rsidR="00294496" w:rsidRPr="00294496" w:rsidRDefault="00294496" w:rsidP="00294496">
      <w:pPr>
        <w:rPr>
          <w:rFonts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294496" w:rsidRPr="00294496" w:rsidTr="00044E94">
        <w:tc>
          <w:tcPr>
            <w:tcW w:w="9364" w:type="dxa"/>
            <w:tcBorders>
              <w:top w:val="single" w:sz="4" w:space="0" w:color="auto"/>
              <w:left w:val="single" w:sz="4" w:space="0" w:color="auto"/>
              <w:bottom w:val="single" w:sz="4" w:space="0" w:color="auto"/>
              <w:right w:val="single" w:sz="4" w:space="0" w:color="auto"/>
            </w:tcBorders>
            <w:hideMark/>
          </w:tcPr>
          <w:p w:rsidR="00294496" w:rsidRPr="00294496" w:rsidRDefault="00294496" w:rsidP="00294496">
            <w:pPr>
              <w:rPr>
                <w:rFonts w:cs="Arial"/>
                <w:sz w:val="24"/>
              </w:rPr>
            </w:pPr>
            <w:r w:rsidRPr="00294496">
              <w:rPr>
                <w:rFonts w:cs="Arial"/>
                <w:sz w:val="24"/>
              </w:rPr>
              <w:t xml:space="preserve">Meeting Date:  </w:t>
            </w:r>
            <w:r>
              <w:rPr>
                <w:rFonts w:cs="Arial"/>
                <w:sz w:val="24"/>
              </w:rPr>
              <w:t>25</w:t>
            </w:r>
            <w:r w:rsidRPr="00294496">
              <w:rPr>
                <w:rFonts w:cs="Arial"/>
                <w:sz w:val="24"/>
                <w:vertAlign w:val="superscript"/>
              </w:rPr>
              <w:t>th</w:t>
            </w:r>
            <w:r>
              <w:rPr>
                <w:rFonts w:cs="Arial"/>
                <w:sz w:val="24"/>
              </w:rPr>
              <w:t xml:space="preserve"> July 2018</w:t>
            </w:r>
            <w:r w:rsidRPr="00294496">
              <w:rPr>
                <w:rFonts w:cs="Arial"/>
                <w:sz w:val="24"/>
              </w:rPr>
              <w:t xml:space="preserve"> </w:t>
            </w:r>
          </w:p>
        </w:tc>
      </w:tr>
      <w:tr w:rsidR="00294496" w:rsidRPr="00294496" w:rsidTr="00044E94">
        <w:tc>
          <w:tcPr>
            <w:tcW w:w="9364" w:type="dxa"/>
            <w:tcBorders>
              <w:top w:val="single" w:sz="4" w:space="0" w:color="auto"/>
              <w:left w:val="nil"/>
              <w:bottom w:val="single" w:sz="4" w:space="0" w:color="auto"/>
              <w:right w:val="nil"/>
            </w:tcBorders>
          </w:tcPr>
          <w:p w:rsidR="00294496" w:rsidRPr="00294496" w:rsidRDefault="00294496" w:rsidP="00294496">
            <w:pPr>
              <w:rPr>
                <w:rFonts w:cs="Arial"/>
                <w:sz w:val="24"/>
              </w:rPr>
            </w:pPr>
          </w:p>
        </w:tc>
      </w:tr>
      <w:tr w:rsidR="00294496" w:rsidRPr="00294496" w:rsidTr="00044E94">
        <w:tc>
          <w:tcPr>
            <w:tcW w:w="9364" w:type="dxa"/>
            <w:tcBorders>
              <w:top w:val="single" w:sz="4" w:space="0" w:color="auto"/>
              <w:left w:val="single" w:sz="4" w:space="0" w:color="auto"/>
              <w:bottom w:val="single" w:sz="4" w:space="0" w:color="auto"/>
              <w:right w:val="single" w:sz="4" w:space="0" w:color="auto"/>
            </w:tcBorders>
          </w:tcPr>
          <w:p w:rsidR="00294496" w:rsidRPr="00294496" w:rsidRDefault="00294496" w:rsidP="00294496">
            <w:pPr>
              <w:rPr>
                <w:rFonts w:cs="Arial"/>
                <w:sz w:val="24"/>
              </w:rPr>
            </w:pPr>
            <w:r w:rsidRPr="00294496">
              <w:rPr>
                <w:rFonts w:cs="Arial"/>
                <w:sz w:val="24"/>
              </w:rPr>
              <w:t>Title and Author of Paper:   EDS2 and WRES Report, E&amp;D Lead</w:t>
            </w:r>
          </w:p>
        </w:tc>
      </w:tr>
      <w:tr w:rsidR="00294496" w:rsidRPr="00294496" w:rsidTr="00044E94">
        <w:tc>
          <w:tcPr>
            <w:tcW w:w="9364" w:type="dxa"/>
            <w:tcBorders>
              <w:top w:val="single" w:sz="4" w:space="0" w:color="auto"/>
              <w:left w:val="nil"/>
              <w:bottom w:val="single" w:sz="4" w:space="0" w:color="auto"/>
              <w:right w:val="nil"/>
            </w:tcBorders>
          </w:tcPr>
          <w:p w:rsidR="00294496" w:rsidRPr="00294496" w:rsidRDefault="00294496" w:rsidP="00294496">
            <w:pPr>
              <w:rPr>
                <w:rFonts w:cs="Arial"/>
                <w:sz w:val="24"/>
              </w:rPr>
            </w:pPr>
          </w:p>
        </w:tc>
      </w:tr>
      <w:tr w:rsidR="00294496" w:rsidRPr="00294496" w:rsidTr="00044E94">
        <w:tc>
          <w:tcPr>
            <w:tcW w:w="9364" w:type="dxa"/>
            <w:tcBorders>
              <w:top w:val="single" w:sz="4" w:space="0" w:color="auto"/>
              <w:left w:val="single" w:sz="4" w:space="0" w:color="auto"/>
              <w:bottom w:val="single" w:sz="4" w:space="0" w:color="auto"/>
              <w:right w:val="single" w:sz="4" w:space="0" w:color="auto"/>
            </w:tcBorders>
            <w:hideMark/>
          </w:tcPr>
          <w:p w:rsidR="00294496" w:rsidRPr="00294496" w:rsidRDefault="00294496" w:rsidP="00294496">
            <w:pPr>
              <w:rPr>
                <w:rFonts w:cs="Arial"/>
                <w:sz w:val="24"/>
              </w:rPr>
            </w:pPr>
            <w:r w:rsidRPr="00294496">
              <w:rPr>
                <w:rFonts w:cs="Arial"/>
                <w:sz w:val="24"/>
              </w:rPr>
              <w:t>Executive Lead: Lynne Shaw, Acting Executive Director Workforce and Organisational Development</w:t>
            </w:r>
          </w:p>
        </w:tc>
      </w:tr>
      <w:tr w:rsidR="00294496" w:rsidRPr="00294496" w:rsidTr="00044E94">
        <w:tc>
          <w:tcPr>
            <w:tcW w:w="9364" w:type="dxa"/>
            <w:tcBorders>
              <w:top w:val="single" w:sz="4" w:space="0" w:color="auto"/>
              <w:left w:val="nil"/>
              <w:bottom w:val="single" w:sz="4" w:space="0" w:color="auto"/>
              <w:right w:val="nil"/>
            </w:tcBorders>
          </w:tcPr>
          <w:p w:rsidR="00294496" w:rsidRPr="00294496" w:rsidRDefault="00294496" w:rsidP="00294496">
            <w:pPr>
              <w:rPr>
                <w:rFonts w:cs="Arial"/>
                <w:sz w:val="24"/>
              </w:rPr>
            </w:pPr>
          </w:p>
        </w:tc>
      </w:tr>
      <w:tr w:rsidR="00294496" w:rsidRPr="00294496" w:rsidTr="00044E94">
        <w:tc>
          <w:tcPr>
            <w:tcW w:w="9364" w:type="dxa"/>
            <w:tcBorders>
              <w:top w:val="single" w:sz="4" w:space="0" w:color="auto"/>
              <w:left w:val="single" w:sz="4" w:space="0" w:color="auto"/>
              <w:bottom w:val="single" w:sz="4" w:space="0" w:color="auto"/>
              <w:right w:val="single" w:sz="4" w:space="0" w:color="auto"/>
            </w:tcBorders>
          </w:tcPr>
          <w:p w:rsidR="00294496" w:rsidRPr="00294496" w:rsidRDefault="00294496" w:rsidP="00294496">
            <w:pPr>
              <w:rPr>
                <w:rFonts w:cs="Arial"/>
                <w:sz w:val="24"/>
              </w:rPr>
            </w:pPr>
            <w:r w:rsidRPr="00294496">
              <w:rPr>
                <w:rFonts w:cs="Arial"/>
                <w:sz w:val="24"/>
              </w:rPr>
              <w:t>Paper for Debate, Decision or Information:</w:t>
            </w:r>
            <w:r w:rsidRPr="00294496">
              <w:t xml:space="preserve"> </w:t>
            </w:r>
            <w:r w:rsidRPr="00294496">
              <w:rPr>
                <w:rFonts w:cs="Arial"/>
                <w:sz w:val="24"/>
              </w:rPr>
              <w:t>Debate/Decision</w:t>
            </w:r>
          </w:p>
        </w:tc>
      </w:tr>
      <w:tr w:rsidR="00294496" w:rsidRPr="00294496" w:rsidTr="00044E94">
        <w:tc>
          <w:tcPr>
            <w:tcW w:w="9364" w:type="dxa"/>
            <w:tcBorders>
              <w:top w:val="single" w:sz="4" w:space="0" w:color="auto"/>
              <w:left w:val="nil"/>
              <w:bottom w:val="single" w:sz="4" w:space="0" w:color="auto"/>
              <w:right w:val="nil"/>
            </w:tcBorders>
          </w:tcPr>
          <w:p w:rsidR="00294496" w:rsidRPr="00294496" w:rsidRDefault="00294496" w:rsidP="00294496">
            <w:pPr>
              <w:rPr>
                <w:rFonts w:cs="Arial"/>
                <w:sz w:val="24"/>
              </w:rPr>
            </w:pPr>
          </w:p>
        </w:tc>
      </w:tr>
      <w:tr w:rsidR="00294496" w:rsidRPr="00294496" w:rsidTr="00044E94">
        <w:tc>
          <w:tcPr>
            <w:tcW w:w="9364" w:type="dxa"/>
            <w:tcBorders>
              <w:top w:val="single" w:sz="4" w:space="0" w:color="auto"/>
              <w:left w:val="single" w:sz="4" w:space="0" w:color="auto"/>
              <w:bottom w:val="single" w:sz="4" w:space="0" w:color="auto"/>
              <w:right w:val="single" w:sz="4" w:space="0" w:color="auto"/>
            </w:tcBorders>
          </w:tcPr>
          <w:p w:rsidR="00294496" w:rsidRPr="00294496" w:rsidRDefault="00294496" w:rsidP="00294496">
            <w:pPr>
              <w:rPr>
                <w:rFonts w:cs="Arial"/>
                <w:sz w:val="24"/>
              </w:rPr>
            </w:pPr>
            <w:r w:rsidRPr="00294496">
              <w:rPr>
                <w:rFonts w:cs="Arial"/>
                <w:sz w:val="24"/>
              </w:rPr>
              <w:t xml:space="preserve">Key Points to Note:  </w:t>
            </w:r>
          </w:p>
          <w:p w:rsidR="00294496" w:rsidRPr="00294496" w:rsidRDefault="00294496" w:rsidP="00294496">
            <w:pPr>
              <w:rPr>
                <w:rFonts w:cs="Arial"/>
                <w:sz w:val="24"/>
              </w:rPr>
            </w:pPr>
          </w:p>
          <w:p w:rsidR="00294496" w:rsidRPr="00294496" w:rsidRDefault="00294496" w:rsidP="00294496">
            <w:pPr>
              <w:rPr>
                <w:rFonts w:cs="Arial"/>
                <w:sz w:val="24"/>
              </w:rPr>
            </w:pPr>
            <w:r w:rsidRPr="00294496">
              <w:rPr>
                <w:rFonts w:cs="Arial"/>
                <w:sz w:val="24"/>
              </w:rPr>
              <w:t xml:space="preserve">When the locality ratings are available it is proposed we will update the Trust-wide EDS2 rating too as part of our Public Sector Equality Duty reporting requirements – next report due April 2019. It is proposed that EDS2 grades be agreed in consultation with our partners to include service user. </w:t>
            </w:r>
            <w:proofErr w:type="gramStart"/>
            <w:r w:rsidRPr="00294496">
              <w:rPr>
                <w:rFonts w:cs="Arial"/>
                <w:sz w:val="24"/>
              </w:rPr>
              <w:t>carer</w:t>
            </w:r>
            <w:proofErr w:type="gramEnd"/>
            <w:r w:rsidRPr="00294496">
              <w:rPr>
                <w:rFonts w:cs="Arial"/>
                <w:sz w:val="24"/>
              </w:rPr>
              <w:t xml:space="preserve"> and governor representation, plus interested groups from each of the localities.</w:t>
            </w:r>
          </w:p>
          <w:p w:rsidR="00294496" w:rsidRPr="00294496" w:rsidRDefault="00294496" w:rsidP="00294496">
            <w:pPr>
              <w:rPr>
                <w:rFonts w:cs="Arial"/>
                <w:sz w:val="24"/>
              </w:rPr>
            </w:pPr>
          </w:p>
          <w:p w:rsidR="00294496" w:rsidRPr="00294496" w:rsidRDefault="00294496" w:rsidP="00294496">
            <w:pPr>
              <w:rPr>
                <w:rFonts w:cs="Arial"/>
                <w:sz w:val="24"/>
              </w:rPr>
            </w:pPr>
            <w:r w:rsidRPr="00294496">
              <w:rPr>
                <w:rFonts w:cs="Arial"/>
                <w:sz w:val="24"/>
              </w:rPr>
              <w:t>WRES submission suggests actions for the following areas: recruitment, discipline and grievance, disclosure of information, training and the WRES metrics associated with the Staff Survey findings.</w:t>
            </w:r>
          </w:p>
          <w:p w:rsidR="00294496" w:rsidRPr="00294496" w:rsidRDefault="00294496" w:rsidP="00294496">
            <w:pPr>
              <w:rPr>
                <w:rFonts w:cs="Arial"/>
                <w:sz w:val="24"/>
              </w:rPr>
            </w:pPr>
          </w:p>
          <w:p w:rsidR="00294496" w:rsidRPr="00294496" w:rsidRDefault="00294496" w:rsidP="00294496">
            <w:pPr>
              <w:rPr>
                <w:rFonts w:cs="Arial"/>
                <w:sz w:val="24"/>
              </w:rPr>
            </w:pPr>
            <w:r w:rsidRPr="00294496">
              <w:rPr>
                <w:rFonts w:cs="Arial"/>
                <w:sz w:val="24"/>
              </w:rPr>
              <w:t>Approval is being sought for the broad actions, which if agreed will be worked up to a detailed action plan.</w:t>
            </w:r>
          </w:p>
        </w:tc>
      </w:tr>
      <w:tr w:rsidR="00294496" w:rsidRPr="00294496" w:rsidTr="00044E94">
        <w:tc>
          <w:tcPr>
            <w:tcW w:w="9364" w:type="dxa"/>
            <w:tcBorders>
              <w:top w:val="single" w:sz="4" w:space="0" w:color="auto"/>
              <w:left w:val="nil"/>
              <w:bottom w:val="single" w:sz="4" w:space="0" w:color="auto"/>
              <w:right w:val="nil"/>
            </w:tcBorders>
          </w:tcPr>
          <w:p w:rsidR="00294496" w:rsidRPr="00294496" w:rsidRDefault="00294496" w:rsidP="00294496">
            <w:pPr>
              <w:rPr>
                <w:rFonts w:cs="Arial"/>
                <w:sz w:val="24"/>
              </w:rPr>
            </w:pPr>
          </w:p>
        </w:tc>
      </w:tr>
      <w:tr w:rsidR="00294496" w:rsidRPr="00294496" w:rsidTr="00044E94">
        <w:tc>
          <w:tcPr>
            <w:tcW w:w="9364" w:type="dxa"/>
            <w:tcBorders>
              <w:top w:val="single" w:sz="4" w:space="0" w:color="auto"/>
              <w:left w:val="single" w:sz="4" w:space="0" w:color="auto"/>
              <w:bottom w:val="single" w:sz="4" w:space="0" w:color="auto"/>
              <w:right w:val="single" w:sz="4" w:space="0" w:color="auto"/>
            </w:tcBorders>
          </w:tcPr>
          <w:p w:rsidR="00294496" w:rsidRPr="00294496" w:rsidRDefault="00294496" w:rsidP="00294496">
            <w:pPr>
              <w:rPr>
                <w:rFonts w:cs="Arial"/>
                <w:sz w:val="24"/>
              </w:rPr>
            </w:pPr>
            <w:r w:rsidRPr="00294496">
              <w:rPr>
                <w:rFonts w:cs="Arial"/>
                <w:sz w:val="24"/>
              </w:rPr>
              <w:t xml:space="preserve">Risks Highlighted to Board :   </w:t>
            </w:r>
          </w:p>
        </w:tc>
      </w:tr>
      <w:tr w:rsidR="00294496" w:rsidRPr="00294496" w:rsidTr="00044E94">
        <w:tc>
          <w:tcPr>
            <w:tcW w:w="9364" w:type="dxa"/>
            <w:tcBorders>
              <w:top w:val="single" w:sz="4" w:space="0" w:color="auto"/>
              <w:left w:val="nil"/>
              <w:bottom w:val="single" w:sz="4" w:space="0" w:color="auto"/>
              <w:right w:val="nil"/>
            </w:tcBorders>
          </w:tcPr>
          <w:p w:rsidR="00294496" w:rsidRPr="00294496" w:rsidRDefault="00294496" w:rsidP="00294496">
            <w:pPr>
              <w:rPr>
                <w:rFonts w:cs="Arial"/>
                <w:sz w:val="24"/>
              </w:rPr>
            </w:pPr>
          </w:p>
        </w:tc>
      </w:tr>
      <w:tr w:rsidR="00294496" w:rsidRPr="00294496" w:rsidTr="00044E94">
        <w:tc>
          <w:tcPr>
            <w:tcW w:w="9364" w:type="dxa"/>
            <w:tcBorders>
              <w:top w:val="single" w:sz="4" w:space="0" w:color="auto"/>
              <w:left w:val="single" w:sz="4" w:space="0" w:color="auto"/>
              <w:bottom w:val="single" w:sz="4" w:space="0" w:color="auto"/>
              <w:right w:val="single" w:sz="4" w:space="0" w:color="auto"/>
            </w:tcBorders>
          </w:tcPr>
          <w:p w:rsidR="00294496" w:rsidRPr="00294496" w:rsidRDefault="00294496" w:rsidP="00294496">
            <w:pPr>
              <w:rPr>
                <w:rFonts w:cs="Arial"/>
                <w:sz w:val="24"/>
              </w:rPr>
            </w:pPr>
            <w:r w:rsidRPr="00294496">
              <w:rPr>
                <w:rFonts w:cs="Arial"/>
                <w:sz w:val="24"/>
              </w:rPr>
              <w:t xml:space="preserve">Does this affect any Board Assurance Framework/Corporate Risks? </w:t>
            </w:r>
          </w:p>
          <w:p w:rsidR="00294496" w:rsidRPr="00294496" w:rsidRDefault="00294496" w:rsidP="00294496">
            <w:pPr>
              <w:rPr>
                <w:rFonts w:cs="Arial"/>
                <w:sz w:val="24"/>
              </w:rPr>
            </w:pPr>
            <w:r w:rsidRPr="00294496">
              <w:rPr>
                <w:rFonts w:cs="Arial"/>
                <w:sz w:val="24"/>
              </w:rPr>
              <w:t>Please state No</w:t>
            </w:r>
          </w:p>
          <w:p w:rsidR="00294496" w:rsidRPr="00294496" w:rsidRDefault="00294496" w:rsidP="00294496">
            <w:pPr>
              <w:rPr>
                <w:rFonts w:cs="Arial"/>
                <w:sz w:val="24"/>
              </w:rPr>
            </w:pPr>
            <w:r w:rsidRPr="00294496">
              <w:rPr>
                <w:rFonts w:cs="Arial"/>
                <w:sz w:val="24"/>
              </w:rPr>
              <w:t xml:space="preserve">If Yes please outline  </w:t>
            </w:r>
          </w:p>
        </w:tc>
      </w:tr>
      <w:tr w:rsidR="00294496" w:rsidRPr="00294496" w:rsidTr="00044E94">
        <w:tc>
          <w:tcPr>
            <w:tcW w:w="9364" w:type="dxa"/>
            <w:tcBorders>
              <w:top w:val="single" w:sz="4" w:space="0" w:color="auto"/>
              <w:left w:val="nil"/>
              <w:bottom w:val="single" w:sz="4" w:space="0" w:color="auto"/>
              <w:right w:val="nil"/>
            </w:tcBorders>
          </w:tcPr>
          <w:p w:rsidR="00294496" w:rsidRPr="00294496" w:rsidRDefault="00294496" w:rsidP="00294496">
            <w:pPr>
              <w:rPr>
                <w:rFonts w:cs="Arial"/>
                <w:sz w:val="24"/>
              </w:rPr>
            </w:pPr>
          </w:p>
        </w:tc>
      </w:tr>
      <w:tr w:rsidR="00294496" w:rsidRPr="00294496" w:rsidTr="00044E94">
        <w:tc>
          <w:tcPr>
            <w:tcW w:w="9364" w:type="dxa"/>
            <w:tcBorders>
              <w:top w:val="single" w:sz="4" w:space="0" w:color="auto"/>
              <w:left w:val="single" w:sz="4" w:space="0" w:color="auto"/>
              <w:bottom w:val="single" w:sz="4" w:space="0" w:color="auto"/>
              <w:right w:val="single" w:sz="4" w:space="0" w:color="auto"/>
            </w:tcBorders>
          </w:tcPr>
          <w:p w:rsidR="00294496" w:rsidRPr="00294496" w:rsidRDefault="00294496" w:rsidP="00294496">
            <w:pPr>
              <w:rPr>
                <w:rFonts w:cs="Arial"/>
                <w:sz w:val="24"/>
              </w:rPr>
            </w:pPr>
            <w:r w:rsidRPr="00294496">
              <w:rPr>
                <w:rFonts w:cs="Arial"/>
                <w:sz w:val="24"/>
              </w:rPr>
              <w:t>Equal Opportunities, Legal and Other Implications: Meets EDS2 and WRES requirements</w:t>
            </w:r>
          </w:p>
        </w:tc>
      </w:tr>
      <w:tr w:rsidR="00294496" w:rsidRPr="00294496" w:rsidTr="00044E94">
        <w:tc>
          <w:tcPr>
            <w:tcW w:w="9364" w:type="dxa"/>
            <w:tcBorders>
              <w:top w:val="single" w:sz="4" w:space="0" w:color="auto"/>
              <w:left w:val="nil"/>
              <w:bottom w:val="single" w:sz="4" w:space="0" w:color="auto"/>
              <w:right w:val="nil"/>
            </w:tcBorders>
          </w:tcPr>
          <w:p w:rsidR="00294496" w:rsidRPr="00294496" w:rsidRDefault="00294496" w:rsidP="00294496">
            <w:pPr>
              <w:rPr>
                <w:rFonts w:cs="Arial"/>
                <w:sz w:val="24"/>
              </w:rPr>
            </w:pPr>
          </w:p>
        </w:tc>
      </w:tr>
      <w:tr w:rsidR="00294496" w:rsidRPr="00294496" w:rsidTr="00044E94">
        <w:tc>
          <w:tcPr>
            <w:tcW w:w="9364" w:type="dxa"/>
            <w:tcBorders>
              <w:top w:val="single" w:sz="4" w:space="0" w:color="auto"/>
              <w:left w:val="single" w:sz="4" w:space="0" w:color="auto"/>
              <w:bottom w:val="single" w:sz="4" w:space="0" w:color="auto"/>
              <w:right w:val="single" w:sz="4" w:space="0" w:color="auto"/>
            </w:tcBorders>
          </w:tcPr>
          <w:p w:rsidR="00294496" w:rsidRPr="00294496" w:rsidRDefault="00294496" w:rsidP="00294496">
            <w:pPr>
              <w:rPr>
                <w:rFonts w:cs="Arial"/>
                <w:sz w:val="24"/>
              </w:rPr>
            </w:pPr>
            <w:r w:rsidRPr="00294496">
              <w:rPr>
                <w:rFonts w:cs="Arial"/>
                <w:sz w:val="24"/>
              </w:rPr>
              <w:t>Outcome Required Decision</w:t>
            </w:r>
          </w:p>
        </w:tc>
      </w:tr>
      <w:tr w:rsidR="00294496" w:rsidRPr="00294496" w:rsidTr="00044E94">
        <w:tc>
          <w:tcPr>
            <w:tcW w:w="9364" w:type="dxa"/>
            <w:tcBorders>
              <w:top w:val="single" w:sz="4" w:space="0" w:color="auto"/>
              <w:left w:val="nil"/>
              <w:bottom w:val="single" w:sz="4" w:space="0" w:color="auto"/>
              <w:right w:val="nil"/>
            </w:tcBorders>
          </w:tcPr>
          <w:p w:rsidR="00294496" w:rsidRPr="00294496" w:rsidRDefault="00294496" w:rsidP="00294496">
            <w:pPr>
              <w:rPr>
                <w:rFonts w:cs="Arial"/>
                <w:sz w:val="24"/>
              </w:rPr>
            </w:pPr>
          </w:p>
        </w:tc>
      </w:tr>
      <w:tr w:rsidR="00294496" w:rsidRPr="00294496" w:rsidTr="00044E94">
        <w:tc>
          <w:tcPr>
            <w:tcW w:w="9364" w:type="dxa"/>
            <w:tcBorders>
              <w:top w:val="single" w:sz="4" w:space="0" w:color="auto"/>
              <w:left w:val="single" w:sz="4" w:space="0" w:color="auto"/>
              <w:bottom w:val="single" w:sz="4" w:space="0" w:color="auto"/>
              <w:right w:val="single" w:sz="4" w:space="0" w:color="auto"/>
            </w:tcBorders>
          </w:tcPr>
          <w:p w:rsidR="00294496" w:rsidRPr="00294496" w:rsidRDefault="00294496" w:rsidP="00294496">
            <w:pPr>
              <w:rPr>
                <w:rFonts w:cs="Arial"/>
                <w:color w:val="000000"/>
                <w:sz w:val="24"/>
              </w:rPr>
            </w:pPr>
            <w:r w:rsidRPr="00294496">
              <w:rPr>
                <w:rFonts w:cs="Arial"/>
                <w:color w:val="000000"/>
                <w:sz w:val="24"/>
              </w:rPr>
              <w:t>Link to Policies and Strategies: Trust Strategy/Equality, Diversity and Inclusion Strategy/ Workforce Strategy.</w:t>
            </w:r>
          </w:p>
        </w:tc>
      </w:tr>
    </w:tbl>
    <w:p w:rsidR="00AF04F2" w:rsidRPr="00262A1F" w:rsidRDefault="00AF04F2" w:rsidP="00044E94">
      <w:pPr>
        <w:pStyle w:val="NoSpacing"/>
        <w:rPr>
          <w:rFonts w:ascii="Arial" w:hAnsi="Arial" w:cs="Arial"/>
          <w:sz w:val="24"/>
          <w:szCs w:val="24"/>
        </w:rPr>
      </w:pPr>
    </w:p>
    <w:p w:rsidR="00AF04F2" w:rsidRDefault="00AF04F2">
      <w:pPr>
        <w:spacing w:after="200" w:line="276" w:lineRule="auto"/>
        <w:rPr>
          <w:rFonts w:cs="Arial"/>
          <w:b/>
          <w:sz w:val="24"/>
        </w:rPr>
      </w:pPr>
      <w:r>
        <w:rPr>
          <w:rFonts w:cs="Arial"/>
          <w:b/>
          <w:sz w:val="24"/>
        </w:rPr>
        <w:br w:type="page"/>
      </w:r>
    </w:p>
    <w:p w:rsidR="009B37BF" w:rsidRDefault="009B37BF" w:rsidP="009B37BF">
      <w:pPr>
        <w:rPr>
          <w:rFonts w:cs="Arial"/>
          <w:sz w:val="24"/>
        </w:rPr>
      </w:pPr>
      <w:r>
        <w:rPr>
          <w:rFonts w:cs="Arial"/>
          <w:b/>
          <w:sz w:val="24"/>
        </w:rPr>
        <w:lastRenderedPageBreak/>
        <w:t>Background</w:t>
      </w:r>
    </w:p>
    <w:p w:rsidR="009B37BF" w:rsidRDefault="009B37BF" w:rsidP="009B37BF">
      <w:pPr>
        <w:rPr>
          <w:rFonts w:cs="Arial"/>
          <w:sz w:val="24"/>
        </w:rPr>
      </w:pPr>
    </w:p>
    <w:p w:rsidR="009B37BF" w:rsidRDefault="009B37BF" w:rsidP="009B37BF">
      <w:pPr>
        <w:rPr>
          <w:rFonts w:cs="Arial"/>
          <w:sz w:val="24"/>
        </w:rPr>
      </w:pPr>
      <w:r w:rsidRPr="00C56B4C">
        <w:rPr>
          <w:rFonts w:cs="Arial"/>
          <w:sz w:val="24"/>
        </w:rPr>
        <w:t>The NHS Equality and Diversity Council (EDC) implement</w:t>
      </w:r>
      <w:r>
        <w:rPr>
          <w:rFonts w:cs="Arial"/>
          <w:sz w:val="24"/>
        </w:rPr>
        <w:t>ed</w:t>
      </w:r>
      <w:r w:rsidRPr="00C56B4C">
        <w:rPr>
          <w:rFonts w:cs="Arial"/>
          <w:sz w:val="24"/>
        </w:rPr>
        <w:t xml:space="preserve"> two measures to improve equality across the NHS into the Standard Contract, </w:t>
      </w:r>
      <w:r>
        <w:rPr>
          <w:rFonts w:cs="Arial"/>
          <w:sz w:val="24"/>
        </w:rPr>
        <w:t>from</w:t>
      </w:r>
      <w:r w:rsidR="009810F2">
        <w:rPr>
          <w:rFonts w:cs="Arial"/>
          <w:sz w:val="24"/>
        </w:rPr>
        <w:t xml:space="preserve"> April 2015 under SC13 Equity of Access, Equality and Non-Discrimination, namely Equality Delivery System 2 (EDS2) </w:t>
      </w:r>
      <w:r w:rsidR="00321ACB">
        <w:rPr>
          <w:rFonts w:cs="Arial"/>
          <w:sz w:val="24"/>
        </w:rPr>
        <w:t>and the Workforce Race Equality Standard (WRES).</w:t>
      </w:r>
    </w:p>
    <w:p w:rsidR="00321ACB" w:rsidRDefault="00321ACB" w:rsidP="009B37BF">
      <w:pPr>
        <w:rPr>
          <w:rFonts w:cs="Arial"/>
          <w:sz w:val="24"/>
        </w:rPr>
      </w:pPr>
    </w:p>
    <w:p w:rsidR="00321ACB" w:rsidRDefault="00321ACB" w:rsidP="009B37BF">
      <w:pPr>
        <w:rPr>
          <w:rFonts w:cs="Arial"/>
          <w:sz w:val="24"/>
        </w:rPr>
      </w:pPr>
      <w:r>
        <w:rPr>
          <w:rFonts w:cs="Arial"/>
          <w:sz w:val="24"/>
        </w:rPr>
        <w:t>The contract requires that providers ‘must implement EDS2’ and that ‘the provider must implement the National Workforce Race Equality Standard and submit an annual report to the Co-ordinating Commissioner on its progress in implementing the standard’.</w:t>
      </w:r>
    </w:p>
    <w:p w:rsidR="00321ACB" w:rsidRDefault="00321ACB" w:rsidP="009B37BF">
      <w:pPr>
        <w:rPr>
          <w:rFonts w:cs="Arial"/>
          <w:sz w:val="24"/>
        </w:rPr>
      </w:pPr>
    </w:p>
    <w:p w:rsidR="00321ACB" w:rsidRPr="00C56B4C" w:rsidRDefault="00321ACB" w:rsidP="009B37BF">
      <w:pPr>
        <w:rPr>
          <w:rFonts w:cs="Arial"/>
          <w:sz w:val="24"/>
        </w:rPr>
      </w:pPr>
      <w:r>
        <w:rPr>
          <w:rFonts w:cs="Arial"/>
          <w:sz w:val="24"/>
        </w:rPr>
        <w:t xml:space="preserve">The Trust has complied with both of these requirements since 2015. Acknowledgement of our use of EDS2 is made by our inclusion on NHS England’s EDS dashboard which can be found </w:t>
      </w:r>
      <w:hyperlink r:id="rId9" w:history="1">
        <w:r w:rsidRPr="00321ACB">
          <w:rPr>
            <w:rStyle w:val="Hyperlink"/>
            <w:rFonts w:cs="Arial"/>
            <w:sz w:val="24"/>
          </w:rPr>
          <w:t>here</w:t>
        </w:r>
      </w:hyperlink>
      <w:r>
        <w:rPr>
          <w:rFonts w:cs="Arial"/>
          <w:sz w:val="24"/>
        </w:rPr>
        <w:t>.</w:t>
      </w:r>
      <w:r w:rsidR="00E95153">
        <w:rPr>
          <w:rFonts w:cs="Arial"/>
          <w:sz w:val="24"/>
        </w:rPr>
        <w:t xml:space="preserve"> Our WRES submission has been made to NHS England annually since 2015 and the annual summary can be found </w:t>
      </w:r>
      <w:hyperlink r:id="rId10" w:history="1">
        <w:r w:rsidR="00E95153" w:rsidRPr="00E95153">
          <w:rPr>
            <w:rStyle w:val="Hyperlink"/>
            <w:rFonts w:cs="Arial"/>
            <w:sz w:val="24"/>
          </w:rPr>
          <w:t>here</w:t>
        </w:r>
      </w:hyperlink>
      <w:r w:rsidR="00E95153">
        <w:rPr>
          <w:rFonts w:cs="Arial"/>
          <w:sz w:val="24"/>
        </w:rPr>
        <w:t>.</w:t>
      </w:r>
    </w:p>
    <w:p w:rsidR="009B37BF" w:rsidRPr="00C56B4C" w:rsidRDefault="009B37BF" w:rsidP="009B37BF">
      <w:pPr>
        <w:rPr>
          <w:rFonts w:cs="Arial"/>
          <w:sz w:val="24"/>
        </w:rPr>
      </w:pPr>
    </w:p>
    <w:p w:rsidR="009810F2" w:rsidRDefault="00E95153" w:rsidP="009B37BF">
      <w:pPr>
        <w:rPr>
          <w:rFonts w:cs="Arial"/>
          <w:sz w:val="24"/>
        </w:rPr>
      </w:pPr>
      <w:r>
        <w:rPr>
          <w:rFonts w:cs="Arial"/>
          <w:b/>
          <w:sz w:val="24"/>
        </w:rPr>
        <w:t>EDS2</w:t>
      </w:r>
    </w:p>
    <w:p w:rsidR="00E95153" w:rsidRDefault="00E95153" w:rsidP="009B37BF">
      <w:pPr>
        <w:rPr>
          <w:rFonts w:cs="Arial"/>
          <w:sz w:val="24"/>
        </w:rPr>
      </w:pPr>
    </w:p>
    <w:p w:rsidR="00E95153" w:rsidRDefault="00E95153" w:rsidP="00E95153">
      <w:pPr>
        <w:contextualSpacing/>
        <w:rPr>
          <w:rFonts w:cs="Arial"/>
          <w:sz w:val="24"/>
        </w:rPr>
      </w:pPr>
      <w:r>
        <w:rPr>
          <w:rFonts w:cs="Arial"/>
          <w:sz w:val="24"/>
        </w:rPr>
        <w:t xml:space="preserve">In last year’s report we stated that </w:t>
      </w:r>
      <w:r w:rsidRPr="00E95153">
        <w:rPr>
          <w:rFonts w:cs="Arial"/>
          <w:sz w:val="24"/>
        </w:rPr>
        <w:t>It has become increasingly apparent that the decision to replace an Equality and Diversity strategy with a yearly update of EDS2 has led to a detailed focus on actions, which is important, but lacks the steer that a ‘bigger picture’ strategy could give. It is recommended that consideration is given to the development of a strategy taking a Diversity and Inclusion approach that will have to complement and support the Trust Strategy and the emerging associated support strategies</w:t>
      </w:r>
      <w:r>
        <w:rPr>
          <w:rFonts w:cs="Arial"/>
          <w:sz w:val="24"/>
        </w:rPr>
        <w:t xml:space="preserve">. </w:t>
      </w:r>
      <w:r w:rsidR="00F200DA">
        <w:rPr>
          <w:rFonts w:cs="Arial"/>
          <w:sz w:val="24"/>
        </w:rPr>
        <w:t>This was the agreed action at Trust Board in July 2017.</w:t>
      </w:r>
    </w:p>
    <w:p w:rsidR="00E95153" w:rsidRDefault="00E95153" w:rsidP="00E95153">
      <w:pPr>
        <w:contextualSpacing/>
        <w:rPr>
          <w:rFonts w:cs="Arial"/>
          <w:sz w:val="24"/>
        </w:rPr>
      </w:pPr>
    </w:p>
    <w:p w:rsidR="008000A2" w:rsidRDefault="00516FBA" w:rsidP="00E95153">
      <w:pPr>
        <w:contextualSpacing/>
        <w:rPr>
          <w:rFonts w:cs="Arial"/>
          <w:sz w:val="24"/>
        </w:rPr>
      </w:pPr>
      <w:r>
        <w:rPr>
          <w:rFonts w:cs="Arial"/>
          <w:sz w:val="24"/>
        </w:rPr>
        <w:t>A</w:t>
      </w:r>
      <w:r w:rsidR="00E95153">
        <w:rPr>
          <w:rFonts w:cs="Arial"/>
          <w:sz w:val="24"/>
        </w:rPr>
        <w:t xml:space="preserve"> Draft 2018-2022 Strategy</w:t>
      </w:r>
      <w:r>
        <w:rPr>
          <w:rFonts w:cs="Arial"/>
          <w:sz w:val="24"/>
        </w:rPr>
        <w:t xml:space="preserve"> has been prepared and is ready for consultation to be approved at September Board. </w:t>
      </w:r>
      <w:r w:rsidR="00F200DA">
        <w:rPr>
          <w:rFonts w:cs="Arial"/>
          <w:sz w:val="24"/>
        </w:rPr>
        <w:t xml:space="preserve">It contains high level actions for the four year period of the strategy. </w:t>
      </w:r>
    </w:p>
    <w:p w:rsidR="00516FBA" w:rsidRDefault="00516FBA" w:rsidP="00E95153">
      <w:pPr>
        <w:contextualSpacing/>
        <w:rPr>
          <w:rFonts w:cs="Arial"/>
          <w:sz w:val="24"/>
        </w:rPr>
      </w:pPr>
    </w:p>
    <w:p w:rsidR="008000A2" w:rsidRDefault="008000A2" w:rsidP="00E95153">
      <w:pPr>
        <w:contextualSpacing/>
        <w:rPr>
          <w:rFonts w:cs="Arial"/>
          <w:sz w:val="24"/>
        </w:rPr>
      </w:pPr>
      <w:r>
        <w:rPr>
          <w:rFonts w:cs="Arial"/>
          <w:sz w:val="24"/>
        </w:rPr>
        <w:t>Since March 2018 our locality groups have been collecting evidence to arrive at local EDS2 ratings and local equality actions. When the locality ratings are available it is proposed we will update the Trust-wide EDS2 rating</w:t>
      </w:r>
      <w:r w:rsidR="0042090B">
        <w:rPr>
          <w:rFonts w:cs="Arial"/>
          <w:sz w:val="24"/>
        </w:rPr>
        <w:t xml:space="preserve"> too</w:t>
      </w:r>
      <w:r>
        <w:rPr>
          <w:rFonts w:cs="Arial"/>
          <w:sz w:val="24"/>
        </w:rPr>
        <w:t xml:space="preserve"> as part of our Public Sector Equality Duty reporting requirements – next report due April 2019</w:t>
      </w:r>
      <w:r w:rsidR="00E87BC8">
        <w:rPr>
          <w:rFonts w:cs="Arial"/>
          <w:sz w:val="24"/>
        </w:rPr>
        <w:t>.</w:t>
      </w:r>
      <w:r w:rsidR="0042090B">
        <w:rPr>
          <w:rFonts w:cs="Arial"/>
          <w:sz w:val="24"/>
        </w:rPr>
        <w:t xml:space="preserve"> It is proposed that EDS2 grades be agreed in consultation </w:t>
      </w:r>
      <w:r w:rsidR="00AD3392">
        <w:rPr>
          <w:rFonts w:cs="Arial"/>
          <w:sz w:val="24"/>
        </w:rPr>
        <w:t xml:space="preserve">with our partners to include service user. </w:t>
      </w:r>
      <w:proofErr w:type="gramStart"/>
      <w:r w:rsidR="00AD3392">
        <w:rPr>
          <w:rFonts w:cs="Arial"/>
          <w:sz w:val="24"/>
        </w:rPr>
        <w:t>carer</w:t>
      </w:r>
      <w:proofErr w:type="gramEnd"/>
      <w:r w:rsidR="00AD3392">
        <w:rPr>
          <w:rFonts w:cs="Arial"/>
          <w:sz w:val="24"/>
        </w:rPr>
        <w:t xml:space="preserve"> and governor representation, plus interested groups from each of the localities.</w:t>
      </w:r>
    </w:p>
    <w:p w:rsidR="0042090B" w:rsidRDefault="0042090B" w:rsidP="00E95153">
      <w:pPr>
        <w:contextualSpacing/>
        <w:rPr>
          <w:rFonts w:cs="Arial"/>
          <w:sz w:val="24"/>
        </w:rPr>
      </w:pPr>
    </w:p>
    <w:p w:rsidR="0042090B" w:rsidRPr="0042090B" w:rsidRDefault="0042090B" w:rsidP="00E95153">
      <w:pPr>
        <w:contextualSpacing/>
        <w:rPr>
          <w:rFonts w:cs="Arial"/>
          <w:b/>
          <w:sz w:val="24"/>
        </w:rPr>
      </w:pPr>
      <w:r>
        <w:rPr>
          <w:rFonts w:cs="Arial"/>
          <w:b/>
          <w:sz w:val="24"/>
        </w:rPr>
        <w:t>WRES</w:t>
      </w:r>
    </w:p>
    <w:p w:rsidR="00E95153" w:rsidRDefault="00E95153" w:rsidP="009B37BF">
      <w:pPr>
        <w:rPr>
          <w:rFonts w:cs="Arial"/>
          <w:sz w:val="24"/>
        </w:rPr>
      </w:pPr>
    </w:p>
    <w:p w:rsidR="00AD3392" w:rsidRDefault="00AD3392" w:rsidP="009B37BF">
      <w:pPr>
        <w:rPr>
          <w:rFonts w:cs="Arial"/>
          <w:sz w:val="24"/>
        </w:rPr>
      </w:pPr>
      <w:r>
        <w:rPr>
          <w:rFonts w:cs="Arial"/>
          <w:sz w:val="24"/>
        </w:rPr>
        <w:t>The National findings from the 2017 submissions can be summarised as follows:</w:t>
      </w:r>
    </w:p>
    <w:p w:rsidR="00AD3392" w:rsidRDefault="00AD3392" w:rsidP="009B37BF">
      <w:pPr>
        <w:rPr>
          <w:rFonts w:cs="Arial"/>
          <w:sz w:val="24"/>
        </w:rPr>
      </w:pPr>
    </w:p>
    <w:p w:rsidR="00AD3392" w:rsidRDefault="00422FA8" w:rsidP="00422FA8">
      <w:pPr>
        <w:pStyle w:val="ListParagraph"/>
        <w:numPr>
          <w:ilvl w:val="0"/>
          <w:numId w:val="2"/>
        </w:numPr>
        <w:rPr>
          <w:rFonts w:cs="Arial"/>
          <w:sz w:val="24"/>
        </w:rPr>
      </w:pPr>
      <w:r w:rsidRPr="00422FA8">
        <w:rPr>
          <w:rFonts w:cs="Arial"/>
          <w:sz w:val="24"/>
        </w:rPr>
        <w:t>White shortlisted job applicants are 1.60 times more likely to be appointed from shortlisting than BME shortlisted applicants, who continue to remain absent from senior grades within Agenda for Change (</w:t>
      </w:r>
      <w:proofErr w:type="spellStart"/>
      <w:r w:rsidRPr="00422FA8">
        <w:rPr>
          <w:rFonts w:cs="Arial"/>
          <w:sz w:val="24"/>
        </w:rPr>
        <w:t>AfC</w:t>
      </w:r>
      <w:proofErr w:type="spellEnd"/>
      <w:r w:rsidRPr="00422FA8">
        <w:rPr>
          <w:rFonts w:cs="Arial"/>
          <w:sz w:val="24"/>
        </w:rPr>
        <w:t>) pay bands</w:t>
      </w:r>
      <w:r w:rsidR="007F1A6B">
        <w:rPr>
          <w:rFonts w:cs="Arial"/>
          <w:sz w:val="24"/>
        </w:rPr>
        <w:t xml:space="preserve"> (NTW 1.54)</w:t>
      </w:r>
    </w:p>
    <w:p w:rsidR="00422FA8" w:rsidRDefault="00422FA8" w:rsidP="00422FA8">
      <w:pPr>
        <w:pStyle w:val="ListParagraph"/>
        <w:numPr>
          <w:ilvl w:val="0"/>
          <w:numId w:val="2"/>
        </w:numPr>
        <w:rPr>
          <w:rFonts w:cs="Arial"/>
          <w:sz w:val="24"/>
        </w:rPr>
      </w:pPr>
      <w:r w:rsidRPr="00422FA8">
        <w:rPr>
          <w:rFonts w:cs="Arial"/>
          <w:sz w:val="24"/>
        </w:rPr>
        <w:t xml:space="preserve">BME </w:t>
      </w:r>
      <w:proofErr w:type="gramStart"/>
      <w:r w:rsidRPr="00422FA8">
        <w:rPr>
          <w:rFonts w:cs="Arial"/>
          <w:sz w:val="24"/>
        </w:rPr>
        <w:t>staff are</w:t>
      </w:r>
      <w:proofErr w:type="gramEnd"/>
      <w:r w:rsidRPr="00422FA8">
        <w:rPr>
          <w:rFonts w:cs="Arial"/>
          <w:sz w:val="24"/>
        </w:rPr>
        <w:t xml:space="preserve"> 1.37 times more likely to enter the formal disciplinary process in comparison to white staff. This is an</w:t>
      </w:r>
      <w:r>
        <w:rPr>
          <w:rFonts w:cs="Arial"/>
          <w:sz w:val="24"/>
        </w:rPr>
        <w:t xml:space="preserve"> </w:t>
      </w:r>
      <w:r w:rsidRPr="00422FA8">
        <w:rPr>
          <w:rFonts w:cs="Arial"/>
          <w:sz w:val="24"/>
        </w:rPr>
        <w:t>improvement on the 2016 figure of 1.56.</w:t>
      </w:r>
      <w:r w:rsidR="00311D64">
        <w:rPr>
          <w:rFonts w:cs="Arial"/>
          <w:sz w:val="24"/>
        </w:rPr>
        <w:t xml:space="preserve"> (NTW went from parity in 15/16 to twice as likely for </w:t>
      </w:r>
      <w:r w:rsidR="00805CF5">
        <w:rPr>
          <w:rFonts w:cs="Arial"/>
          <w:sz w:val="24"/>
        </w:rPr>
        <w:t>BME</w:t>
      </w:r>
      <w:r w:rsidR="00311D64">
        <w:rPr>
          <w:rFonts w:cs="Arial"/>
          <w:sz w:val="24"/>
        </w:rPr>
        <w:t xml:space="preserve"> staff to enter the </w:t>
      </w:r>
      <w:r w:rsidR="00311D64">
        <w:rPr>
          <w:rFonts w:cs="Arial"/>
          <w:sz w:val="24"/>
        </w:rPr>
        <w:lastRenderedPageBreak/>
        <w:t>disciplinary process. Though it should be stated that this likelihood is based on only 8 cases).</w:t>
      </w:r>
    </w:p>
    <w:p w:rsidR="00422FA8" w:rsidRDefault="00422FA8" w:rsidP="00422FA8">
      <w:pPr>
        <w:pStyle w:val="ListParagraph"/>
        <w:numPr>
          <w:ilvl w:val="0"/>
          <w:numId w:val="2"/>
        </w:numPr>
        <w:rPr>
          <w:rFonts w:cs="Arial"/>
          <w:sz w:val="24"/>
        </w:rPr>
      </w:pPr>
      <w:r w:rsidRPr="00422FA8">
        <w:rPr>
          <w:rFonts w:cs="Arial"/>
          <w:sz w:val="24"/>
        </w:rPr>
        <w:t xml:space="preserve">BME </w:t>
      </w:r>
      <w:proofErr w:type="gramStart"/>
      <w:r w:rsidRPr="00422FA8">
        <w:rPr>
          <w:rFonts w:cs="Arial"/>
          <w:sz w:val="24"/>
        </w:rPr>
        <w:t>staff remain</w:t>
      </w:r>
      <w:proofErr w:type="gramEnd"/>
      <w:r w:rsidRPr="00422FA8">
        <w:rPr>
          <w:rFonts w:cs="Arial"/>
          <w:sz w:val="24"/>
        </w:rPr>
        <w:t xml:space="preserve"> significantly more likely to experience discrimination at work from colleagues and their managers</w:t>
      </w:r>
      <w:r>
        <w:rPr>
          <w:rFonts w:cs="Arial"/>
          <w:sz w:val="24"/>
        </w:rPr>
        <w:t xml:space="preserve"> </w:t>
      </w:r>
      <w:r w:rsidRPr="00422FA8">
        <w:rPr>
          <w:rFonts w:cs="Arial"/>
          <w:sz w:val="24"/>
        </w:rPr>
        <w:t>compared to white staff, at 14% and 6% respectively.</w:t>
      </w:r>
      <w:r w:rsidR="00311D64">
        <w:rPr>
          <w:rFonts w:cs="Arial"/>
          <w:sz w:val="24"/>
        </w:rPr>
        <w:t xml:space="preserve"> (NTW </w:t>
      </w:r>
      <w:r w:rsidR="00805CF5">
        <w:rPr>
          <w:rFonts w:cs="Arial"/>
          <w:sz w:val="24"/>
        </w:rPr>
        <w:t>BME</w:t>
      </w:r>
      <w:r w:rsidR="00311D64">
        <w:rPr>
          <w:rFonts w:cs="Arial"/>
          <w:sz w:val="24"/>
        </w:rPr>
        <w:t xml:space="preserve"> staff 12% White </w:t>
      </w:r>
      <w:r w:rsidR="009B7E04">
        <w:rPr>
          <w:rFonts w:cs="Arial"/>
          <w:sz w:val="24"/>
        </w:rPr>
        <w:t>5</w:t>
      </w:r>
      <w:r w:rsidR="00311D64">
        <w:rPr>
          <w:rFonts w:cs="Arial"/>
          <w:sz w:val="24"/>
        </w:rPr>
        <w:t>%)</w:t>
      </w:r>
    </w:p>
    <w:p w:rsidR="00422FA8" w:rsidRDefault="00422FA8" w:rsidP="00422FA8">
      <w:pPr>
        <w:pStyle w:val="ListParagraph"/>
        <w:numPr>
          <w:ilvl w:val="0"/>
          <w:numId w:val="2"/>
        </w:numPr>
        <w:rPr>
          <w:rFonts w:cs="Arial"/>
          <w:sz w:val="24"/>
        </w:rPr>
      </w:pPr>
      <w:r w:rsidRPr="00422FA8">
        <w:rPr>
          <w:rFonts w:cs="Arial"/>
          <w:sz w:val="24"/>
        </w:rPr>
        <w:t>Similar proportions of white (28%) and BME (29%) staff are likely to experience harassment, bullying or abuse from patients,</w:t>
      </w:r>
      <w:r>
        <w:rPr>
          <w:rFonts w:cs="Arial"/>
          <w:sz w:val="24"/>
        </w:rPr>
        <w:t xml:space="preserve"> </w:t>
      </w:r>
      <w:r w:rsidRPr="00422FA8">
        <w:rPr>
          <w:rFonts w:cs="Arial"/>
          <w:sz w:val="24"/>
        </w:rPr>
        <w:t>relatives and members of the public in the last 12 months.</w:t>
      </w:r>
      <w:r w:rsidR="009B7E04">
        <w:rPr>
          <w:rFonts w:cs="Arial"/>
          <w:sz w:val="24"/>
        </w:rPr>
        <w:t xml:space="preserve"> (NTW </w:t>
      </w:r>
      <w:r w:rsidR="00805CF5">
        <w:rPr>
          <w:rFonts w:cs="Arial"/>
          <w:sz w:val="24"/>
        </w:rPr>
        <w:t>BME</w:t>
      </w:r>
      <w:r w:rsidR="009B7E04">
        <w:rPr>
          <w:rFonts w:cs="Arial"/>
          <w:sz w:val="24"/>
        </w:rPr>
        <w:t xml:space="preserve"> Staff 50% White 31%)</w:t>
      </w:r>
    </w:p>
    <w:p w:rsidR="00422FA8" w:rsidRDefault="00422FA8" w:rsidP="00422FA8">
      <w:pPr>
        <w:pStyle w:val="ListParagraph"/>
        <w:numPr>
          <w:ilvl w:val="0"/>
          <w:numId w:val="2"/>
        </w:numPr>
        <w:rPr>
          <w:rFonts w:cs="Arial"/>
          <w:sz w:val="24"/>
        </w:rPr>
      </w:pPr>
      <w:r w:rsidRPr="00422FA8">
        <w:rPr>
          <w:rFonts w:cs="Arial"/>
          <w:sz w:val="24"/>
        </w:rPr>
        <w:t>The overall percentage of BME staff experiencing harassment, bullying or abuse from other colleagues in the last 12 months dropped from 27% to 26%. BME staff remain more likely than white staff to experience harassment, bullying or abuse from</w:t>
      </w:r>
      <w:r>
        <w:rPr>
          <w:rFonts w:cs="Arial"/>
          <w:sz w:val="24"/>
        </w:rPr>
        <w:t xml:space="preserve"> </w:t>
      </w:r>
      <w:r w:rsidRPr="00422FA8">
        <w:rPr>
          <w:rFonts w:cs="Arial"/>
          <w:sz w:val="24"/>
        </w:rPr>
        <w:t>other colleagues in the last 12 months</w:t>
      </w:r>
      <w:proofErr w:type="gramStart"/>
      <w:r w:rsidRPr="00422FA8">
        <w:rPr>
          <w:rFonts w:cs="Arial"/>
          <w:sz w:val="24"/>
        </w:rPr>
        <w:t>.</w:t>
      </w:r>
      <w:r w:rsidR="009B7E04">
        <w:rPr>
          <w:rFonts w:cs="Arial"/>
          <w:sz w:val="24"/>
        </w:rPr>
        <w:t>(</w:t>
      </w:r>
      <w:proofErr w:type="gramEnd"/>
      <w:r w:rsidR="009B7E04">
        <w:rPr>
          <w:rFonts w:cs="Arial"/>
          <w:sz w:val="24"/>
        </w:rPr>
        <w:t>For NTW this increased from 19%-24% - a danger of just looking at the average).</w:t>
      </w:r>
    </w:p>
    <w:p w:rsidR="00422FA8" w:rsidRDefault="00422FA8" w:rsidP="00422FA8">
      <w:pPr>
        <w:pStyle w:val="ListParagraph"/>
        <w:numPr>
          <w:ilvl w:val="0"/>
          <w:numId w:val="2"/>
        </w:numPr>
        <w:rPr>
          <w:rFonts w:cs="Arial"/>
          <w:sz w:val="24"/>
        </w:rPr>
      </w:pPr>
      <w:r w:rsidRPr="00422FA8">
        <w:rPr>
          <w:rFonts w:cs="Arial"/>
          <w:sz w:val="24"/>
        </w:rPr>
        <w:t>There is a steady increase in the number of NHS trusts that have more than one BME board member. There are now a total of 25 NHS trusts with three or more BME members of the</w:t>
      </w:r>
      <w:r>
        <w:rPr>
          <w:rFonts w:cs="Arial"/>
          <w:sz w:val="24"/>
        </w:rPr>
        <w:t xml:space="preserve"> </w:t>
      </w:r>
      <w:r w:rsidRPr="00422FA8">
        <w:rPr>
          <w:rFonts w:cs="Arial"/>
          <w:sz w:val="24"/>
        </w:rPr>
        <w:t>board; an increase of 9 trusts since 2016.</w:t>
      </w:r>
      <w:r w:rsidR="009B7E04">
        <w:rPr>
          <w:rFonts w:cs="Arial"/>
          <w:sz w:val="24"/>
        </w:rPr>
        <w:t xml:space="preserve"> (For NTW Board representation at 7.1% greater than Trust representation of 3.4%).</w:t>
      </w:r>
    </w:p>
    <w:p w:rsidR="002D15B7" w:rsidRDefault="002D15B7" w:rsidP="002D15B7">
      <w:pPr>
        <w:rPr>
          <w:rFonts w:cs="Arial"/>
          <w:sz w:val="24"/>
        </w:rPr>
      </w:pPr>
    </w:p>
    <w:p w:rsidR="002D15B7" w:rsidRDefault="007F1A6B" w:rsidP="002D15B7">
      <w:pPr>
        <w:rPr>
          <w:rFonts w:cs="Arial"/>
          <w:sz w:val="24"/>
        </w:rPr>
      </w:pPr>
      <w:r>
        <w:rPr>
          <w:rFonts w:cs="Arial"/>
          <w:sz w:val="24"/>
        </w:rPr>
        <w:t>F</w:t>
      </w:r>
      <w:r w:rsidR="002D15B7" w:rsidRPr="002D15B7">
        <w:rPr>
          <w:rFonts w:cs="Arial"/>
          <w:sz w:val="24"/>
        </w:rPr>
        <w:t>our of the WRES indicators are drawn from the national</w:t>
      </w:r>
      <w:r>
        <w:rPr>
          <w:rFonts w:cs="Arial"/>
          <w:sz w:val="24"/>
        </w:rPr>
        <w:t xml:space="preserve"> </w:t>
      </w:r>
      <w:r w:rsidR="002D15B7" w:rsidRPr="002D15B7">
        <w:rPr>
          <w:rFonts w:cs="Arial"/>
          <w:sz w:val="24"/>
        </w:rPr>
        <w:t>NHS staff survey. Their reliability is dependent on the size</w:t>
      </w:r>
      <w:r>
        <w:rPr>
          <w:rFonts w:cs="Arial"/>
          <w:sz w:val="24"/>
        </w:rPr>
        <w:t xml:space="preserve"> </w:t>
      </w:r>
      <w:r w:rsidR="002D15B7" w:rsidRPr="002D15B7">
        <w:rPr>
          <w:rFonts w:cs="Arial"/>
          <w:sz w:val="24"/>
        </w:rPr>
        <w:t>of samples surveyed, the response rates, and whether</w:t>
      </w:r>
      <w:r>
        <w:rPr>
          <w:rFonts w:cs="Arial"/>
          <w:sz w:val="24"/>
        </w:rPr>
        <w:t xml:space="preserve"> </w:t>
      </w:r>
      <w:r w:rsidR="002D15B7" w:rsidRPr="002D15B7">
        <w:rPr>
          <w:rFonts w:cs="Arial"/>
          <w:sz w:val="24"/>
        </w:rPr>
        <w:t>the numbers of BME staff are so small that they may</w:t>
      </w:r>
      <w:r>
        <w:rPr>
          <w:rFonts w:cs="Arial"/>
          <w:sz w:val="24"/>
        </w:rPr>
        <w:t xml:space="preserve"> </w:t>
      </w:r>
      <w:r w:rsidR="002D15B7" w:rsidRPr="002D15B7">
        <w:rPr>
          <w:rFonts w:cs="Arial"/>
          <w:sz w:val="24"/>
        </w:rPr>
        <w:t>undermine the confidence in the data.</w:t>
      </w:r>
      <w:r>
        <w:rPr>
          <w:rFonts w:cs="Arial"/>
          <w:sz w:val="24"/>
        </w:rPr>
        <w:t xml:space="preserve"> For our 2016 Staff Survey on which the national report is based 104 </w:t>
      </w:r>
      <w:r w:rsidR="00805CF5">
        <w:rPr>
          <w:rFonts w:cs="Arial"/>
          <w:sz w:val="24"/>
        </w:rPr>
        <w:t>BME</w:t>
      </w:r>
      <w:r>
        <w:rPr>
          <w:rFonts w:cs="Arial"/>
          <w:sz w:val="24"/>
        </w:rPr>
        <w:t xml:space="preserve"> of Staff out of a possible 232 staff completed the survey</w:t>
      </w:r>
    </w:p>
    <w:p w:rsidR="009B7E04" w:rsidRDefault="009B7E04" w:rsidP="002D15B7">
      <w:pPr>
        <w:rPr>
          <w:rFonts w:cs="Arial"/>
          <w:sz w:val="24"/>
        </w:rPr>
      </w:pPr>
    </w:p>
    <w:p w:rsidR="009B7E04" w:rsidRDefault="0073726D" w:rsidP="002D15B7">
      <w:pPr>
        <w:rPr>
          <w:rFonts w:cs="Arial"/>
          <w:sz w:val="24"/>
        </w:rPr>
      </w:pPr>
      <w:r>
        <w:rPr>
          <w:rFonts w:cs="Arial"/>
          <w:sz w:val="24"/>
        </w:rPr>
        <w:t>Regionally, (with caveats about the accuracy of %BME Board representation), we compare as follows:</w:t>
      </w:r>
    </w:p>
    <w:p w:rsidR="0073726D" w:rsidRDefault="0073726D" w:rsidP="00A80B39">
      <w:pPr>
        <w:jc w:val="center"/>
        <w:rPr>
          <w:rFonts w:cs="Arial"/>
          <w:sz w:val="24"/>
        </w:rPr>
      </w:pPr>
      <w:r>
        <w:rPr>
          <w:rFonts w:cs="Arial"/>
          <w:noProof/>
          <w:sz w:val="24"/>
          <w:lang w:eastAsia="en-GB"/>
        </w:rPr>
        <w:drawing>
          <wp:inline distT="0" distB="0" distL="0" distR="0" wp14:anchorId="1583C25A" wp14:editId="7AC3AE1A">
            <wp:extent cx="6231600" cy="255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1600" cy="2559600"/>
                    </a:xfrm>
                    <a:prstGeom prst="rect">
                      <a:avLst/>
                    </a:prstGeom>
                    <a:noFill/>
                    <a:ln>
                      <a:noFill/>
                    </a:ln>
                  </pic:spPr>
                </pic:pic>
              </a:graphicData>
            </a:graphic>
          </wp:inline>
        </w:drawing>
      </w:r>
    </w:p>
    <w:p w:rsidR="0073726D" w:rsidRDefault="0073726D" w:rsidP="002D15B7">
      <w:pPr>
        <w:rPr>
          <w:rFonts w:cs="Arial"/>
          <w:sz w:val="24"/>
        </w:rPr>
      </w:pPr>
    </w:p>
    <w:p w:rsidR="0073726D" w:rsidRDefault="0073726D" w:rsidP="002D15B7">
      <w:pPr>
        <w:rPr>
          <w:rFonts w:cs="Arial"/>
          <w:sz w:val="24"/>
        </w:rPr>
      </w:pPr>
      <w:r>
        <w:rPr>
          <w:rFonts w:cs="Arial"/>
          <w:noProof/>
          <w:sz w:val="24"/>
          <w:lang w:eastAsia="en-GB"/>
        </w:rPr>
        <w:drawing>
          <wp:inline distT="0" distB="0" distL="0" distR="0" wp14:anchorId="3FFB14DE" wp14:editId="1E5C5CCC">
            <wp:extent cx="5731510" cy="87719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877196"/>
                    </a:xfrm>
                    <a:prstGeom prst="rect">
                      <a:avLst/>
                    </a:prstGeom>
                    <a:noFill/>
                    <a:ln>
                      <a:noFill/>
                    </a:ln>
                  </pic:spPr>
                </pic:pic>
              </a:graphicData>
            </a:graphic>
          </wp:inline>
        </w:drawing>
      </w:r>
    </w:p>
    <w:p w:rsidR="0073726D" w:rsidRDefault="0073726D" w:rsidP="002D15B7">
      <w:pPr>
        <w:rPr>
          <w:rFonts w:cs="Arial"/>
          <w:sz w:val="24"/>
        </w:rPr>
      </w:pPr>
      <w:r>
        <w:rPr>
          <w:rFonts w:cs="Arial"/>
          <w:sz w:val="24"/>
        </w:rPr>
        <w:lastRenderedPageBreak/>
        <w:t>Region-wide indicates that there is considerable work to do on this agenda</w:t>
      </w:r>
      <w:r w:rsidR="00FC51AD">
        <w:rPr>
          <w:rFonts w:cs="Arial"/>
          <w:sz w:val="24"/>
        </w:rPr>
        <w:t>. NTW performance on the Staff Survey metrics is broadly good, but we know when compared to the national WRES data is no better than average.</w:t>
      </w:r>
      <w:r w:rsidR="00A80B39">
        <w:rPr>
          <w:rFonts w:cs="Arial"/>
          <w:sz w:val="24"/>
        </w:rPr>
        <w:t xml:space="preserve"> </w:t>
      </w:r>
    </w:p>
    <w:p w:rsidR="00A80B39" w:rsidRDefault="00A80B39" w:rsidP="002D15B7">
      <w:pPr>
        <w:rPr>
          <w:rFonts w:cs="Arial"/>
          <w:sz w:val="24"/>
        </w:rPr>
      </w:pPr>
    </w:p>
    <w:p w:rsidR="00A80B39" w:rsidRDefault="00A80B39" w:rsidP="002D15B7">
      <w:pPr>
        <w:rPr>
          <w:rFonts w:cs="Arial"/>
          <w:sz w:val="24"/>
        </w:rPr>
      </w:pPr>
      <w:r>
        <w:rPr>
          <w:rFonts w:cs="Arial"/>
          <w:sz w:val="24"/>
        </w:rPr>
        <w:t>We are entering phase two of WRES implementation. NHS England state that</w:t>
      </w:r>
      <w:r w:rsidR="000A6C68">
        <w:rPr>
          <w:rFonts w:cs="Arial"/>
          <w:sz w:val="24"/>
        </w:rPr>
        <w:t>,</w:t>
      </w:r>
      <w:r>
        <w:rPr>
          <w:rFonts w:cs="Arial"/>
          <w:sz w:val="24"/>
        </w:rPr>
        <w:t xml:space="preserve"> this is about </w:t>
      </w:r>
      <w:r w:rsidRPr="00A80B39">
        <w:rPr>
          <w:rFonts w:cs="Arial"/>
          <w:sz w:val="24"/>
        </w:rPr>
        <w:t>enabling people to work comfortably with race equality. Through communications and engagement we will work to change the deep rooted cultures of race inequality in the system, learn more about the importance of equity, to build capacity and capability to work with race.</w:t>
      </w:r>
      <w:r>
        <w:rPr>
          <w:rFonts w:cs="Arial"/>
          <w:sz w:val="24"/>
        </w:rPr>
        <w:t xml:space="preserve"> Part of the capacity and capability to work with race is to work more at a regional level to pull up performance on the metrics by sharing and developing best practice together. A first regional wide WRES focused meeting is taking place in July and will be attended by the Trust E&amp;D Lead and the Chair of the </w:t>
      </w:r>
      <w:r w:rsidR="00805CF5">
        <w:rPr>
          <w:rFonts w:cs="Arial"/>
          <w:sz w:val="24"/>
        </w:rPr>
        <w:t>BME</w:t>
      </w:r>
      <w:r>
        <w:rPr>
          <w:rFonts w:cs="Arial"/>
          <w:sz w:val="24"/>
        </w:rPr>
        <w:t xml:space="preserve"> Staff Network.</w:t>
      </w:r>
    </w:p>
    <w:p w:rsidR="00A80B39" w:rsidRDefault="00A80B39" w:rsidP="002D15B7">
      <w:pPr>
        <w:rPr>
          <w:rFonts w:cs="Arial"/>
          <w:sz w:val="24"/>
        </w:rPr>
      </w:pPr>
    </w:p>
    <w:p w:rsidR="00925C6B" w:rsidRDefault="00925C6B" w:rsidP="002D15B7">
      <w:pPr>
        <w:rPr>
          <w:rFonts w:cs="Arial"/>
          <w:sz w:val="24"/>
        </w:rPr>
      </w:pPr>
      <w:r>
        <w:rPr>
          <w:rFonts w:cs="Arial"/>
          <w:b/>
          <w:sz w:val="24"/>
        </w:rPr>
        <w:t>Actions arising from 2017 Submission</w:t>
      </w:r>
    </w:p>
    <w:p w:rsidR="00925C6B" w:rsidRDefault="00925C6B" w:rsidP="002D15B7">
      <w:pPr>
        <w:rPr>
          <w:rFonts w:cs="Arial"/>
          <w:sz w:val="24"/>
        </w:rPr>
      </w:pPr>
    </w:p>
    <w:p w:rsidR="00925C6B" w:rsidRDefault="00925C6B" w:rsidP="002D15B7">
      <w:pPr>
        <w:rPr>
          <w:rFonts w:cs="Arial"/>
          <w:sz w:val="24"/>
        </w:rPr>
      </w:pPr>
      <w:r>
        <w:rPr>
          <w:rFonts w:cs="Arial"/>
          <w:sz w:val="24"/>
        </w:rPr>
        <w:t xml:space="preserve">An analysis of </w:t>
      </w:r>
      <w:r w:rsidR="00805CF5">
        <w:rPr>
          <w:rFonts w:cs="Arial"/>
          <w:sz w:val="24"/>
        </w:rPr>
        <w:t>BME</w:t>
      </w:r>
      <w:r>
        <w:rPr>
          <w:rFonts w:cs="Arial"/>
          <w:sz w:val="24"/>
        </w:rPr>
        <w:t xml:space="preserve"> disciplinary and grievance cases has taken place which has looked at the trend since 2014 – the year on which the first WRES submission data was based on.</w:t>
      </w:r>
    </w:p>
    <w:p w:rsidR="00925C6B" w:rsidRDefault="00925C6B" w:rsidP="002D15B7">
      <w:pPr>
        <w:rPr>
          <w:rFonts w:cs="Arial"/>
          <w:sz w:val="24"/>
        </w:rPr>
      </w:pPr>
    </w:p>
    <w:p w:rsidR="00925C6B" w:rsidRDefault="00925C6B" w:rsidP="002D15B7">
      <w:pPr>
        <w:rPr>
          <w:rFonts w:cs="Arial"/>
          <w:sz w:val="24"/>
        </w:rPr>
      </w:pPr>
      <w:r>
        <w:rPr>
          <w:rFonts w:ascii="Calibri" w:hAnsi="Calibri"/>
          <w:noProof/>
          <w:sz w:val="32"/>
          <w:szCs w:val="32"/>
          <w:lang w:eastAsia="en-GB"/>
        </w:rPr>
        <w:drawing>
          <wp:inline distT="0" distB="0" distL="0" distR="0" wp14:anchorId="2B07A188" wp14:editId="5ECCB300">
            <wp:extent cx="5731510" cy="2415791"/>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415791"/>
                    </a:xfrm>
                    <a:prstGeom prst="rect">
                      <a:avLst/>
                    </a:prstGeom>
                    <a:noFill/>
                  </pic:spPr>
                </pic:pic>
              </a:graphicData>
            </a:graphic>
          </wp:inline>
        </w:drawing>
      </w:r>
    </w:p>
    <w:p w:rsidR="00925C6B" w:rsidRDefault="00925C6B" w:rsidP="002D15B7">
      <w:pPr>
        <w:rPr>
          <w:rFonts w:cs="Arial"/>
          <w:sz w:val="24"/>
        </w:rPr>
      </w:pPr>
    </w:p>
    <w:p w:rsidR="00925C6B" w:rsidRDefault="00925C6B" w:rsidP="002D15B7">
      <w:pPr>
        <w:rPr>
          <w:rFonts w:cs="Arial"/>
          <w:sz w:val="24"/>
        </w:rPr>
      </w:pPr>
      <w:r>
        <w:rPr>
          <w:rFonts w:cs="Arial"/>
          <w:sz w:val="24"/>
        </w:rPr>
        <w:t xml:space="preserve">Taking this data </w:t>
      </w:r>
      <w:r w:rsidR="00DE5615">
        <w:rPr>
          <w:rFonts w:cs="Arial"/>
          <w:sz w:val="24"/>
        </w:rPr>
        <w:t xml:space="preserve">to the </w:t>
      </w:r>
      <w:r w:rsidR="00805CF5">
        <w:rPr>
          <w:rFonts w:cs="Arial"/>
          <w:sz w:val="24"/>
        </w:rPr>
        <w:t>BME</w:t>
      </w:r>
      <w:r w:rsidR="00DE5615">
        <w:rPr>
          <w:rFonts w:cs="Arial"/>
          <w:sz w:val="24"/>
        </w:rPr>
        <w:t xml:space="preserve"> Staff Network, it was felt by the network members that differences in culture may explain issues such behaviour deemed to be inappropriate towards patients and provides further impetus for us to adopt the </w:t>
      </w:r>
      <w:r w:rsidR="009735F0">
        <w:rPr>
          <w:rFonts w:cs="Arial"/>
          <w:sz w:val="24"/>
        </w:rPr>
        <w:t xml:space="preserve">RCN’s </w:t>
      </w:r>
      <w:r w:rsidR="00DE5615">
        <w:rPr>
          <w:rFonts w:cs="Arial"/>
          <w:sz w:val="24"/>
        </w:rPr>
        <w:t>Cultural Ambassador Programme approach.</w:t>
      </w:r>
    </w:p>
    <w:p w:rsidR="00DE5615" w:rsidRDefault="00DE5615" w:rsidP="002D15B7">
      <w:pPr>
        <w:rPr>
          <w:rFonts w:cs="Arial"/>
          <w:sz w:val="24"/>
        </w:rPr>
      </w:pPr>
    </w:p>
    <w:p w:rsidR="00DE5615" w:rsidRDefault="009735F0" w:rsidP="009735F0">
      <w:pPr>
        <w:rPr>
          <w:rFonts w:cs="Arial"/>
          <w:sz w:val="24"/>
        </w:rPr>
      </w:pPr>
      <w:r w:rsidRPr="009735F0">
        <w:rPr>
          <w:rFonts w:cs="Arial"/>
          <w:sz w:val="24"/>
        </w:rPr>
        <w:t>The cultural ambassador is a voluntary role established b</w:t>
      </w:r>
      <w:r>
        <w:rPr>
          <w:rFonts w:cs="Arial"/>
          <w:sz w:val="24"/>
        </w:rPr>
        <w:t>y the Royal College of Nursing</w:t>
      </w:r>
      <w:r w:rsidR="00240203">
        <w:rPr>
          <w:rFonts w:cs="Arial"/>
          <w:sz w:val="24"/>
        </w:rPr>
        <w:t>.</w:t>
      </w:r>
      <w:r>
        <w:rPr>
          <w:rFonts w:cs="Arial"/>
          <w:sz w:val="24"/>
        </w:rPr>
        <w:t xml:space="preserve"> </w:t>
      </w:r>
      <w:r w:rsidRPr="009735F0">
        <w:rPr>
          <w:rFonts w:cs="Arial"/>
          <w:sz w:val="24"/>
        </w:rPr>
        <w:t xml:space="preserve">Volunteers will be a member of investigation teams and panels considering disciplinary allegations against </w:t>
      </w:r>
      <w:r>
        <w:rPr>
          <w:rFonts w:cs="Arial"/>
          <w:sz w:val="24"/>
        </w:rPr>
        <w:t>B</w:t>
      </w:r>
      <w:r w:rsidRPr="009735F0">
        <w:rPr>
          <w:rFonts w:cs="Arial"/>
          <w:sz w:val="24"/>
        </w:rPr>
        <w:t xml:space="preserve">lack </w:t>
      </w:r>
      <w:r>
        <w:rPr>
          <w:rFonts w:cs="Arial"/>
          <w:sz w:val="24"/>
        </w:rPr>
        <w:t xml:space="preserve">Asian </w:t>
      </w:r>
      <w:r w:rsidRPr="009735F0">
        <w:rPr>
          <w:rFonts w:cs="Arial"/>
          <w:sz w:val="24"/>
        </w:rPr>
        <w:t>and minority ethnic (</w:t>
      </w:r>
      <w:r w:rsidR="00805CF5">
        <w:rPr>
          <w:rFonts w:cs="Arial"/>
          <w:sz w:val="24"/>
        </w:rPr>
        <w:t>BME</w:t>
      </w:r>
      <w:r w:rsidRPr="009735F0">
        <w:rPr>
          <w:rFonts w:cs="Arial"/>
          <w:sz w:val="24"/>
        </w:rPr>
        <w:t>) staff and students.</w:t>
      </w:r>
      <w:r>
        <w:rPr>
          <w:rFonts w:cs="Arial"/>
          <w:sz w:val="24"/>
        </w:rPr>
        <w:t xml:space="preserve"> </w:t>
      </w:r>
      <w:r w:rsidRPr="009735F0">
        <w:rPr>
          <w:rFonts w:cs="Arial"/>
          <w:sz w:val="24"/>
        </w:rPr>
        <w:t xml:space="preserve">The aim of the cultural ambassador is to help ensure fairness in how </w:t>
      </w:r>
      <w:r w:rsidR="00805CF5">
        <w:rPr>
          <w:rFonts w:cs="Arial"/>
          <w:sz w:val="24"/>
        </w:rPr>
        <w:t>BME</w:t>
      </w:r>
      <w:r w:rsidRPr="009735F0">
        <w:rPr>
          <w:rFonts w:cs="Arial"/>
          <w:sz w:val="24"/>
        </w:rPr>
        <w:t xml:space="preserve"> staff and students are treated amid concerns that they are disproportionately subject to disciplinary action. The programme involves </w:t>
      </w:r>
      <w:proofErr w:type="gramStart"/>
      <w:r w:rsidRPr="009735F0">
        <w:rPr>
          <w:rFonts w:cs="Arial"/>
          <w:sz w:val="24"/>
        </w:rPr>
        <w:t>a  three</w:t>
      </w:r>
      <w:proofErr w:type="gramEnd"/>
      <w:r w:rsidRPr="009735F0">
        <w:rPr>
          <w:rFonts w:cs="Arial"/>
          <w:sz w:val="24"/>
        </w:rPr>
        <w:t>-day training course for volunteers to increase their knowledge and understanding of relevant legislation and topics, including the Equalities Act, cultural intelligence, unconscious bias and influencing skills.  Volunteers are supported by mentorship throughout their involvement with the project.</w:t>
      </w:r>
      <w:r>
        <w:rPr>
          <w:rFonts w:cs="Arial"/>
          <w:sz w:val="24"/>
        </w:rPr>
        <w:t xml:space="preserve"> Six volunteers have been recruited to the project – all </w:t>
      </w:r>
      <w:r>
        <w:rPr>
          <w:rFonts w:cs="Arial"/>
          <w:sz w:val="24"/>
        </w:rPr>
        <w:lastRenderedPageBreak/>
        <w:t xml:space="preserve">from nursing/medical backgrounds and their three day training will take place in August with a launch of the Ambassador Programme in </w:t>
      </w:r>
      <w:proofErr w:type="gramStart"/>
      <w:r>
        <w:rPr>
          <w:rFonts w:cs="Arial"/>
          <w:sz w:val="24"/>
        </w:rPr>
        <w:t>Autumn</w:t>
      </w:r>
      <w:proofErr w:type="gramEnd"/>
      <w:r>
        <w:rPr>
          <w:rFonts w:cs="Arial"/>
          <w:sz w:val="24"/>
        </w:rPr>
        <w:t xml:space="preserve"> 2018.</w:t>
      </w:r>
    </w:p>
    <w:p w:rsidR="009735F0" w:rsidRDefault="009735F0" w:rsidP="009735F0">
      <w:pPr>
        <w:rPr>
          <w:rFonts w:cs="Arial"/>
          <w:sz w:val="24"/>
        </w:rPr>
      </w:pPr>
    </w:p>
    <w:p w:rsidR="009735F0" w:rsidRDefault="009735F0" w:rsidP="009735F0">
      <w:pPr>
        <w:rPr>
          <w:rFonts w:cs="Arial"/>
          <w:sz w:val="24"/>
        </w:rPr>
      </w:pPr>
      <w:r>
        <w:rPr>
          <w:rFonts w:cs="Arial"/>
          <w:sz w:val="24"/>
        </w:rPr>
        <w:t>With regard to recruitment the new information system on applications TRAC is providing us with clear information on each stage of recruitment looking at all protected characteristics under the Equality Act – not just Ethnicity.</w:t>
      </w:r>
      <w:r w:rsidR="000A6C68">
        <w:rPr>
          <w:rFonts w:cs="Arial"/>
          <w:sz w:val="24"/>
        </w:rPr>
        <w:t xml:space="preserve"> A review of the ethnicity report from TRAC was completed earlier this year with the following recommendations.</w:t>
      </w:r>
    </w:p>
    <w:p w:rsidR="000A6C68" w:rsidRDefault="000A6C68" w:rsidP="009735F0">
      <w:pPr>
        <w:rPr>
          <w:rFonts w:cs="Arial"/>
          <w:sz w:val="24"/>
        </w:rPr>
      </w:pPr>
    </w:p>
    <w:p w:rsidR="000A6C68" w:rsidRDefault="000A6C68" w:rsidP="000A6C68">
      <w:pPr>
        <w:pStyle w:val="ListParagraph"/>
        <w:numPr>
          <w:ilvl w:val="0"/>
          <w:numId w:val="3"/>
        </w:numPr>
        <w:rPr>
          <w:rFonts w:cs="Arial"/>
          <w:sz w:val="24"/>
        </w:rPr>
      </w:pPr>
      <w:r w:rsidRPr="000A6C68">
        <w:rPr>
          <w:rFonts w:cs="Arial"/>
          <w:sz w:val="24"/>
        </w:rPr>
        <w:t xml:space="preserve">The E&amp;D Lead in conjunction with the </w:t>
      </w:r>
      <w:r w:rsidR="00805CF5">
        <w:rPr>
          <w:rFonts w:cs="Arial"/>
          <w:sz w:val="24"/>
        </w:rPr>
        <w:t>BME</w:t>
      </w:r>
      <w:r w:rsidRPr="000A6C68">
        <w:rPr>
          <w:rFonts w:cs="Arial"/>
          <w:sz w:val="24"/>
        </w:rPr>
        <w:t xml:space="preserve"> Staff Network review recruitment materials - particularly those used in central recruitment group exercises to ensure that they are free from cultural references</w:t>
      </w:r>
      <w:r>
        <w:rPr>
          <w:rFonts w:cs="Arial"/>
          <w:sz w:val="24"/>
        </w:rPr>
        <w:t xml:space="preserve">. This has taken place, no evidence of exercises that might bias an outcome </w:t>
      </w:r>
      <w:proofErr w:type="gramStart"/>
      <w:r>
        <w:rPr>
          <w:rFonts w:cs="Arial"/>
          <w:sz w:val="24"/>
        </w:rPr>
        <w:t>were</w:t>
      </w:r>
      <w:proofErr w:type="gramEnd"/>
      <w:r>
        <w:rPr>
          <w:rFonts w:cs="Arial"/>
          <w:sz w:val="24"/>
        </w:rPr>
        <w:t xml:space="preserve"> found.</w:t>
      </w:r>
    </w:p>
    <w:p w:rsidR="00A74FBA" w:rsidRDefault="000A6C68" w:rsidP="000A6C68">
      <w:pPr>
        <w:pStyle w:val="ListParagraph"/>
        <w:numPr>
          <w:ilvl w:val="0"/>
          <w:numId w:val="3"/>
        </w:numPr>
        <w:rPr>
          <w:rFonts w:cs="Arial"/>
          <w:sz w:val="24"/>
        </w:rPr>
      </w:pPr>
      <w:r w:rsidRPr="000A6C68">
        <w:rPr>
          <w:rFonts w:cs="Arial"/>
          <w:sz w:val="24"/>
        </w:rPr>
        <w:t>The figures - albeit small suggest that either conscious or unconscious bias is having an impact at the interview stage. We need to set an expectation with senior managers that appointments a</w:t>
      </w:r>
      <w:r>
        <w:rPr>
          <w:rFonts w:cs="Arial"/>
          <w:sz w:val="24"/>
        </w:rPr>
        <w:t xml:space="preserve">t </w:t>
      </w:r>
      <w:r w:rsidRPr="000A6C68">
        <w:rPr>
          <w:rFonts w:cs="Arial"/>
          <w:sz w:val="24"/>
        </w:rPr>
        <w:t xml:space="preserve">interview should, on average, over time be the same for white and </w:t>
      </w:r>
      <w:r w:rsidR="00805CF5">
        <w:rPr>
          <w:rFonts w:cs="Arial"/>
          <w:sz w:val="24"/>
        </w:rPr>
        <w:t>BME</w:t>
      </w:r>
      <w:r w:rsidRPr="000A6C68">
        <w:rPr>
          <w:rFonts w:cs="Arial"/>
          <w:sz w:val="24"/>
        </w:rPr>
        <w:t xml:space="preserve"> Staff. It is recommended that unconscious bias training be part of the expected training f</w:t>
      </w:r>
      <w:r>
        <w:rPr>
          <w:rFonts w:cs="Arial"/>
          <w:sz w:val="24"/>
        </w:rPr>
        <w:t xml:space="preserve">or membership of a recruitment </w:t>
      </w:r>
      <w:r w:rsidRPr="000A6C68">
        <w:rPr>
          <w:rFonts w:cs="Arial"/>
          <w:sz w:val="24"/>
        </w:rPr>
        <w:t>panel.</w:t>
      </w:r>
      <w:r>
        <w:rPr>
          <w:rFonts w:cs="Arial"/>
          <w:sz w:val="24"/>
        </w:rPr>
        <w:t xml:space="preserve"> Unconscious bias training will form part of the forthcoming E&amp;D Masterclasses and we are also looking to bring in </w:t>
      </w:r>
      <w:r w:rsidR="00A74FBA">
        <w:rPr>
          <w:rFonts w:cs="Arial"/>
          <w:sz w:val="24"/>
        </w:rPr>
        <w:t xml:space="preserve">Joy </w:t>
      </w:r>
      <w:proofErr w:type="spellStart"/>
      <w:r w:rsidR="00A74FBA">
        <w:rPr>
          <w:rFonts w:cs="Arial"/>
          <w:sz w:val="24"/>
        </w:rPr>
        <w:t>Warmington</w:t>
      </w:r>
      <w:proofErr w:type="spellEnd"/>
      <w:r w:rsidR="00A74FBA">
        <w:rPr>
          <w:rFonts w:cs="Arial"/>
          <w:sz w:val="24"/>
        </w:rPr>
        <w:t xml:space="preserve"> from BRAP to deliver an equality and diversity session this </w:t>
      </w:r>
      <w:proofErr w:type="gramStart"/>
      <w:r w:rsidR="00A74FBA">
        <w:rPr>
          <w:rFonts w:cs="Arial"/>
          <w:sz w:val="24"/>
        </w:rPr>
        <w:t>Autumn</w:t>
      </w:r>
      <w:proofErr w:type="gramEnd"/>
      <w:r w:rsidR="00A74FBA">
        <w:rPr>
          <w:rFonts w:cs="Arial"/>
          <w:sz w:val="24"/>
        </w:rPr>
        <w:t>, part of which will focus on unconscious bias.</w:t>
      </w:r>
    </w:p>
    <w:p w:rsidR="000A6C68" w:rsidRDefault="00A74FBA" w:rsidP="00A74FBA">
      <w:pPr>
        <w:pStyle w:val="ListParagraph"/>
        <w:numPr>
          <w:ilvl w:val="0"/>
          <w:numId w:val="3"/>
        </w:numPr>
        <w:rPr>
          <w:rFonts w:cs="Arial"/>
          <w:sz w:val="24"/>
        </w:rPr>
      </w:pPr>
      <w:r>
        <w:rPr>
          <w:rFonts w:cs="Arial"/>
          <w:sz w:val="24"/>
        </w:rPr>
        <w:t xml:space="preserve">It is suggested that we audit and </w:t>
      </w:r>
      <w:r w:rsidRPr="00A74FBA">
        <w:rPr>
          <w:rFonts w:cs="Arial"/>
          <w:sz w:val="24"/>
        </w:rPr>
        <w:t>review decision making from sample of recent recruitment processes. Potential for audit publicised to recruiting managers to improve the rigour of decision making and the quality of appointments made.</w:t>
      </w:r>
    </w:p>
    <w:p w:rsidR="00A74FBA" w:rsidRDefault="00A74FBA" w:rsidP="00A74FBA">
      <w:pPr>
        <w:pStyle w:val="ListParagraph"/>
        <w:numPr>
          <w:ilvl w:val="0"/>
          <w:numId w:val="3"/>
        </w:numPr>
        <w:rPr>
          <w:rFonts w:cs="Arial"/>
          <w:sz w:val="24"/>
        </w:rPr>
      </w:pPr>
      <w:r>
        <w:rPr>
          <w:rFonts w:cs="Arial"/>
          <w:sz w:val="24"/>
        </w:rPr>
        <w:t xml:space="preserve">More needs to be done to attract applications from </w:t>
      </w:r>
      <w:r w:rsidR="00805CF5">
        <w:rPr>
          <w:rFonts w:cs="Arial"/>
          <w:sz w:val="24"/>
        </w:rPr>
        <w:t>BME</w:t>
      </w:r>
      <w:r>
        <w:rPr>
          <w:rFonts w:cs="Arial"/>
          <w:sz w:val="24"/>
        </w:rPr>
        <w:t xml:space="preserve"> backgrounds. </w:t>
      </w:r>
      <w:r w:rsidRPr="00A74FBA">
        <w:rPr>
          <w:rFonts w:cs="Arial"/>
          <w:sz w:val="24"/>
        </w:rPr>
        <w:t>It is suggested that a meeting between the Trust and tenants within the Beacon</w:t>
      </w:r>
      <w:r w:rsidR="00240203">
        <w:rPr>
          <w:rFonts w:cs="Arial"/>
          <w:sz w:val="24"/>
        </w:rPr>
        <w:t xml:space="preserve"> (at Newcastle)</w:t>
      </w:r>
      <w:r w:rsidRPr="00A74FBA">
        <w:rPr>
          <w:rFonts w:cs="Arial"/>
          <w:sz w:val="24"/>
        </w:rPr>
        <w:t xml:space="preserve"> is set up to explore how we become more </w:t>
      </w:r>
      <w:r w:rsidRPr="00A74FBA">
        <w:rPr>
          <w:rFonts w:cs="Arial"/>
          <w:sz w:val="24"/>
        </w:rPr>
        <w:tab/>
        <w:t>visible in the community. This could be through campaigns on Radio such as Spice FM or through work with organisat</w:t>
      </w:r>
      <w:r w:rsidR="00240203">
        <w:rPr>
          <w:rFonts w:cs="Arial"/>
          <w:sz w:val="24"/>
        </w:rPr>
        <w:t xml:space="preserve">ions such as the </w:t>
      </w:r>
      <w:proofErr w:type="spellStart"/>
      <w:r w:rsidR="00240203">
        <w:rPr>
          <w:rFonts w:cs="Arial"/>
          <w:sz w:val="24"/>
        </w:rPr>
        <w:t>Millin</w:t>
      </w:r>
      <w:proofErr w:type="spellEnd"/>
      <w:r w:rsidR="00240203">
        <w:rPr>
          <w:rFonts w:cs="Arial"/>
          <w:sz w:val="24"/>
        </w:rPr>
        <w:t xml:space="preserve"> Charity and that this approach is then spread across the region that we serve.</w:t>
      </w:r>
    </w:p>
    <w:p w:rsidR="003E71D2" w:rsidRPr="00297200" w:rsidRDefault="00240203" w:rsidP="00240203">
      <w:pPr>
        <w:pStyle w:val="ListParagraph"/>
        <w:numPr>
          <w:ilvl w:val="0"/>
          <w:numId w:val="3"/>
        </w:numPr>
        <w:rPr>
          <w:rFonts w:cs="Arial"/>
          <w:sz w:val="24"/>
        </w:rPr>
        <w:sectPr w:rsidR="003E71D2" w:rsidRPr="00297200">
          <w:footerReference w:type="default" r:id="rId14"/>
          <w:pgSz w:w="11906" w:h="16838"/>
          <w:pgMar w:top="1440" w:right="1440" w:bottom="1440" w:left="1440" w:header="708" w:footer="708" w:gutter="0"/>
          <w:cols w:space="708"/>
          <w:docGrid w:linePitch="360"/>
        </w:sectPr>
      </w:pPr>
      <w:r>
        <w:rPr>
          <w:rFonts w:cs="Arial"/>
          <w:sz w:val="24"/>
        </w:rPr>
        <w:t xml:space="preserve">We might want to consider positive action with a </w:t>
      </w:r>
      <w:r w:rsidR="00805CF5">
        <w:rPr>
          <w:rFonts w:cs="Arial"/>
          <w:sz w:val="24"/>
        </w:rPr>
        <w:t>BME</w:t>
      </w:r>
      <w:r w:rsidR="00297200">
        <w:rPr>
          <w:rFonts w:cs="Arial"/>
          <w:sz w:val="24"/>
        </w:rPr>
        <w:t xml:space="preserve"> targeted recruitment campaign, particularly for non-clinical roles.</w:t>
      </w:r>
      <w:bookmarkStart w:id="0" w:name="_GoBack"/>
      <w:bookmarkEnd w:id="0"/>
    </w:p>
    <w:p w:rsidR="00240203" w:rsidRDefault="003E71D2" w:rsidP="00240203">
      <w:pPr>
        <w:rPr>
          <w:rFonts w:cs="Arial"/>
          <w:sz w:val="24"/>
        </w:rPr>
      </w:pPr>
      <w:r>
        <w:rPr>
          <w:rFonts w:cs="Arial"/>
          <w:b/>
          <w:sz w:val="24"/>
        </w:rPr>
        <w:lastRenderedPageBreak/>
        <w:t>WRES Submission 2018</w:t>
      </w:r>
    </w:p>
    <w:p w:rsidR="001225B9" w:rsidRDefault="001225B9" w:rsidP="00AE2635">
      <w:pPr>
        <w:rPr>
          <w:rFonts w:cs="Arial"/>
          <w:b/>
          <w:sz w:val="24"/>
        </w:rPr>
      </w:pPr>
    </w:p>
    <w:p w:rsidR="00AE2635" w:rsidRDefault="00AE2635" w:rsidP="00AE2635">
      <w:pPr>
        <w:rPr>
          <w:rFonts w:cs="Arial"/>
          <w:sz w:val="24"/>
        </w:rPr>
      </w:pPr>
      <w:r>
        <w:rPr>
          <w:rFonts w:cs="Arial"/>
          <w:b/>
          <w:sz w:val="24"/>
        </w:rPr>
        <w:t xml:space="preserve">Indicator 1 </w:t>
      </w:r>
      <w:r w:rsidRPr="00AE2635">
        <w:rPr>
          <w:rFonts w:cs="Arial"/>
          <w:b/>
          <w:sz w:val="24"/>
        </w:rPr>
        <w:t xml:space="preserve">Percentage of staff in each of the </w:t>
      </w:r>
      <w:proofErr w:type="spellStart"/>
      <w:r w:rsidRPr="00AE2635">
        <w:rPr>
          <w:rFonts w:cs="Arial"/>
          <w:b/>
          <w:sz w:val="24"/>
        </w:rPr>
        <w:t>AfC</w:t>
      </w:r>
      <w:proofErr w:type="spellEnd"/>
      <w:r w:rsidRPr="00AE2635">
        <w:rPr>
          <w:rFonts w:cs="Arial"/>
          <w:b/>
          <w:sz w:val="24"/>
        </w:rPr>
        <w:t xml:space="preserve"> Bands 1-9 and VSM (including executive Board members) compared with the percentage of staff in the overall workforce</w:t>
      </w:r>
      <w:r w:rsidR="00044E94">
        <w:rPr>
          <w:rFonts w:cs="Arial"/>
          <w:b/>
          <w:sz w:val="24"/>
        </w:rPr>
        <w:t xml:space="preserve"> (NB Whilst the indicator is in % terms the prepopulated template from NHS England has staff numbers</w:t>
      </w:r>
    </w:p>
    <w:p w:rsidR="00AE2635" w:rsidRDefault="00AE2635" w:rsidP="00AE2635">
      <w:pPr>
        <w:rPr>
          <w:rFonts w:cs="Arial"/>
          <w:sz w:val="24"/>
        </w:rPr>
      </w:pPr>
    </w:p>
    <w:tbl>
      <w:tblPr>
        <w:tblW w:w="5000" w:type="pct"/>
        <w:tblLook w:val="04A0" w:firstRow="1" w:lastRow="0" w:firstColumn="1" w:lastColumn="0" w:noHBand="0" w:noVBand="1"/>
      </w:tblPr>
      <w:tblGrid>
        <w:gridCol w:w="1372"/>
        <w:gridCol w:w="2030"/>
        <w:gridCol w:w="1996"/>
        <w:gridCol w:w="1372"/>
        <w:gridCol w:w="1313"/>
        <w:gridCol w:w="1746"/>
        <w:gridCol w:w="1372"/>
        <w:gridCol w:w="1227"/>
        <w:gridCol w:w="1746"/>
      </w:tblGrid>
      <w:tr w:rsidR="00044E94" w:rsidRPr="00044E94" w:rsidTr="00044E94">
        <w:trPr>
          <w:trHeight w:val="289"/>
        </w:trPr>
        <w:tc>
          <w:tcPr>
            <w:tcW w:w="484" w:type="pct"/>
            <w:tcBorders>
              <w:top w:val="nil"/>
              <w:left w:val="nil"/>
              <w:bottom w:val="nil"/>
              <w:right w:val="nil"/>
            </w:tcBorders>
            <w:shd w:val="clear" w:color="000000" w:fill="FFFFFF"/>
            <w:noWrap/>
            <w:vAlign w:val="center"/>
            <w:hideMark/>
          </w:tcPr>
          <w:p w:rsidR="00044E94" w:rsidRPr="00044E94" w:rsidRDefault="00044E94" w:rsidP="00044E94">
            <w:pPr>
              <w:rPr>
                <w:rFonts w:cs="Arial"/>
                <w:sz w:val="20"/>
                <w:szCs w:val="20"/>
                <w:lang w:eastAsia="en-GB"/>
              </w:rPr>
            </w:pPr>
            <w:r w:rsidRPr="00044E94">
              <w:rPr>
                <w:rFonts w:cs="Arial"/>
                <w:sz w:val="20"/>
                <w:szCs w:val="20"/>
                <w:lang w:eastAsia="en-GB"/>
              </w:rPr>
              <w:t> </w:t>
            </w:r>
          </w:p>
        </w:tc>
        <w:tc>
          <w:tcPr>
            <w:tcW w:w="716" w:type="pct"/>
            <w:tcBorders>
              <w:top w:val="nil"/>
              <w:left w:val="nil"/>
              <w:bottom w:val="nil"/>
              <w:right w:val="nil"/>
            </w:tcBorders>
            <w:shd w:val="clear" w:color="000000" w:fill="FFFFFF"/>
            <w:noWrap/>
            <w:vAlign w:val="center"/>
            <w:hideMark/>
          </w:tcPr>
          <w:p w:rsidR="00044E94" w:rsidRPr="00044E94" w:rsidRDefault="00044E94" w:rsidP="00044E94">
            <w:pPr>
              <w:rPr>
                <w:rFonts w:cs="Arial"/>
                <w:sz w:val="20"/>
                <w:szCs w:val="20"/>
                <w:lang w:eastAsia="en-GB"/>
              </w:rPr>
            </w:pPr>
            <w:r w:rsidRPr="00044E94">
              <w:rPr>
                <w:rFonts w:cs="Arial"/>
                <w:sz w:val="20"/>
                <w:szCs w:val="20"/>
                <w:lang w:eastAsia="en-GB"/>
              </w:rPr>
              <w:t> </w:t>
            </w:r>
          </w:p>
        </w:tc>
        <w:tc>
          <w:tcPr>
            <w:tcW w:w="704" w:type="pct"/>
            <w:tcBorders>
              <w:top w:val="nil"/>
              <w:left w:val="nil"/>
              <w:bottom w:val="nil"/>
              <w:right w:val="nil"/>
            </w:tcBorders>
            <w:shd w:val="clear" w:color="000000" w:fill="FFFFFF"/>
            <w:noWrap/>
            <w:vAlign w:val="center"/>
            <w:hideMark/>
          </w:tcPr>
          <w:p w:rsidR="00044E94" w:rsidRPr="00044E94" w:rsidRDefault="00044E94" w:rsidP="00044E94">
            <w:pPr>
              <w:rPr>
                <w:rFonts w:cs="Arial"/>
                <w:b/>
                <w:bCs/>
                <w:sz w:val="24"/>
                <w:lang w:eastAsia="en-GB"/>
              </w:rPr>
            </w:pPr>
            <w:r w:rsidRPr="00044E94">
              <w:rPr>
                <w:rFonts w:cs="Arial"/>
                <w:b/>
                <w:bCs/>
                <w:sz w:val="24"/>
                <w:lang w:eastAsia="en-GB"/>
              </w:rPr>
              <w:t> </w:t>
            </w:r>
          </w:p>
        </w:tc>
        <w:tc>
          <w:tcPr>
            <w:tcW w:w="1563" w:type="pct"/>
            <w:gridSpan w:val="3"/>
            <w:tcBorders>
              <w:top w:val="single" w:sz="4" w:space="0" w:color="auto"/>
              <w:left w:val="single" w:sz="4" w:space="0" w:color="auto"/>
              <w:bottom w:val="single" w:sz="4" w:space="0" w:color="auto"/>
              <w:right w:val="single" w:sz="4" w:space="0" w:color="auto"/>
            </w:tcBorders>
            <w:shd w:val="clear" w:color="000000" w:fill="0061B8"/>
            <w:noWrap/>
            <w:vAlign w:val="center"/>
            <w:hideMark/>
          </w:tcPr>
          <w:p w:rsidR="00044E94" w:rsidRPr="00044E94" w:rsidRDefault="00044E94" w:rsidP="00044E94">
            <w:pPr>
              <w:jc w:val="center"/>
              <w:rPr>
                <w:rFonts w:cs="Arial"/>
                <w:b/>
                <w:bCs/>
                <w:color w:val="FFFFFF"/>
                <w:sz w:val="24"/>
                <w:lang w:eastAsia="en-GB"/>
              </w:rPr>
            </w:pPr>
            <w:r w:rsidRPr="00044E94">
              <w:rPr>
                <w:rFonts w:cs="Arial"/>
                <w:b/>
                <w:bCs/>
                <w:color w:val="FFFFFF"/>
                <w:sz w:val="24"/>
                <w:lang w:eastAsia="en-GB"/>
              </w:rPr>
              <w:t>31st MARCH 2017</w:t>
            </w:r>
          </w:p>
        </w:tc>
        <w:tc>
          <w:tcPr>
            <w:tcW w:w="1533" w:type="pct"/>
            <w:gridSpan w:val="3"/>
            <w:tcBorders>
              <w:top w:val="single" w:sz="4" w:space="0" w:color="auto"/>
              <w:left w:val="nil"/>
              <w:bottom w:val="single" w:sz="4" w:space="0" w:color="auto"/>
              <w:right w:val="single" w:sz="4" w:space="0" w:color="auto"/>
            </w:tcBorders>
            <w:shd w:val="clear" w:color="000000" w:fill="0061B8"/>
            <w:noWrap/>
            <w:vAlign w:val="center"/>
            <w:hideMark/>
          </w:tcPr>
          <w:p w:rsidR="00044E94" w:rsidRPr="00044E94" w:rsidRDefault="00044E94" w:rsidP="00044E94">
            <w:pPr>
              <w:jc w:val="center"/>
              <w:rPr>
                <w:rFonts w:cs="Arial"/>
                <w:b/>
                <w:bCs/>
                <w:color w:val="FFFFFF"/>
                <w:sz w:val="24"/>
                <w:lang w:eastAsia="en-GB"/>
              </w:rPr>
            </w:pPr>
            <w:r w:rsidRPr="00044E94">
              <w:rPr>
                <w:rFonts w:cs="Arial"/>
                <w:b/>
                <w:bCs/>
                <w:color w:val="FFFFFF"/>
                <w:sz w:val="24"/>
                <w:lang w:eastAsia="en-GB"/>
              </w:rPr>
              <w:t>31st MARCH 2018</w:t>
            </w:r>
          </w:p>
        </w:tc>
      </w:tr>
      <w:tr w:rsidR="00044E94" w:rsidRPr="00044E94" w:rsidTr="00044E94">
        <w:trPr>
          <w:trHeight w:val="278"/>
        </w:trPr>
        <w:tc>
          <w:tcPr>
            <w:tcW w:w="1200" w:type="pct"/>
            <w:gridSpan w:val="2"/>
            <w:vMerge w:val="restart"/>
            <w:tcBorders>
              <w:top w:val="single" w:sz="4" w:space="0" w:color="auto"/>
              <w:left w:val="single" w:sz="4" w:space="0" w:color="auto"/>
              <w:bottom w:val="single" w:sz="4" w:space="0" w:color="auto"/>
              <w:right w:val="single" w:sz="4" w:space="0" w:color="auto"/>
            </w:tcBorders>
            <w:shd w:val="clear" w:color="000000" w:fill="0061B8"/>
            <w:noWrap/>
            <w:vAlign w:val="center"/>
            <w:hideMark/>
          </w:tcPr>
          <w:p w:rsidR="00044E94" w:rsidRPr="00044E94" w:rsidRDefault="00044E94" w:rsidP="00044E94">
            <w:pPr>
              <w:jc w:val="center"/>
              <w:rPr>
                <w:rFonts w:cs="Arial"/>
                <w:b/>
                <w:bCs/>
                <w:color w:val="FFFFFF"/>
                <w:szCs w:val="22"/>
                <w:lang w:eastAsia="en-GB"/>
              </w:rPr>
            </w:pPr>
            <w:r w:rsidRPr="00044E94">
              <w:rPr>
                <w:rFonts w:cs="Arial"/>
                <w:b/>
                <w:bCs/>
                <w:color w:val="FFFFFF"/>
                <w:szCs w:val="22"/>
                <w:lang w:eastAsia="en-GB"/>
              </w:rPr>
              <w:t>INDICATOR</w:t>
            </w:r>
          </w:p>
        </w:tc>
        <w:tc>
          <w:tcPr>
            <w:tcW w:w="704" w:type="pct"/>
            <w:vMerge w:val="restart"/>
            <w:tcBorders>
              <w:top w:val="single" w:sz="4" w:space="0" w:color="auto"/>
              <w:left w:val="single" w:sz="4" w:space="0" w:color="auto"/>
              <w:bottom w:val="single" w:sz="4" w:space="0" w:color="000000"/>
              <w:right w:val="single" w:sz="4" w:space="0" w:color="auto"/>
            </w:tcBorders>
            <w:shd w:val="clear" w:color="000000" w:fill="0061B8"/>
            <w:noWrap/>
            <w:vAlign w:val="center"/>
            <w:hideMark/>
          </w:tcPr>
          <w:p w:rsidR="00044E94" w:rsidRPr="00044E94" w:rsidRDefault="00044E94" w:rsidP="00044E94">
            <w:pPr>
              <w:jc w:val="center"/>
              <w:rPr>
                <w:rFonts w:cs="Arial"/>
                <w:b/>
                <w:bCs/>
                <w:color w:val="FFFFFF"/>
                <w:szCs w:val="22"/>
                <w:lang w:eastAsia="en-GB"/>
              </w:rPr>
            </w:pPr>
            <w:r w:rsidRPr="00044E94">
              <w:rPr>
                <w:rFonts w:cs="Arial"/>
                <w:b/>
                <w:bCs/>
                <w:color w:val="FFFFFF"/>
                <w:szCs w:val="22"/>
                <w:lang w:eastAsia="en-GB"/>
              </w:rPr>
              <w:t> </w:t>
            </w:r>
          </w:p>
        </w:tc>
        <w:tc>
          <w:tcPr>
            <w:tcW w:w="484" w:type="pct"/>
            <w:vMerge w:val="restart"/>
            <w:tcBorders>
              <w:top w:val="nil"/>
              <w:left w:val="single" w:sz="4" w:space="0" w:color="auto"/>
              <w:bottom w:val="single" w:sz="4" w:space="0" w:color="auto"/>
              <w:right w:val="single" w:sz="4" w:space="0" w:color="auto"/>
            </w:tcBorders>
            <w:shd w:val="clear" w:color="000000" w:fill="0061B8"/>
            <w:vAlign w:val="center"/>
            <w:hideMark/>
          </w:tcPr>
          <w:p w:rsidR="00044E94" w:rsidRPr="00044E94" w:rsidRDefault="00044E94" w:rsidP="00044E94">
            <w:pPr>
              <w:jc w:val="center"/>
              <w:rPr>
                <w:rFonts w:cs="Arial"/>
                <w:b/>
                <w:bCs/>
                <w:color w:val="FFFFFF"/>
                <w:szCs w:val="22"/>
                <w:lang w:eastAsia="en-GB"/>
              </w:rPr>
            </w:pPr>
            <w:r w:rsidRPr="00044E94">
              <w:rPr>
                <w:rFonts w:cs="Arial"/>
                <w:b/>
                <w:bCs/>
                <w:color w:val="FFFFFF"/>
                <w:szCs w:val="22"/>
                <w:lang w:eastAsia="en-GB"/>
              </w:rPr>
              <w:t>White</w:t>
            </w:r>
          </w:p>
        </w:tc>
        <w:tc>
          <w:tcPr>
            <w:tcW w:w="463" w:type="pct"/>
            <w:vMerge w:val="restart"/>
            <w:tcBorders>
              <w:top w:val="nil"/>
              <w:left w:val="single" w:sz="4" w:space="0" w:color="auto"/>
              <w:bottom w:val="single" w:sz="4" w:space="0" w:color="auto"/>
              <w:right w:val="single" w:sz="4" w:space="0" w:color="auto"/>
            </w:tcBorders>
            <w:shd w:val="clear" w:color="000000" w:fill="0061B8"/>
            <w:vAlign w:val="center"/>
            <w:hideMark/>
          </w:tcPr>
          <w:p w:rsidR="00044E94" w:rsidRPr="00044E94" w:rsidRDefault="00044E94" w:rsidP="00044E94">
            <w:pPr>
              <w:jc w:val="center"/>
              <w:rPr>
                <w:rFonts w:cs="Arial"/>
                <w:b/>
                <w:bCs/>
                <w:color w:val="FFFFFF"/>
                <w:szCs w:val="22"/>
                <w:lang w:eastAsia="en-GB"/>
              </w:rPr>
            </w:pPr>
            <w:r w:rsidRPr="00044E94">
              <w:rPr>
                <w:rFonts w:cs="Arial"/>
                <w:b/>
                <w:bCs/>
                <w:color w:val="FFFFFF"/>
                <w:szCs w:val="22"/>
                <w:lang w:eastAsia="en-GB"/>
              </w:rPr>
              <w:t>BME</w:t>
            </w:r>
          </w:p>
        </w:tc>
        <w:tc>
          <w:tcPr>
            <w:tcW w:w="616" w:type="pct"/>
            <w:vMerge w:val="restart"/>
            <w:tcBorders>
              <w:top w:val="nil"/>
              <w:left w:val="single" w:sz="4" w:space="0" w:color="auto"/>
              <w:bottom w:val="single" w:sz="4" w:space="0" w:color="auto"/>
              <w:right w:val="single" w:sz="4" w:space="0" w:color="auto"/>
            </w:tcBorders>
            <w:shd w:val="clear" w:color="000000" w:fill="0061B8"/>
            <w:vAlign w:val="center"/>
            <w:hideMark/>
          </w:tcPr>
          <w:p w:rsidR="00044E94" w:rsidRPr="00044E94" w:rsidRDefault="00044E94" w:rsidP="00044E94">
            <w:pPr>
              <w:jc w:val="center"/>
              <w:rPr>
                <w:rFonts w:cs="Arial"/>
                <w:b/>
                <w:bCs/>
                <w:color w:val="FFFFFF"/>
                <w:szCs w:val="22"/>
                <w:lang w:eastAsia="en-GB"/>
              </w:rPr>
            </w:pPr>
            <w:r w:rsidRPr="00044E94">
              <w:rPr>
                <w:rFonts w:cs="Arial"/>
                <w:b/>
                <w:bCs/>
                <w:color w:val="FFFFFF"/>
                <w:szCs w:val="22"/>
                <w:lang w:eastAsia="en-GB"/>
              </w:rPr>
              <w:t>Unknown</w:t>
            </w:r>
          </w:p>
        </w:tc>
        <w:tc>
          <w:tcPr>
            <w:tcW w:w="484" w:type="pct"/>
            <w:vMerge w:val="restart"/>
            <w:tcBorders>
              <w:top w:val="nil"/>
              <w:left w:val="single" w:sz="4" w:space="0" w:color="auto"/>
              <w:bottom w:val="single" w:sz="4" w:space="0" w:color="auto"/>
              <w:right w:val="single" w:sz="4" w:space="0" w:color="auto"/>
            </w:tcBorders>
            <w:shd w:val="clear" w:color="000000" w:fill="0061B8"/>
            <w:vAlign w:val="center"/>
            <w:hideMark/>
          </w:tcPr>
          <w:p w:rsidR="00044E94" w:rsidRPr="00044E94" w:rsidRDefault="00044E94" w:rsidP="00044E94">
            <w:pPr>
              <w:jc w:val="center"/>
              <w:rPr>
                <w:rFonts w:cs="Arial"/>
                <w:b/>
                <w:bCs/>
                <w:color w:val="FFFFFF"/>
                <w:szCs w:val="22"/>
                <w:lang w:eastAsia="en-GB"/>
              </w:rPr>
            </w:pPr>
            <w:r w:rsidRPr="00044E94">
              <w:rPr>
                <w:rFonts w:cs="Arial"/>
                <w:b/>
                <w:bCs/>
                <w:color w:val="FFFFFF"/>
                <w:szCs w:val="22"/>
                <w:lang w:eastAsia="en-GB"/>
              </w:rPr>
              <w:t>White</w:t>
            </w:r>
          </w:p>
        </w:tc>
        <w:tc>
          <w:tcPr>
            <w:tcW w:w="433" w:type="pct"/>
            <w:vMerge w:val="restart"/>
            <w:tcBorders>
              <w:top w:val="nil"/>
              <w:left w:val="single" w:sz="4" w:space="0" w:color="auto"/>
              <w:bottom w:val="single" w:sz="4" w:space="0" w:color="auto"/>
              <w:right w:val="single" w:sz="4" w:space="0" w:color="auto"/>
            </w:tcBorders>
            <w:shd w:val="clear" w:color="000000" w:fill="0061B8"/>
            <w:vAlign w:val="center"/>
            <w:hideMark/>
          </w:tcPr>
          <w:p w:rsidR="00044E94" w:rsidRPr="00044E94" w:rsidRDefault="00044E94" w:rsidP="00044E94">
            <w:pPr>
              <w:jc w:val="center"/>
              <w:rPr>
                <w:rFonts w:cs="Arial"/>
                <w:b/>
                <w:bCs/>
                <w:color w:val="FFFFFF"/>
                <w:szCs w:val="22"/>
                <w:lang w:eastAsia="en-GB"/>
              </w:rPr>
            </w:pPr>
            <w:r w:rsidRPr="00044E94">
              <w:rPr>
                <w:rFonts w:cs="Arial"/>
                <w:b/>
                <w:bCs/>
                <w:color w:val="FFFFFF"/>
                <w:szCs w:val="22"/>
                <w:lang w:eastAsia="en-GB"/>
              </w:rPr>
              <w:t>BME</w:t>
            </w:r>
          </w:p>
        </w:tc>
        <w:tc>
          <w:tcPr>
            <w:tcW w:w="616" w:type="pct"/>
            <w:vMerge w:val="restart"/>
            <w:tcBorders>
              <w:top w:val="nil"/>
              <w:left w:val="single" w:sz="4" w:space="0" w:color="auto"/>
              <w:bottom w:val="single" w:sz="4" w:space="0" w:color="auto"/>
              <w:right w:val="nil"/>
            </w:tcBorders>
            <w:shd w:val="clear" w:color="000000" w:fill="0061B8"/>
            <w:vAlign w:val="center"/>
            <w:hideMark/>
          </w:tcPr>
          <w:p w:rsidR="00044E94" w:rsidRPr="00044E94" w:rsidRDefault="00044E94" w:rsidP="00044E94">
            <w:pPr>
              <w:jc w:val="center"/>
              <w:rPr>
                <w:rFonts w:cs="Arial"/>
                <w:b/>
                <w:bCs/>
                <w:color w:val="FFFFFF"/>
                <w:szCs w:val="22"/>
                <w:lang w:eastAsia="en-GB"/>
              </w:rPr>
            </w:pPr>
            <w:r w:rsidRPr="00044E94">
              <w:rPr>
                <w:rFonts w:cs="Arial"/>
                <w:b/>
                <w:bCs/>
                <w:color w:val="FFFFFF"/>
                <w:szCs w:val="22"/>
                <w:lang w:eastAsia="en-GB"/>
              </w:rPr>
              <w:t>Unknown</w:t>
            </w:r>
          </w:p>
        </w:tc>
      </w:tr>
      <w:tr w:rsidR="00044E94" w:rsidRPr="00044E94" w:rsidTr="00044E94">
        <w:trPr>
          <w:trHeight w:val="278"/>
        </w:trPr>
        <w:tc>
          <w:tcPr>
            <w:tcW w:w="1200" w:type="pct"/>
            <w:gridSpan w:val="2"/>
            <w:vMerge/>
            <w:tcBorders>
              <w:top w:val="single" w:sz="4" w:space="0" w:color="auto"/>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04" w:type="pct"/>
            <w:vMerge/>
            <w:tcBorders>
              <w:top w:val="single" w:sz="4" w:space="0" w:color="auto"/>
              <w:left w:val="single" w:sz="4" w:space="0" w:color="auto"/>
              <w:bottom w:val="single" w:sz="4" w:space="0" w:color="000000"/>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463"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6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433"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616" w:type="pct"/>
            <w:vMerge/>
            <w:tcBorders>
              <w:top w:val="nil"/>
              <w:left w:val="single" w:sz="4" w:space="0" w:color="auto"/>
              <w:bottom w:val="single" w:sz="4" w:space="0" w:color="auto"/>
              <w:right w:val="nil"/>
            </w:tcBorders>
            <w:vAlign w:val="center"/>
            <w:hideMark/>
          </w:tcPr>
          <w:p w:rsidR="00044E94" w:rsidRPr="00044E94" w:rsidRDefault="00044E94" w:rsidP="00044E94">
            <w:pPr>
              <w:rPr>
                <w:rFonts w:cs="Arial"/>
                <w:b/>
                <w:bCs/>
                <w:color w:val="FFFFFF"/>
                <w:szCs w:val="22"/>
                <w:lang w:eastAsia="en-GB"/>
              </w:rPr>
            </w:pPr>
          </w:p>
        </w:tc>
      </w:tr>
      <w:tr w:rsidR="00044E94" w:rsidRPr="00044E94" w:rsidTr="00044E94">
        <w:trPr>
          <w:trHeight w:val="1200"/>
        </w:trPr>
        <w:tc>
          <w:tcPr>
            <w:tcW w:w="484" w:type="pct"/>
            <w:vMerge w:val="restart"/>
            <w:tcBorders>
              <w:top w:val="nil"/>
              <w:left w:val="single" w:sz="4" w:space="0" w:color="auto"/>
              <w:bottom w:val="single" w:sz="4" w:space="0" w:color="auto"/>
              <w:right w:val="single" w:sz="4" w:space="0" w:color="auto"/>
            </w:tcBorders>
            <w:shd w:val="clear" w:color="000000" w:fill="0061B8"/>
            <w:noWrap/>
            <w:vAlign w:val="center"/>
            <w:hideMark/>
          </w:tcPr>
          <w:p w:rsidR="00044E94" w:rsidRPr="00044E94" w:rsidRDefault="00044E94" w:rsidP="00044E94">
            <w:pPr>
              <w:jc w:val="center"/>
              <w:rPr>
                <w:rFonts w:cs="Arial"/>
                <w:b/>
                <w:bCs/>
                <w:color w:val="FFFFFF"/>
                <w:szCs w:val="22"/>
                <w:lang w:eastAsia="en-GB"/>
              </w:rPr>
            </w:pPr>
            <w:r w:rsidRPr="00044E94">
              <w:rPr>
                <w:rFonts w:cs="Arial"/>
                <w:b/>
                <w:bCs/>
                <w:color w:val="FFFFFF"/>
                <w:szCs w:val="22"/>
                <w:lang w:eastAsia="en-GB"/>
              </w:rPr>
              <w:t>1</w:t>
            </w:r>
          </w:p>
        </w:tc>
        <w:tc>
          <w:tcPr>
            <w:tcW w:w="716" w:type="pct"/>
            <w:vMerge w:val="restart"/>
            <w:tcBorders>
              <w:top w:val="nil"/>
              <w:left w:val="single" w:sz="4" w:space="0" w:color="auto"/>
              <w:bottom w:val="single" w:sz="4" w:space="0" w:color="auto"/>
              <w:right w:val="single" w:sz="4" w:space="0" w:color="auto"/>
            </w:tcBorders>
            <w:shd w:val="clear" w:color="000000" w:fill="DCE6F1"/>
            <w:vAlign w:val="center"/>
            <w:hideMark/>
          </w:tcPr>
          <w:p w:rsidR="00044E94" w:rsidRPr="00044E94" w:rsidRDefault="00044E94" w:rsidP="00044E94">
            <w:pPr>
              <w:rPr>
                <w:rFonts w:cs="Arial"/>
                <w:b/>
                <w:bCs/>
                <w:szCs w:val="22"/>
                <w:lang w:eastAsia="en-GB"/>
              </w:rPr>
            </w:pPr>
            <w:r w:rsidRPr="00044E94">
              <w:rPr>
                <w:rFonts w:cs="Arial"/>
                <w:b/>
                <w:bCs/>
                <w:szCs w:val="22"/>
                <w:lang w:eastAsia="en-GB"/>
              </w:rPr>
              <w:t xml:space="preserve">Percentage of staff in each of the </w:t>
            </w:r>
            <w:proofErr w:type="spellStart"/>
            <w:r w:rsidRPr="00044E94">
              <w:rPr>
                <w:rFonts w:cs="Arial"/>
                <w:b/>
                <w:bCs/>
                <w:szCs w:val="22"/>
                <w:lang w:eastAsia="en-GB"/>
              </w:rPr>
              <w:t>AfC</w:t>
            </w:r>
            <w:proofErr w:type="spellEnd"/>
            <w:r w:rsidRPr="00044E94">
              <w:rPr>
                <w:rFonts w:cs="Arial"/>
                <w:b/>
                <w:bCs/>
                <w:szCs w:val="22"/>
                <w:lang w:eastAsia="en-GB"/>
              </w:rPr>
              <w:t xml:space="preserve"> Bands 1-9 OR Medical and Dental subgroups and VSM (including executive Board members) compared with the percentage of staff in the overall workforce</w:t>
            </w:r>
          </w:p>
        </w:tc>
        <w:tc>
          <w:tcPr>
            <w:tcW w:w="704" w:type="pct"/>
            <w:tcBorders>
              <w:top w:val="nil"/>
              <w:left w:val="nil"/>
              <w:bottom w:val="single" w:sz="4" w:space="0" w:color="auto"/>
              <w:right w:val="single" w:sz="4" w:space="0" w:color="auto"/>
            </w:tcBorders>
            <w:shd w:val="clear" w:color="000000" w:fill="E7F0F9"/>
            <w:vAlign w:val="center"/>
            <w:hideMark/>
          </w:tcPr>
          <w:p w:rsidR="00044E94" w:rsidRPr="00044E94" w:rsidRDefault="00044E94" w:rsidP="00044E94">
            <w:pPr>
              <w:rPr>
                <w:rFonts w:cs="Arial"/>
                <w:b/>
                <w:bCs/>
                <w:color w:val="000000"/>
                <w:szCs w:val="22"/>
                <w:lang w:eastAsia="en-GB"/>
              </w:rPr>
            </w:pPr>
            <w:r w:rsidRPr="00044E94">
              <w:rPr>
                <w:rFonts w:cs="Arial"/>
                <w:b/>
                <w:bCs/>
                <w:color w:val="000000"/>
                <w:szCs w:val="22"/>
                <w:lang w:eastAsia="en-GB"/>
              </w:rPr>
              <w:t>1a) Non Clinical workforce</w:t>
            </w:r>
          </w:p>
        </w:tc>
        <w:tc>
          <w:tcPr>
            <w:tcW w:w="484" w:type="pct"/>
            <w:tcBorders>
              <w:top w:val="nil"/>
              <w:left w:val="nil"/>
              <w:bottom w:val="single" w:sz="4" w:space="0" w:color="auto"/>
              <w:right w:val="single" w:sz="4" w:space="0" w:color="auto"/>
            </w:tcBorders>
            <w:shd w:val="clear" w:color="000000" w:fill="E7F0F9"/>
            <w:vAlign w:val="center"/>
            <w:hideMark/>
          </w:tcPr>
          <w:p w:rsidR="00044E94" w:rsidRPr="00044E94" w:rsidRDefault="00044E94" w:rsidP="00044E94">
            <w:pPr>
              <w:jc w:val="center"/>
              <w:rPr>
                <w:rFonts w:cs="Arial"/>
                <w:b/>
                <w:bCs/>
                <w:color w:val="000000"/>
                <w:szCs w:val="22"/>
                <w:lang w:eastAsia="en-GB"/>
              </w:rPr>
            </w:pPr>
            <w:r w:rsidRPr="00044E94">
              <w:rPr>
                <w:rFonts w:cs="Arial"/>
                <w:b/>
                <w:bCs/>
                <w:color w:val="000000"/>
                <w:szCs w:val="22"/>
                <w:lang w:eastAsia="en-GB"/>
              </w:rPr>
              <w:t> </w:t>
            </w:r>
          </w:p>
        </w:tc>
        <w:tc>
          <w:tcPr>
            <w:tcW w:w="463" w:type="pct"/>
            <w:tcBorders>
              <w:top w:val="nil"/>
              <w:left w:val="nil"/>
              <w:bottom w:val="single" w:sz="4" w:space="0" w:color="auto"/>
              <w:right w:val="single" w:sz="4" w:space="0" w:color="auto"/>
            </w:tcBorders>
            <w:shd w:val="clear" w:color="000000" w:fill="E7F0F9"/>
            <w:vAlign w:val="center"/>
            <w:hideMark/>
          </w:tcPr>
          <w:p w:rsidR="00044E94" w:rsidRPr="00044E94" w:rsidRDefault="00044E94" w:rsidP="00044E94">
            <w:pPr>
              <w:jc w:val="center"/>
              <w:rPr>
                <w:rFonts w:cs="Arial"/>
                <w:b/>
                <w:bCs/>
                <w:color w:val="000000"/>
                <w:szCs w:val="22"/>
                <w:lang w:eastAsia="en-GB"/>
              </w:rPr>
            </w:pPr>
            <w:r w:rsidRPr="00044E94">
              <w:rPr>
                <w:rFonts w:cs="Arial"/>
                <w:b/>
                <w:bCs/>
                <w:color w:val="000000"/>
                <w:szCs w:val="22"/>
                <w:lang w:eastAsia="en-GB"/>
              </w:rPr>
              <w:t> </w:t>
            </w:r>
          </w:p>
        </w:tc>
        <w:tc>
          <w:tcPr>
            <w:tcW w:w="616" w:type="pct"/>
            <w:tcBorders>
              <w:top w:val="nil"/>
              <w:left w:val="nil"/>
              <w:bottom w:val="single" w:sz="4" w:space="0" w:color="auto"/>
              <w:right w:val="single" w:sz="4" w:space="0" w:color="auto"/>
            </w:tcBorders>
            <w:shd w:val="clear" w:color="000000" w:fill="E7F0F9"/>
            <w:vAlign w:val="center"/>
            <w:hideMark/>
          </w:tcPr>
          <w:p w:rsidR="00044E94" w:rsidRPr="00044E94" w:rsidRDefault="00044E94" w:rsidP="00044E94">
            <w:pPr>
              <w:jc w:val="center"/>
              <w:rPr>
                <w:rFonts w:cs="Arial"/>
                <w:b/>
                <w:bCs/>
                <w:color w:val="000000"/>
                <w:szCs w:val="22"/>
                <w:lang w:eastAsia="en-GB"/>
              </w:rPr>
            </w:pPr>
            <w:r w:rsidRPr="00044E94">
              <w:rPr>
                <w:rFonts w:cs="Arial"/>
                <w:b/>
                <w:bCs/>
                <w:color w:val="000000"/>
                <w:szCs w:val="22"/>
                <w:lang w:eastAsia="en-GB"/>
              </w:rPr>
              <w:t> </w:t>
            </w:r>
          </w:p>
        </w:tc>
        <w:tc>
          <w:tcPr>
            <w:tcW w:w="484" w:type="pct"/>
            <w:tcBorders>
              <w:top w:val="nil"/>
              <w:left w:val="nil"/>
              <w:bottom w:val="single" w:sz="4" w:space="0" w:color="auto"/>
              <w:right w:val="single" w:sz="4" w:space="0" w:color="auto"/>
            </w:tcBorders>
            <w:shd w:val="clear" w:color="000000" w:fill="E7F0F9"/>
            <w:vAlign w:val="center"/>
            <w:hideMark/>
          </w:tcPr>
          <w:p w:rsidR="00044E94" w:rsidRPr="00044E94" w:rsidRDefault="00044E94" w:rsidP="00044E94">
            <w:pPr>
              <w:jc w:val="center"/>
              <w:rPr>
                <w:rFonts w:cs="Arial"/>
                <w:b/>
                <w:bCs/>
                <w:color w:val="000000"/>
                <w:szCs w:val="22"/>
                <w:lang w:eastAsia="en-GB"/>
              </w:rPr>
            </w:pPr>
            <w:r w:rsidRPr="00044E94">
              <w:rPr>
                <w:rFonts w:cs="Arial"/>
                <w:b/>
                <w:bCs/>
                <w:color w:val="000000"/>
                <w:szCs w:val="22"/>
                <w:lang w:eastAsia="en-GB"/>
              </w:rPr>
              <w:t> </w:t>
            </w:r>
          </w:p>
        </w:tc>
        <w:tc>
          <w:tcPr>
            <w:tcW w:w="433" w:type="pct"/>
            <w:tcBorders>
              <w:top w:val="nil"/>
              <w:left w:val="nil"/>
              <w:bottom w:val="single" w:sz="4" w:space="0" w:color="auto"/>
              <w:right w:val="single" w:sz="4" w:space="0" w:color="auto"/>
            </w:tcBorders>
            <w:shd w:val="clear" w:color="000000" w:fill="E7F0F9"/>
            <w:vAlign w:val="center"/>
            <w:hideMark/>
          </w:tcPr>
          <w:p w:rsidR="00044E94" w:rsidRPr="00044E94" w:rsidRDefault="00044E94" w:rsidP="00044E94">
            <w:pPr>
              <w:jc w:val="center"/>
              <w:rPr>
                <w:rFonts w:cs="Arial"/>
                <w:b/>
                <w:bCs/>
                <w:color w:val="000000"/>
                <w:szCs w:val="22"/>
                <w:lang w:eastAsia="en-GB"/>
              </w:rPr>
            </w:pPr>
            <w:r w:rsidRPr="00044E94">
              <w:rPr>
                <w:rFonts w:cs="Arial"/>
                <w:b/>
                <w:bCs/>
                <w:color w:val="000000"/>
                <w:szCs w:val="22"/>
                <w:lang w:eastAsia="en-GB"/>
              </w:rPr>
              <w:t> </w:t>
            </w:r>
          </w:p>
        </w:tc>
        <w:tc>
          <w:tcPr>
            <w:tcW w:w="616" w:type="pct"/>
            <w:tcBorders>
              <w:top w:val="nil"/>
              <w:left w:val="nil"/>
              <w:bottom w:val="single" w:sz="4" w:space="0" w:color="auto"/>
              <w:right w:val="single" w:sz="4" w:space="0" w:color="auto"/>
            </w:tcBorders>
            <w:shd w:val="clear" w:color="000000" w:fill="E7F0F9"/>
            <w:vAlign w:val="center"/>
            <w:hideMark/>
          </w:tcPr>
          <w:p w:rsidR="00044E94" w:rsidRPr="00044E94" w:rsidRDefault="00044E94" w:rsidP="00044E94">
            <w:pPr>
              <w:jc w:val="center"/>
              <w:rPr>
                <w:rFonts w:cs="Arial"/>
                <w:b/>
                <w:bCs/>
                <w:color w:val="000000"/>
                <w:szCs w:val="22"/>
                <w:lang w:eastAsia="en-GB"/>
              </w:rPr>
            </w:pPr>
            <w:r w:rsidRPr="00044E94">
              <w:rPr>
                <w:rFonts w:cs="Arial"/>
                <w:b/>
                <w:bCs/>
                <w:color w:val="000000"/>
                <w:szCs w:val="22"/>
                <w:lang w:eastAsia="en-GB"/>
              </w:rPr>
              <w:t> </w:t>
            </w:r>
          </w:p>
        </w:tc>
      </w:tr>
      <w:tr w:rsidR="00044E94" w:rsidRPr="00044E94" w:rsidTr="00044E94">
        <w:trPr>
          <w:trHeight w:val="570"/>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single" w:sz="4" w:space="0" w:color="auto"/>
            </w:tcBorders>
            <w:shd w:val="clear" w:color="000000" w:fill="FFFFFF"/>
            <w:vAlign w:val="center"/>
            <w:hideMark/>
          </w:tcPr>
          <w:p w:rsidR="00044E94" w:rsidRPr="00044E94" w:rsidRDefault="00044E94" w:rsidP="00044E94">
            <w:pPr>
              <w:rPr>
                <w:rFonts w:cs="Arial"/>
                <w:color w:val="000000"/>
                <w:szCs w:val="22"/>
                <w:lang w:eastAsia="en-GB"/>
              </w:rPr>
            </w:pPr>
            <w:r w:rsidRPr="00044E94">
              <w:rPr>
                <w:rFonts w:cs="Arial"/>
                <w:color w:val="000000"/>
                <w:szCs w:val="22"/>
                <w:lang w:eastAsia="en-GB"/>
              </w:rPr>
              <w:t>Under Band 1</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30</w:t>
            </w:r>
          </w:p>
        </w:tc>
        <w:tc>
          <w:tcPr>
            <w:tcW w:w="46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22</w:t>
            </w:r>
          </w:p>
        </w:tc>
        <w:tc>
          <w:tcPr>
            <w:tcW w:w="43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2</w:t>
            </w:r>
          </w:p>
        </w:tc>
      </w:tr>
      <w:tr w:rsidR="00044E94" w:rsidRPr="00044E94" w:rsidTr="00044E94">
        <w:trPr>
          <w:trHeight w:val="285"/>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single" w:sz="4" w:space="0" w:color="auto"/>
            </w:tcBorders>
            <w:shd w:val="clear" w:color="000000" w:fill="FFFFFF"/>
            <w:vAlign w:val="center"/>
            <w:hideMark/>
          </w:tcPr>
          <w:p w:rsidR="00044E94" w:rsidRPr="00044E94" w:rsidRDefault="00044E94" w:rsidP="00044E94">
            <w:pPr>
              <w:rPr>
                <w:rFonts w:cs="Arial"/>
                <w:color w:val="000000"/>
                <w:szCs w:val="22"/>
                <w:lang w:eastAsia="en-GB"/>
              </w:rPr>
            </w:pPr>
            <w:r w:rsidRPr="00044E94">
              <w:rPr>
                <w:rFonts w:cs="Arial"/>
                <w:color w:val="000000"/>
                <w:szCs w:val="22"/>
                <w:lang w:eastAsia="en-GB"/>
              </w:rPr>
              <w:t>Band 1</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w:t>
            </w:r>
          </w:p>
        </w:tc>
        <w:tc>
          <w:tcPr>
            <w:tcW w:w="46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w:t>
            </w:r>
          </w:p>
        </w:tc>
        <w:tc>
          <w:tcPr>
            <w:tcW w:w="43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r>
      <w:tr w:rsidR="00044E94" w:rsidRPr="00044E94" w:rsidTr="00044E94">
        <w:trPr>
          <w:trHeight w:val="285"/>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single" w:sz="4" w:space="0" w:color="auto"/>
            </w:tcBorders>
            <w:shd w:val="clear" w:color="000000" w:fill="FFFFFF"/>
            <w:vAlign w:val="center"/>
            <w:hideMark/>
          </w:tcPr>
          <w:p w:rsidR="00044E94" w:rsidRPr="00044E94" w:rsidRDefault="00044E94" w:rsidP="00044E94">
            <w:pPr>
              <w:rPr>
                <w:rFonts w:cs="Arial"/>
                <w:color w:val="000000"/>
                <w:szCs w:val="22"/>
                <w:lang w:eastAsia="en-GB"/>
              </w:rPr>
            </w:pPr>
            <w:r w:rsidRPr="00044E94">
              <w:rPr>
                <w:rFonts w:cs="Arial"/>
                <w:color w:val="000000"/>
                <w:szCs w:val="22"/>
                <w:lang w:eastAsia="en-GB"/>
              </w:rPr>
              <w:t>Band 2</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562</w:t>
            </w:r>
          </w:p>
        </w:tc>
        <w:tc>
          <w:tcPr>
            <w:tcW w:w="46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7</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62</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476</w:t>
            </w:r>
          </w:p>
        </w:tc>
        <w:tc>
          <w:tcPr>
            <w:tcW w:w="43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6</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59</w:t>
            </w:r>
          </w:p>
        </w:tc>
      </w:tr>
      <w:tr w:rsidR="00044E94" w:rsidRPr="00044E94" w:rsidTr="00044E94">
        <w:trPr>
          <w:trHeight w:val="285"/>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single" w:sz="4" w:space="0" w:color="auto"/>
            </w:tcBorders>
            <w:shd w:val="clear" w:color="000000" w:fill="FFFFFF"/>
            <w:vAlign w:val="center"/>
            <w:hideMark/>
          </w:tcPr>
          <w:p w:rsidR="00044E94" w:rsidRPr="00044E94" w:rsidRDefault="00044E94" w:rsidP="00044E94">
            <w:pPr>
              <w:rPr>
                <w:rFonts w:cs="Arial"/>
                <w:color w:val="000000"/>
                <w:szCs w:val="22"/>
                <w:lang w:eastAsia="en-GB"/>
              </w:rPr>
            </w:pPr>
            <w:r w:rsidRPr="00044E94">
              <w:rPr>
                <w:rFonts w:cs="Arial"/>
                <w:color w:val="000000"/>
                <w:szCs w:val="22"/>
                <w:lang w:eastAsia="en-GB"/>
              </w:rPr>
              <w:t>Band 3</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358</w:t>
            </w:r>
          </w:p>
        </w:tc>
        <w:tc>
          <w:tcPr>
            <w:tcW w:w="46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5</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29</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308</w:t>
            </w:r>
          </w:p>
        </w:tc>
        <w:tc>
          <w:tcPr>
            <w:tcW w:w="43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4</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28</w:t>
            </w:r>
          </w:p>
        </w:tc>
      </w:tr>
      <w:tr w:rsidR="00044E94" w:rsidRPr="00044E94" w:rsidTr="00044E94">
        <w:trPr>
          <w:trHeight w:val="285"/>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single" w:sz="4" w:space="0" w:color="auto"/>
            </w:tcBorders>
            <w:shd w:val="clear" w:color="000000" w:fill="FFFFFF"/>
            <w:vAlign w:val="center"/>
            <w:hideMark/>
          </w:tcPr>
          <w:p w:rsidR="00044E94" w:rsidRPr="00044E94" w:rsidRDefault="00044E94" w:rsidP="00044E94">
            <w:pPr>
              <w:rPr>
                <w:rFonts w:cs="Arial"/>
                <w:color w:val="000000"/>
                <w:szCs w:val="22"/>
                <w:lang w:eastAsia="en-GB"/>
              </w:rPr>
            </w:pPr>
            <w:r w:rsidRPr="00044E94">
              <w:rPr>
                <w:rFonts w:cs="Arial"/>
                <w:color w:val="000000"/>
                <w:szCs w:val="22"/>
                <w:lang w:eastAsia="en-GB"/>
              </w:rPr>
              <w:t>Band 4</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282</w:t>
            </w:r>
          </w:p>
        </w:tc>
        <w:tc>
          <w:tcPr>
            <w:tcW w:w="46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5</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44</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221</w:t>
            </w:r>
          </w:p>
        </w:tc>
        <w:tc>
          <w:tcPr>
            <w:tcW w:w="43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3</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35</w:t>
            </w:r>
          </w:p>
        </w:tc>
      </w:tr>
      <w:tr w:rsidR="00044E94" w:rsidRPr="00044E94" w:rsidTr="00044E94">
        <w:trPr>
          <w:trHeight w:val="285"/>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single" w:sz="4" w:space="0" w:color="auto"/>
            </w:tcBorders>
            <w:shd w:val="clear" w:color="000000" w:fill="FFFFFF"/>
            <w:vAlign w:val="center"/>
            <w:hideMark/>
          </w:tcPr>
          <w:p w:rsidR="00044E94" w:rsidRPr="00044E94" w:rsidRDefault="00044E94" w:rsidP="00044E94">
            <w:pPr>
              <w:rPr>
                <w:rFonts w:cs="Arial"/>
                <w:color w:val="000000"/>
                <w:szCs w:val="22"/>
                <w:lang w:eastAsia="en-GB"/>
              </w:rPr>
            </w:pPr>
            <w:r w:rsidRPr="00044E94">
              <w:rPr>
                <w:rFonts w:cs="Arial"/>
                <w:color w:val="000000"/>
                <w:szCs w:val="22"/>
                <w:lang w:eastAsia="en-GB"/>
              </w:rPr>
              <w:t>Band 5</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92</w:t>
            </w:r>
          </w:p>
        </w:tc>
        <w:tc>
          <w:tcPr>
            <w:tcW w:w="46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2</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18</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91</w:t>
            </w:r>
          </w:p>
        </w:tc>
        <w:tc>
          <w:tcPr>
            <w:tcW w:w="43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16</w:t>
            </w:r>
          </w:p>
        </w:tc>
      </w:tr>
      <w:tr w:rsidR="00044E94" w:rsidRPr="00044E94" w:rsidTr="00044E94">
        <w:trPr>
          <w:trHeight w:val="285"/>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single" w:sz="4" w:space="0" w:color="auto"/>
            </w:tcBorders>
            <w:shd w:val="clear" w:color="000000" w:fill="FFFFFF"/>
            <w:vAlign w:val="center"/>
            <w:hideMark/>
          </w:tcPr>
          <w:p w:rsidR="00044E94" w:rsidRPr="00044E94" w:rsidRDefault="00044E94" w:rsidP="00044E94">
            <w:pPr>
              <w:rPr>
                <w:rFonts w:cs="Arial"/>
                <w:color w:val="000000"/>
                <w:szCs w:val="22"/>
                <w:lang w:eastAsia="en-GB"/>
              </w:rPr>
            </w:pPr>
            <w:r w:rsidRPr="00044E94">
              <w:rPr>
                <w:rFonts w:cs="Arial"/>
                <w:color w:val="000000"/>
                <w:szCs w:val="22"/>
                <w:lang w:eastAsia="en-GB"/>
              </w:rPr>
              <w:t>Band 6</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80</w:t>
            </w:r>
          </w:p>
        </w:tc>
        <w:tc>
          <w:tcPr>
            <w:tcW w:w="46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22</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98</w:t>
            </w:r>
          </w:p>
        </w:tc>
        <w:tc>
          <w:tcPr>
            <w:tcW w:w="43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22</w:t>
            </w:r>
          </w:p>
        </w:tc>
      </w:tr>
      <w:tr w:rsidR="00044E94" w:rsidRPr="00044E94" w:rsidTr="00044E94">
        <w:trPr>
          <w:trHeight w:val="285"/>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single" w:sz="4" w:space="0" w:color="auto"/>
            </w:tcBorders>
            <w:shd w:val="clear" w:color="000000" w:fill="FFFFFF"/>
            <w:vAlign w:val="center"/>
            <w:hideMark/>
          </w:tcPr>
          <w:p w:rsidR="00044E94" w:rsidRPr="00044E94" w:rsidRDefault="00044E94" w:rsidP="00044E94">
            <w:pPr>
              <w:rPr>
                <w:rFonts w:cs="Arial"/>
                <w:color w:val="000000"/>
                <w:szCs w:val="22"/>
                <w:lang w:eastAsia="en-GB"/>
              </w:rPr>
            </w:pPr>
            <w:r w:rsidRPr="00044E94">
              <w:rPr>
                <w:rFonts w:cs="Arial"/>
                <w:color w:val="000000"/>
                <w:szCs w:val="22"/>
                <w:lang w:eastAsia="en-GB"/>
              </w:rPr>
              <w:t>Band 7</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51</w:t>
            </w:r>
          </w:p>
        </w:tc>
        <w:tc>
          <w:tcPr>
            <w:tcW w:w="46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9</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57</w:t>
            </w:r>
          </w:p>
        </w:tc>
        <w:tc>
          <w:tcPr>
            <w:tcW w:w="43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8</w:t>
            </w:r>
          </w:p>
        </w:tc>
      </w:tr>
      <w:tr w:rsidR="00044E94" w:rsidRPr="00044E94" w:rsidTr="00044E94">
        <w:trPr>
          <w:trHeight w:val="285"/>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single" w:sz="4" w:space="0" w:color="auto"/>
            </w:tcBorders>
            <w:shd w:val="clear" w:color="000000" w:fill="FFFFFF"/>
            <w:vAlign w:val="center"/>
            <w:hideMark/>
          </w:tcPr>
          <w:p w:rsidR="00044E94" w:rsidRPr="00044E94" w:rsidRDefault="00044E94" w:rsidP="00044E94">
            <w:pPr>
              <w:rPr>
                <w:rFonts w:cs="Arial"/>
                <w:color w:val="000000"/>
                <w:szCs w:val="22"/>
                <w:lang w:eastAsia="en-GB"/>
              </w:rPr>
            </w:pPr>
            <w:r w:rsidRPr="00044E94">
              <w:rPr>
                <w:rFonts w:cs="Arial"/>
                <w:color w:val="000000"/>
                <w:szCs w:val="22"/>
                <w:lang w:eastAsia="en-GB"/>
              </w:rPr>
              <w:t>Band 8A</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30</w:t>
            </w:r>
          </w:p>
        </w:tc>
        <w:tc>
          <w:tcPr>
            <w:tcW w:w="46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10</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31</w:t>
            </w:r>
          </w:p>
        </w:tc>
        <w:tc>
          <w:tcPr>
            <w:tcW w:w="43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11</w:t>
            </w:r>
          </w:p>
        </w:tc>
      </w:tr>
      <w:tr w:rsidR="00044E94" w:rsidRPr="00044E94" w:rsidTr="00044E94">
        <w:trPr>
          <w:trHeight w:val="285"/>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single" w:sz="4" w:space="0" w:color="auto"/>
            </w:tcBorders>
            <w:shd w:val="clear" w:color="000000" w:fill="FFFFFF"/>
            <w:vAlign w:val="center"/>
            <w:hideMark/>
          </w:tcPr>
          <w:p w:rsidR="00044E94" w:rsidRPr="00044E94" w:rsidRDefault="00044E94" w:rsidP="00044E94">
            <w:pPr>
              <w:rPr>
                <w:rFonts w:cs="Arial"/>
                <w:color w:val="000000"/>
                <w:szCs w:val="22"/>
                <w:lang w:eastAsia="en-GB"/>
              </w:rPr>
            </w:pPr>
            <w:r w:rsidRPr="00044E94">
              <w:rPr>
                <w:rFonts w:cs="Arial"/>
                <w:color w:val="000000"/>
                <w:szCs w:val="22"/>
                <w:lang w:eastAsia="en-GB"/>
              </w:rPr>
              <w:t>Band 8B</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41</w:t>
            </w:r>
          </w:p>
        </w:tc>
        <w:tc>
          <w:tcPr>
            <w:tcW w:w="46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3</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22</w:t>
            </w:r>
          </w:p>
        </w:tc>
        <w:tc>
          <w:tcPr>
            <w:tcW w:w="43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4</w:t>
            </w:r>
          </w:p>
        </w:tc>
      </w:tr>
      <w:tr w:rsidR="00044E94" w:rsidRPr="00044E94" w:rsidTr="00044E94">
        <w:trPr>
          <w:trHeight w:val="285"/>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single" w:sz="4" w:space="0" w:color="auto"/>
            </w:tcBorders>
            <w:shd w:val="clear" w:color="000000" w:fill="FFFFFF"/>
            <w:vAlign w:val="center"/>
            <w:hideMark/>
          </w:tcPr>
          <w:p w:rsidR="00044E94" w:rsidRPr="00044E94" w:rsidRDefault="00044E94" w:rsidP="00044E94">
            <w:pPr>
              <w:rPr>
                <w:rFonts w:cs="Arial"/>
                <w:color w:val="000000"/>
                <w:szCs w:val="22"/>
                <w:lang w:eastAsia="en-GB"/>
              </w:rPr>
            </w:pPr>
            <w:r w:rsidRPr="00044E94">
              <w:rPr>
                <w:rFonts w:cs="Arial"/>
                <w:color w:val="000000"/>
                <w:szCs w:val="22"/>
                <w:lang w:eastAsia="en-GB"/>
              </w:rPr>
              <w:t>Band 8C</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2</w:t>
            </w:r>
          </w:p>
        </w:tc>
        <w:tc>
          <w:tcPr>
            <w:tcW w:w="46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3</w:t>
            </w:r>
          </w:p>
        </w:tc>
        <w:tc>
          <w:tcPr>
            <w:tcW w:w="43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w:t>
            </w:r>
          </w:p>
        </w:tc>
      </w:tr>
      <w:tr w:rsidR="00044E94" w:rsidRPr="00044E94" w:rsidTr="00044E94">
        <w:trPr>
          <w:trHeight w:val="285"/>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single" w:sz="4" w:space="0" w:color="auto"/>
            </w:tcBorders>
            <w:shd w:val="clear" w:color="000000" w:fill="FFFFFF"/>
            <w:vAlign w:val="center"/>
            <w:hideMark/>
          </w:tcPr>
          <w:p w:rsidR="00044E94" w:rsidRPr="00044E94" w:rsidRDefault="00044E94" w:rsidP="00044E94">
            <w:pPr>
              <w:rPr>
                <w:rFonts w:cs="Arial"/>
                <w:color w:val="000000"/>
                <w:szCs w:val="22"/>
                <w:lang w:eastAsia="en-GB"/>
              </w:rPr>
            </w:pPr>
            <w:r w:rsidRPr="00044E94">
              <w:rPr>
                <w:rFonts w:cs="Arial"/>
                <w:color w:val="000000"/>
                <w:szCs w:val="22"/>
                <w:lang w:eastAsia="en-GB"/>
              </w:rPr>
              <w:t>Band 8D</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7</w:t>
            </w:r>
          </w:p>
        </w:tc>
        <w:tc>
          <w:tcPr>
            <w:tcW w:w="46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2</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w:t>
            </w:r>
          </w:p>
        </w:tc>
        <w:tc>
          <w:tcPr>
            <w:tcW w:w="43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w:t>
            </w:r>
          </w:p>
        </w:tc>
      </w:tr>
      <w:tr w:rsidR="00044E94" w:rsidRPr="00044E94" w:rsidTr="00044E94">
        <w:trPr>
          <w:trHeight w:val="285"/>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single" w:sz="4" w:space="0" w:color="auto"/>
            </w:tcBorders>
            <w:shd w:val="clear" w:color="000000" w:fill="FFFFFF"/>
            <w:vAlign w:val="center"/>
            <w:hideMark/>
          </w:tcPr>
          <w:p w:rsidR="00044E94" w:rsidRPr="00044E94" w:rsidRDefault="00044E94" w:rsidP="00044E94">
            <w:pPr>
              <w:rPr>
                <w:rFonts w:cs="Arial"/>
                <w:color w:val="000000"/>
                <w:szCs w:val="22"/>
                <w:lang w:eastAsia="en-GB"/>
              </w:rPr>
            </w:pPr>
            <w:r w:rsidRPr="00044E94">
              <w:rPr>
                <w:rFonts w:cs="Arial"/>
                <w:color w:val="000000"/>
                <w:szCs w:val="22"/>
                <w:lang w:eastAsia="en-GB"/>
              </w:rPr>
              <w:t>Band 9</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4</w:t>
            </w:r>
          </w:p>
        </w:tc>
        <w:tc>
          <w:tcPr>
            <w:tcW w:w="46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w:t>
            </w:r>
          </w:p>
        </w:tc>
        <w:tc>
          <w:tcPr>
            <w:tcW w:w="43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r>
      <w:tr w:rsidR="00044E94" w:rsidRPr="00044E94" w:rsidTr="00044E94">
        <w:trPr>
          <w:trHeight w:val="285"/>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single" w:sz="4" w:space="0" w:color="auto"/>
            </w:tcBorders>
            <w:shd w:val="clear" w:color="000000" w:fill="FFFFFF"/>
            <w:vAlign w:val="center"/>
            <w:hideMark/>
          </w:tcPr>
          <w:p w:rsidR="00044E94" w:rsidRPr="00044E94" w:rsidRDefault="00044E94" w:rsidP="00044E94">
            <w:pPr>
              <w:rPr>
                <w:rFonts w:cs="Arial"/>
                <w:color w:val="000000"/>
                <w:szCs w:val="22"/>
                <w:lang w:eastAsia="en-GB"/>
              </w:rPr>
            </w:pPr>
            <w:r w:rsidRPr="00044E94">
              <w:rPr>
                <w:rFonts w:cs="Arial"/>
                <w:color w:val="000000"/>
                <w:szCs w:val="22"/>
                <w:lang w:eastAsia="en-GB"/>
              </w:rPr>
              <w:t>VSM</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5</w:t>
            </w:r>
          </w:p>
        </w:tc>
        <w:tc>
          <w:tcPr>
            <w:tcW w:w="46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5</w:t>
            </w:r>
          </w:p>
        </w:tc>
        <w:tc>
          <w:tcPr>
            <w:tcW w:w="43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r>
      <w:tr w:rsidR="00044E94" w:rsidRPr="00044E94" w:rsidTr="00044E94">
        <w:trPr>
          <w:trHeight w:val="255"/>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vMerge w:val="restart"/>
            <w:tcBorders>
              <w:top w:val="nil"/>
              <w:left w:val="single" w:sz="4" w:space="0" w:color="auto"/>
              <w:bottom w:val="single" w:sz="4" w:space="0" w:color="auto"/>
              <w:right w:val="single" w:sz="4" w:space="0" w:color="auto"/>
            </w:tcBorders>
            <w:shd w:val="clear" w:color="000000" w:fill="E7F0F9"/>
            <w:vAlign w:val="center"/>
            <w:hideMark/>
          </w:tcPr>
          <w:p w:rsidR="00044E94" w:rsidRPr="00044E94" w:rsidRDefault="00044E94" w:rsidP="00044E94">
            <w:pPr>
              <w:rPr>
                <w:rFonts w:cs="Arial"/>
                <w:color w:val="000000"/>
                <w:szCs w:val="22"/>
                <w:lang w:eastAsia="en-GB"/>
              </w:rPr>
            </w:pPr>
            <w:r w:rsidRPr="00044E94">
              <w:rPr>
                <w:rFonts w:cs="Arial"/>
                <w:b/>
                <w:bCs/>
                <w:color w:val="000000"/>
                <w:szCs w:val="22"/>
                <w:lang w:eastAsia="en-GB"/>
              </w:rPr>
              <w:t>1b) Clinical workforce</w:t>
            </w:r>
            <w:r w:rsidRPr="00044E94">
              <w:rPr>
                <w:rFonts w:cs="Arial"/>
                <w:color w:val="000000"/>
                <w:szCs w:val="22"/>
                <w:lang w:eastAsia="en-GB"/>
              </w:rPr>
              <w:br/>
              <w:t xml:space="preserve">of which </w:t>
            </w:r>
            <w:proofErr w:type="spellStart"/>
            <w:r w:rsidRPr="00044E94">
              <w:rPr>
                <w:rFonts w:cs="Arial"/>
                <w:color w:val="000000"/>
                <w:szCs w:val="22"/>
                <w:lang w:eastAsia="en-GB"/>
              </w:rPr>
              <w:t xml:space="preserve">Non </w:t>
            </w:r>
            <w:r w:rsidRPr="00044E94">
              <w:rPr>
                <w:rFonts w:cs="Arial"/>
                <w:color w:val="000000"/>
                <w:szCs w:val="22"/>
                <w:lang w:eastAsia="en-GB"/>
              </w:rPr>
              <w:lastRenderedPageBreak/>
              <w:t>Medical</w:t>
            </w:r>
            <w:proofErr w:type="spellEnd"/>
          </w:p>
        </w:tc>
        <w:tc>
          <w:tcPr>
            <w:tcW w:w="1563" w:type="pct"/>
            <w:gridSpan w:val="3"/>
            <w:vMerge w:val="restart"/>
            <w:tcBorders>
              <w:top w:val="single" w:sz="4" w:space="0" w:color="auto"/>
              <w:left w:val="nil"/>
              <w:bottom w:val="single" w:sz="4" w:space="0" w:color="000000"/>
              <w:right w:val="nil"/>
            </w:tcBorders>
            <w:shd w:val="clear" w:color="000000" w:fill="E7F0F9"/>
            <w:vAlign w:val="center"/>
            <w:hideMark/>
          </w:tcPr>
          <w:p w:rsidR="00044E94" w:rsidRPr="00044E94" w:rsidRDefault="00044E94" w:rsidP="00044E94">
            <w:pPr>
              <w:jc w:val="center"/>
              <w:rPr>
                <w:rFonts w:cs="Arial"/>
                <w:szCs w:val="22"/>
                <w:lang w:eastAsia="en-GB"/>
              </w:rPr>
            </w:pPr>
            <w:r w:rsidRPr="00044E94">
              <w:rPr>
                <w:rFonts w:cs="Arial"/>
                <w:szCs w:val="22"/>
                <w:lang w:eastAsia="en-GB"/>
              </w:rPr>
              <w:lastRenderedPageBreak/>
              <w:t> </w:t>
            </w:r>
          </w:p>
        </w:tc>
        <w:tc>
          <w:tcPr>
            <w:tcW w:w="1533" w:type="pct"/>
            <w:gridSpan w:val="3"/>
            <w:vMerge w:val="restart"/>
            <w:tcBorders>
              <w:top w:val="single" w:sz="4" w:space="0" w:color="auto"/>
              <w:left w:val="single" w:sz="4" w:space="0" w:color="auto"/>
              <w:bottom w:val="single" w:sz="4" w:space="0" w:color="auto"/>
              <w:right w:val="single" w:sz="4" w:space="0" w:color="auto"/>
            </w:tcBorders>
            <w:shd w:val="clear" w:color="000000" w:fill="E7F0F9"/>
            <w:vAlign w:val="center"/>
            <w:hideMark/>
          </w:tcPr>
          <w:p w:rsidR="00044E94" w:rsidRPr="00044E94" w:rsidRDefault="00044E94" w:rsidP="00044E94">
            <w:pPr>
              <w:jc w:val="center"/>
              <w:rPr>
                <w:rFonts w:cs="Arial"/>
                <w:szCs w:val="22"/>
                <w:lang w:eastAsia="en-GB"/>
              </w:rPr>
            </w:pPr>
            <w:r w:rsidRPr="00044E94">
              <w:rPr>
                <w:rFonts w:cs="Arial"/>
                <w:szCs w:val="22"/>
                <w:lang w:eastAsia="en-GB"/>
              </w:rPr>
              <w:t> </w:t>
            </w:r>
          </w:p>
        </w:tc>
      </w:tr>
      <w:tr w:rsidR="00044E94" w:rsidRPr="00044E94" w:rsidTr="00044E94">
        <w:trPr>
          <w:trHeight w:val="255"/>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color w:val="000000"/>
                <w:szCs w:val="22"/>
                <w:lang w:eastAsia="en-GB"/>
              </w:rPr>
            </w:pPr>
          </w:p>
        </w:tc>
        <w:tc>
          <w:tcPr>
            <w:tcW w:w="1563" w:type="pct"/>
            <w:gridSpan w:val="3"/>
            <w:vMerge/>
            <w:tcBorders>
              <w:top w:val="single" w:sz="4" w:space="0" w:color="auto"/>
              <w:left w:val="nil"/>
              <w:bottom w:val="single" w:sz="4" w:space="0" w:color="000000"/>
              <w:right w:val="nil"/>
            </w:tcBorders>
            <w:vAlign w:val="center"/>
            <w:hideMark/>
          </w:tcPr>
          <w:p w:rsidR="00044E94" w:rsidRPr="00044E94" w:rsidRDefault="00044E94" w:rsidP="00044E94">
            <w:pPr>
              <w:rPr>
                <w:rFonts w:cs="Arial"/>
                <w:szCs w:val="22"/>
                <w:lang w:eastAsia="en-GB"/>
              </w:rPr>
            </w:pPr>
          </w:p>
        </w:tc>
        <w:tc>
          <w:tcPr>
            <w:tcW w:w="1533" w:type="pct"/>
            <w:gridSpan w:val="3"/>
            <w:vMerge/>
            <w:tcBorders>
              <w:top w:val="single" w:sz="4" w:space="0" w:color="auto"/>
              <w:left w:val="single" w:sz="4" w:space="0" w:color="auto"/>
              <w:bottom w:val="single" w:sz="4" w:space="0" w:color="auto"/>
              <w:right w:val="single" w:sz="4" w:space="0" w:color="auto"/>
            </w:tcBorders>
            <w:vAlign w:val="center"/>
            <w:hideMark/>
          </w:tcPr>
          <w:p w:rsidR="00044E94" w:rsidRPr="00044E94" w:rsidRDefault="00044E94" w:rsidP="00044E94">
            <w:pPr>
              <w:rPr>
                <w:rFonts w:cs="Arial"/>
                <w:szCs w:val="22"/>
                <w:lang w:eastAsia="en-GB"/>
              </w:rPr>
            </w:pPr>
          </w:p>
        </w:tc>
      </w:tr>
      <w:tr w:rsidR="00044E94" w:rsidRPr="00044E94" w:rsidTr="00044E94">
        <w:trPr>
          <w:trHeight w:val="570"/>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single" w:sz="4" w:space="0" w:color="auto"/>
            </w:tcBorders>
            <w:shd w:val="clear" w:color="000000" w:fill="FFFFFF"/>
            <w:vAlign w:val="center"/>
            <w:hideMark/>
          </w:tcPr>
          <w:p w:rsidR="00044E94" w:rsidRPr="00044E94" w:rsidRDefault="00044E94" w:rsidP="00044E94">
            <w:pPr>
              <w:rPr>
                <w:rFonts w:cs="Arial"/>
                <w:color w:val="000000"/>
                <w:szCs w:val="22"/>
                <w:lang w:eastAsia="en-GB"/>
              </w:rPr>
            </w:pPr>
            <w:r w:rsidRPr="00044E94">
              <w:rPr>
                <w:rFonts w:cs="Arial"/>
                <w:color w:val="000000"/>
                <w:szCs w:val="22"/>
                <w:lang w:eastAsia="en-GB"/>
              </w:rPr>
              <w:t>Under Band 1</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46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2</w:t>
            </w:r>
          </w:p>
        </w:tc>
        <w:tc>
          <w:tcPr>
            <w:tcW w:w="43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r>
      <w:tr w:rsidR="00044E94" w:rsidRPr="00044E94" w:rsidTr="00044E94">
        <w:trPr>
          <w:trHeight w:val="285"/>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single" w:sz="4" w:space="0" w:color="auto"/>
            </w:tcBorders>
            <w:shd w:val="clear" w:color="000000" w:fill="FFFFFF"/>
            <w:vAlign w:val="center"/>
            <w:hideMark/>
          </w:tcPr>
          <w:p w:rsidR="00044E94" w:rsidRPr="00044E94" w:rsidRDefault="00044E94" w:rsidP="00044E94">
            <w:pPr>
              <w:rPr>
                <w:rFonts w:cs="Arial"/>
                <w:color w:val="000000"/>
                <w:szCs w:val="22"/>
                <w:lang w:eastAsia="en-GB"/>
              </w:rPr>
            </w:pPr>
            <w:r w:rsidRPr="00044E94">
              <w:rPr>
                <w:rFonts w:cs="Arial"/>
                <w:color w:val="000000"/>
                <w:szCs w:val="22"/>
                <w:lang w:eastAsia="en-GB"/>
              </w:rPr>
              <w:t>Band 1</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w:t>
            </w:r>
          </w:p>
        </w:tc>
        <w:tc>
          <w:tcPr>
            <w:tcW w:w="46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w:t>
            </w:r>
          </w:p>
        </w:tc>
        <w:tc>
          <w:tcPr>
            <w:tcW w:w="43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r>
      <w:tr w:rsidR="00044E94" w:rsidRPr="00044E94" w:rsidTr="00044E94">
        <w:trPr>
          <w:trHeight w:val="285"/>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single" w:sz="4" w:space="0" w:color="auto"/>
            </w:tcBorders>
            <w:shd w:val="clear" w:color="000000" w:fill="FFFFFF"/>
            <w:vAlign w:val="center"/>
            <w:hideMark/>
          </w:tcPr>
          <w:p w:rsidR="00044E94" w:rsidRPr="00044E94" w:rsidRDefault="00044E94" w:rsidP="00044E94">
            <w:pPr>
              <w:rPr>
                <w:rFonts w:cs="Arial"/>
                <w:color w:val="000000"/>
                <w:szCs w:val="22"/>
                <w:lang w:eastAsia="en-GB"/>
              </w:rPr>
            </w:pPr>
            <w:r w:rsidRPr="00044E94">
              <w:rPr>
                <w:rFonts w:cs="Arial"/>
                <w:color w:val="000000"/>
                <w:szCs w:val="22"/>
                <w:lang w:eastAsia="en-GB"/>
              </w:rPr>
              <w:t>Band 2</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54</w:t>
            </w:r>
          </w:p>
        </w:tc>
        <w:tc>
          <w:tcPr>
            <w:tcW w:w="46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2</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78</w:t>
            </w:r>
          </w:p>
        </w:tc>
        <w:tc>
          <w:tcPr>
            <w:tcW w:w="43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2</w:t>
            </w:r>
          </w:p>
        </w:tc>
      </w:tr>
      <w:tr w:rsidR="00044E94" w:rsidRPr="00044E94" w:rsidTr="00044E94">
        <w:trPr>
          <w:trHeight w:val="285"/>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single" w:sz="4" w:space="0" w:color="auto"/>
            </w:tcBorders>
            <w:shd w:val="clear" w:color="000000" w:fill="FFFFFF"/>
            <w:vAlign w:val="center"/>
            <w:hideMark/>
          </w:tcPr>
          <w:p w:rsidR="00044E94" w:rsidRPr="00044E94" w:rsidRDefault="00044E94" w:rsidP="00044E94">
            <w:pPr>
              <w:rPr>
                <w:rFonts w:cs="Arial"/>
                <w:color w:val="000000"/>
                <w:szCs w:val="22"/>
                <w:lang w:eastAsia="en-GB"/>
              </w:rPr>
            </w:pPr>
            <w:r w:rsidRPr="00044E94">
              <w:rPr>
                <w:rFonts w:cs="Arial"/>
                <w:color w:val="000000"/>
                <w:szCs w:val="22"/>
                <w:lang w:eastAsia="en-GB"/>
              </w:rPr>
              <w:t>Band 3</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1575</w:t>
            </w:r>
          </w:p>
        </w:tc>
        <w:tc>
          <w:tcPr>
            <w:tcW w:w="46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86</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150</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szCs w:val="22"/>
                <w:lang w:eastAsia="en-GB"/>
              </w:rPr>
            </w:pPr>
            <w:r w:rsidRPr="00044E94">
              <w:rPr>
                <w:rFonts w:cs="Arial"/>
                <w:szCs w:val="22"/>
                <w:lang w:eastAsia="en-GB"/>
              </w:rPr>
              <w:t>1589</w:t>
            </w:r>
          </w:p>
        </w:tc>
        <w:tc>
          <w:tcPr>
            <w:tcW w:w="43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106</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137</w:t>
            </w:r>
          </w:p>
        </w:tc>
      </w:tr>
      <w:tr w:rsidR="00044E94" w:rsidRPr="00044E94" w:rsidTr="00044E94">
        <w:trPr>
          <w:trHeight w:val="285"/>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single" w:sz="4" w:space="0" w:color="auto"/>
            </w:tcBorders>
            <w:shd w:val="clear" w:color="000000" w:fill="FFFFFF"/>
            <w:vAlign w:val="center"/>
            <w:hideMark/>
          </w:tcPr>
          <w:p w:rsidR="00044E94" w:rsidRPr="00044E94" w:rsidRDefault="00044E94" w:rsidP="00044E94">
            <w:pPr>
              <w:rPr>
                <w:rFonts w:cs="Arial"/>
                <w:color w:val="000000"/>
                <w:szCs w:val="22"/>
                <w:lang w:eastAsia="en-GB"/>
              </w:rPr>
            </w:pPr>
            <w:r w:rsidRPr="00044E94">
              <w:rPr>
                <w:rFonts w:cs="Arial"/>
                <w:color w:val="000000"/>
                <w:szCs w:val="22"/>
                <w:lang w:eastAsia="en-GB"/>
              </w:rPr>
              <w:t>Band 4</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161</w:t>
            </w:r>
          </w:p>
        </w:tc>
        <w:tc>
          <w:tcPr>
            <w:tcW w:w="46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3</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12</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225</w:t>
            </w:r>
          </w:p>
        </w:tc>
        <w:tc>
          <w:tcPr>
            <w:tcW w:w="43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4</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17</w:t>
            </w:r>
          </w:p>
        </w:tc>
      </w:tr>
      <w:tr w:rsidR="00044E94" w:rsidRPr="00044E94" w:rsidTr="00044E94">
        <w:trPr>
          <w:trHeight w:val="285"/>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single" w:sz="4" w:space="0" w:color="auto"/>
            </w:tcBorders>
            <w:shd w:val="clear" w:color="000000" w:fill="FFFFFF"/>
            <w:vAlign w:val="center"/>
            <w:hideMark/>
          </w:tcPr>
          <w:p w:rsidR="00044E94" w:rsidRPr="00044E94" w:rsidRDefault="00044E94" w:rsidP="00044E94">
            <w:pPr>
              <w:rPr>
                <w:rFonts w:cs="Arial"/>
                <w:color w:val="000000"/>
                <w:szCs w:val="22"/>
                <w:lang w:eastAsia="en-GB"/>
              </w:rPr>
            </w:pPr>
            <w:r w:rsidRPr="00044E94">
              <w:rPr>
                <w:rFonts w:cs="Arial"/>
                <w:color w:val="000000"/>
                <w:szCs w:val="22"/>
                <w:lang w:eastAsia="en-GB"/>
              </w:rPr>
              <w:t>Band 5</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703</w:t>
            </w:r>
          </w:p>
        </w:tc>
        <w:tc>
          <w:tcPr>
            <w:tcW w:w="46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30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94</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710</w:t>
            </w:r>
          </w:p>
        </w:tc>
        <w:tc>
          <w:tcPr>
            <w:tcW w:w="43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40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78</w:t>
            </w:r>
          </w:p>
        </w:tc>
      </w:tr>
      <w:tr w:rsidR="00044E94" w:rsidRPr="00044E94" w:rsidTr="00044E94">
        <w:trPr>
          <w:trHeight w:val="285"/>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single" w:sz="4" w:space="0" w:color="auto"/>
            </w:tcBorders>
            <w:shd w:val="clear" w:color="000000" w:fill="FFFFFF"/>
            <w:vAlign w:val="center"/>
            <w:hideMark/>
          </w:tcPr>
          <w:p w:rsidR="00044E94" w:rsidRPr="00044E94" w:rsidRDefault="00044E94" w:rsidP="00044E94">
            <w:pPr>
              <w:rPr>
                <w:rFonts w:cs="Arial"/>
                <w:color w:val="000000"/>
                <w:szCs w:val="22"/>
                <w:lang w:eastAsia="en-GB"/>
              </w:rPr>
            </w:pPr>
            <w:r w:rsidRPr="00044E94">
              <w:rPr>
                <w:rFonts w:cs="Arial"/>
                <w:color w:val="000000"/>
                <w:szCs w:val="22"/>
                <w:lang w:eastAsia="en-GB"/>
              </w:rPr>
              <w:t>Band 6</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968</w:t>
            </w:r>
          </w:p>
        </w:tc>
        <w:tc>
          <w:tcPr>
            <w:tcW w:w="46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23</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115</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1005</w:t>
            </w:r>
          </w:p>
        </w:tc>
        <w:tc>
          <w:tcPr>
            <w:tcW w:w="43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27</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107</w:t>
            </w:r>
          </w:p>
        </w:tc>
      </w:tr>
      <w:tr w:rsidR="00044E94" w:rsidRPr="00044E94" w:rsidTr="00044E94">
        <w:trPr>
          <w:trHeight w:val="285"/>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single" w:sz="4" w:space="0" w:color="auto"/>
            </w:tcBorders>
            <w:shd w:val="clear" w:color="000000" w:fill="FFFFFF"/>
            <w:vAlign w:val="center"/>
            <w:hideMark/>
          </w:tcPr>
          <w:p w:rsidR="00044E94" w:rsidRPr="00044E94" w:rsidRDefault="00044E94" w:rsidP="00044E94">
            <w:pPr>
              <w:rPr>
                <w:rFonts w:cs="Arial"/>
                <w:color w:val="000000"/>
                <w:szCs w:val="22"/>
                <w:lang w:eastAsia="en-GB"/>
              </w:rPr>
            </w:pPr>
            <w:r w:rsidRPr="00044E94">
              <w:rPr>
                <w:rFonts w:cs="Arial"/>
                <w:color w:val="000000"/>
                <w:szCs w:val="22"/>
                <w:lang w:eastAsia="en-GB"/>
              </w:rPr>
              <w:t>Band 7</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419</w:t>
            </w:r>
          </w:p>
        </w:tc>
        <w:tc>
          <w:tcPr>
            <w:tcW w:w="46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55</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438</w:t>
            </w:r>
          </w:p>
        </w:tc>
        <w:tc>
          <w:tcPr>
            <w:tcW w:w="43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48</w:t>
            </w:r>
          </w:p>
        </w:tc>
      </w:tr>
      <w:tr w:rsidR="00044E94" w:rsidRPr="00044E94" w:rsidTr="00044E94">
        <w:trPr>
          <w:trHeight w:val="285"/>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single" w:sz="4" w:space="0" w:color="auto"/>
            </w:tcBorders>
            <w:shd w:val="clear" w:color="000000" w:fill="FFFFFF"/>
            <w:vAlign w:val="center"/>
            <w:hideMark/>
          </w:tcPr>
          <w:p w:rsidR="00044E94" w:rsidRPr="00044E94" w:rsidRDefault="00044E94" w:rsidP="00044E94">
            <w:pPr>
              <w:rPr>
                <w:rFonts w:cs="Arial"/>
                <w:szCs w:val="22"/>
                <w:lang w:eastAsia="en-GB"/>
              </w:rPr>
            </w:pPr>
            <w:r w:rsidRPr="00044E94">
              <w:rPr>
                <w:rFonts w:cs="Arial"/>
                <w:szCs w:val="22"/>
                <w:lang w:eastAsia="en-GB"/>
              </w:rPr>
              <w:t>Band 8A</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143</w:t>
            </w:r>
          </w:p>
        </w:tc>
        <w:tc>
          <w:tcPr>
            <w:tcW w:w="46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8</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29</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153</w:t>
            </w:r>
          </w:p>
        </w:tc>
        <w:tc>
          <w:tcPr>
            <w:tcW w:w="43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11</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27</w:t>
            </w:r>
          </w:p>
        </w:tc>
      </w:tr>
      <w:tr w:rsidR="00044E94" w:rsidRPr="00044E94" w:rsidTr="00044E94">
        <w:trPr>
          <w:trHeight w:val="285"/>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single" w:sz="4" w:space="0" w:color="auto"/>
            </w:tcBorders>
            <w:shd w:val="clear" w:color="000000" w:fill="FFFFFF"/>
            <w:vAlign w:val="center"/>
            <w:hideMark/>
          </w:tcPr>
          <w:p w:rsidR="00044E94" w:rsidRPr="00044E94" w:rsidRDefault="00044E94" w:rsidP="00044E94">
            <w:pPr>
              <w:rPr>
                <w:rFonts w:cs="Arial"/>
                <w:szCs w:val="22"/>
                <w:lang w:eastAsia="en-GB"/>
              </w:rPr>
            </w:pPr>
            <w:r w:rsidRPr="00044E94">
              <w:rPr>
                <w:rFonts w:cs="Arial"/>
                <w:szCs w:val="22"/>
                <w:lang w:eastAsia="en-GB"/>
              </w:rPr>
              <w:t>Band 8B</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62</w:t>
            </w:r>
          </w:p>
        </w:tc>
        <w:tc>
          <w:tcPr>
            <w:tcW w:w="46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10</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64</w:t>
            </w:r>
          </w:p>
        </w:tc>
        <w:tc>
          <w:tcPr>
            <w:tcW w:w="43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8</w:t>
            </w:r>
          </w:p>
        </w:tc>
      </w:tr>
      <w:tr w:rsidR="00044E94" w:rsidRPr="00044E94" w:rsidTr="00044E94">
        <w:trPr>
          <w:trHeight w:val="285"/>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single" w:sz="4" w:space="0" w:color="auto"/>
            </w:tcBorders>
            <w:shd w:val="clear" w:color="000000" w:fill="FFFFFF"/>
            <w:vAlign w:val="center"/>
            <w:hideMark/>
          </w:tcPr>
          <w:p w:rsidR="00044E94" w:rsidRPr="00044E94" w:rsidRDefault="00044E94" w:rsidP="00044E94">
            <w:pPr>
              <w:rPr>
                <w:rFonts w:cs="Arial"/>
                <w:szCs w:val="22"/>
                <w:lang w:eastAsia="en-GB"/>
              </w:rPr>
            </w:pPr>
            <w:r w:rsidRPr="00044E94">
              <w:rPr>
                <w:rFonts w:cs="Arial"/>
                <w:szCs w:val="22"/>
                <w:lang w:eastAsia="en-GB"/>
              </w:rPr>
              <w:t>Band 8C</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43</w:t>
            </w:r>
          </w:p>
        </w:tc>
        <w:tc>
          <w:tcPr>
            <w:tcW w:w="46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3</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44</w:t>
            </w:r>
          </w:p>
        </w:tc>
        <w:tc>
          <w:tcPr>
            <w:tcW w:w="43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2</w:t>
            </w:r>
          </w:p>
        </w:tc>
      </w:tr>
      <w:tr w:rsidR="00044E94" w:rsidRPr="00044E94" w:rsidTr="00044E94">
        <w:trPr>
          <w:trHeight w:val="285"/>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single" w:sz="4" w:space="0" w:color="auto"/>
            </w:tcBorders>
            <w:shd w:val="clear" w:color="000000" w:fill="FFFFFF"/>
            <w:vAlign w:val="center"/>
            <w:hideMark/>
          </w:tcPr>
          <w:p w:rsidR="00044E94" w:rsidRPr="00044E94" w:rsidRDefault="00044E94" w:rsidP="00044E94">
            <w:pPr>
              <w:rPr>
                <w:rFonts w:cs="Arial"/>
                <w:szCs w:val="22"/>
                <w:lang w:eastAsia="en-GB"/>
              </w:rPr>
            </w:pPr>
            <w:r w:rsidRPr="00044E94">
              <w:rPr>
                <w:rFonts w:cs="Arial"/>
                <w:szCs w:val="22"/>
                <w:lang w:eastAsia="en-GB"/>
              </w:rPr>
              <w:t>Band 8D</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25</w:t>
            </w:r>
          </w:p>
        </w:tc>
        <w:tc>
          <w:tcPr>
            <w:tcW w:w="46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5</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24</w:t>
            </w:r>
          </w:p>
        </w:tc>
        <w:tc>
          <w:tcPr>
            <w:tcW w:w="43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4</w:t>
            </w:r>
          </w:p>
        </w:tc>
      </w:tr>
      <w:tr w:rsidR="00044E94" w:rsidRPr="00044E94" w:rsidTr="00044E94">
        <w:trPr>
          <w:trHeight w:val="285"/>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single" w:sz="4" w:space="0" w:color="auto"/>
            </w:tcBorders>
            <w:shd w:val="clear" w:color="000000" w:fill="FFFFFF"/>
            <w:vAlign w:val="center"/>
            <w:hideMark/>
          </w:tcPr>
          <w:p w:rsidR="00044E94" w:rsidRPr="00044E94" w:rsidRDefault="00044E94" w:rsidP="00044E94">
            <w:pPr>
              <w:rPr>
                <w:rFonts w:cs="Arial"/>
                <w:szCs w:val="22"/>
                <w:lang w:eastAsia="en-GB"/>
              </w:rPr>
            </w:pPr>
            <w:r w:rsidRPr="00044E94">
              <w:rPr>
                <w:rFonts w:cs="Arial"/>
                <w:szCs w:val="22"/>
                <w:lang w:eastAsia="en-GB"/>
              </w:rPr>
              <w:t>Band 9</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2</w:t>
            </w:r>
          </w:p>
        </w:tc>
        <w:tc>
          <w:tcPr>
            <w:tcW w:w="46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5</w:t>
            </w:r>
          </w:p>
        </w:tc>
        <w:tc>
          <w:tcPr>
            <w:tcW w:w="43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r>
      <w:tr w:rsidR="00044E94" w:rsidRPr="00044E94" w:rsidTr="00044E94">
        <w:trPr>
          <w:trHeight w:val="285"/>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single" w:sz="4" w:space="0" w:color="auto"/>
            </w:tcBorders>
            <w:shd w:val="clear" w:color="000000" w:fill="FFFFFF"/>
            <w:vAlign w:val="center"/>
            <w:hideMark/>
          </w:tcPr>
          <w:p w:rsidR="00044E94" w:rsidRPr="00044E94" w:rsidRDefault="00044E94" w:rsidP="00044E94">
            <w:pPr>
              <w:rPr>
                <w:rFonts w:cs="Arial"/>
                <w:szCs w:val="22"/>
                <w:lang w:eastAsia="en-GB"/>
              </w:rPr>
            </w:pPr>
            <w:r w:rsidRPr="00044E94">
              <w:rPr>
                <w:rFonts w:cs="Arial"/>
                <w:szCs w:val="22"/>
                <w:lang w:eastAsia="en-GB"/>
              </w:rPr>
              <w:t>VSM</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w:t>
            </w:r>
          </w:p>
        </w:tc>
        <w:tc>
          <w:tcPr>
            <w:tcW w:w="46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w:t>
            </w:r>
          </w:p>
        </w:tc>
        <w:tc>
          <w:tcPr>
            <w:tcW w:w="43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r>
      <w:tr w:rsidR="00044E94" w:rsidRPr="00044E94" w:rsidTr="00044E94">
        <w:trPr>
          <w:trHeight w:val="285"/>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nil"/>
            </w:tcBorders>
            <w:shd w:val="clear" w:color="000000" w:fill="E7F0F9"/>
            <w:vAlign w:val="center"/>
            <w:hideMark/>
          </w:tcPr>
          <w:p w:rsidR="00044E94" w:rsidRPr="00044E94" w:rsidRDefault="00044E94" w:rsidP="00044E94">
            <w:pPr>
              <w:rPr>
                <w:rFonts w:cs="Arial"/>
                <w:i/>
                <w:iCs/>
                <w:szCs w:val="22"/>
                <w:lang w:eastAsia="en-GB"/>
              </w:rPr>
            </w:pPr>
            <w:r w:rsidRPr="00044E94">
              <w:rPr>
                <w:rFonts w:cs="Arial"/>
                <w:i/>
                <w:iCs/>
                <w:szCs w:val="22"/>
                <w:lang w:eastAsia="en-GB"/>
              </w:rPr>
              <w:t>Of which Medical &amp; Dental</w:t>
            </w:r>
          </w:p>
        </w:tc>
        <w:tc>
          <w:tcPr>
            <w:tcW w:w="1563" w:type="pct"/>
            <w:gridSpan w:val="3"/>
            <w:tcBorders>
              <w:top w:val="single" w:sz="4" w:space="0" w:color="auto"/>
              <w:left w:val="single" w:sz="4" w:space="0" w:color="auto"/>
              <w:bottom w:val="single" w:sz="4" w:space="0" w:color="auto"/>
              <w:right w:val="single" w:sz="4" w:space="0" w:color="auto"/>
            </w:tcBorders>
            <w:shd w:val="clear" w:color="000000" w:fill="E7F0F9"/>
            <w:vAlign w:val="center"/>
            <w:hideMark/>
          </w:tcPr>
          <w:p w:rsidR="00044E94" w:rsidRPr="00044E94" w:rsidRDefault="00044E94" w:rsidP="00044E94">
            <w:pPr>
              <w:jc w:val="center"/>
              <w:rPr>
                <w:rFonts w:cs="Arial"/>
                <w:i/>
                <w:iCs/>
                <w:color w:val="000000"/>
                <w:szCs w:val="22"/>
                <w:lang w:eastAsia="en-GB"/>
              </w:rPr>
            </w:pPr>
            <w:r w:rsidRPr="00044E94">
              <w:rPr>
                <w:rFonts w:cs="Arial"/>
                <w:i/>
                <w:iCs/>
                <w:color w:val="000000"/>
                <w:szCs w:val="22"/>
                <w:lang w:eastAsia="en-GB"/>
              </w:rPr>
              <w:t> </w:t>
            </w:r>
          </w:p>
        </w:tc>
        <w:tc>
          <w:tcPr>
            <w:tcW w:w="1533" w:type="pct"/>
            <w:gridSpan w:val="3"/>
            <w:tcBorders>
              <w:top w:val="single" w:sz="4" w:space="0" w:color="auto"/>
              <w:left w:val="nil"/>
              <w:bottom w:val="single" w:sz="4" w:space="0" w:color="auto"/>
              <w:right w:val="single" w:sz="4" w:space="0" w:color="auto"/>
            </w:tcBorders>
            <w:shd w:val="clear" w:color="000000" w:fill="E7F0F9"/>
            <w:vAlign w:val="center"/>
            <w:hideMark/>
          </w:tcPr>
          <w:p w:rsidR="00044E94" w:rsidRPr="00044E94" w:rsidRDefault="00044E94" w:rsidP="00044E94">
            <w:pPr>
              <w:jc w:val="center"/>
              <w:rPr>
                <w:rFonts w:cs="Arial"/>
                <w:i/>
                <w:iCs/>
                <w:color w:val="000000"/>
                <w:szCs w:val="22"/>
                <w:lang w:eastAsia="en-GB"/>
              </w:rPr>
            </w:pPr>
            <w:r w:rsidRPr="00044E94">
              <w:rPr>
                <w:rFonts w:cs="Arial"/>
                <w:i/>
                <w:iCs/>
                <w:color w:val="000000"/>
                <w:szCs w:val="22"/>
                <w:lang w:eastAsia="en-GB"/>
              </w:rPr>
              <w:t> </w:t>
            </w:r>
          </w:p>
        </w:tc>
      </w:tr>
      <w:tr w:rsidR="00044E94" w:rsidRPr="00044E94" w:rsidTr="00044E94">
        <w:trPr>
          <w:trHeight w:val="570"/>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single" w:sz="4" w:space="0" w:color="auto"/>
            </w:tcBorders>
            <w:shd w:val="clear" w:color="000000" w:fill="FFFFFF"/>
            <w:vAlign w:val="center"/>
            <w:hideMark/>
          </w:tcPr>
          <w:p w:rsidR="00044E94" w:rsidRPr="00044E94" w:rsidRDefault="00044E94" w:rsidP="00044E94">
            <w:pPr>
              <w:rPr>
                <w:rFonts w:cs="Arial"/>
                <w:szCs w:val="22"/>
                <w:lang w:eastAsia="en-GB"/>
              </w:rPr>
            </w:pPr>
            <w:r w:rsidRPr="00044E94">
              <w:rPr>
                <w:rFonts w:cs="Arial"/>
                <w:szCs w:val="22"/>
                <w:lang w:eastAsia="en-GB"/>
              </w:rPr>
              <w:t>Consultants</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83</w:t>
            </w:r>
          </w:p>
        </w:tc>
        <w:tc>
          <w:tcPr>
            <w:tcW w:w="46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42</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63</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83</w:t>
            </w:r>
          </w:p>
        </w:tc>
        <w:tc>
          <w:tcPr>
            <w:tcW w:w="43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41</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60</w:t>
            </w:r>
          </w:p>
        </w:tc>
      </w:tr>
      <w:tr w:rsidR="00044E94" w:rsidRPr="00044E94" w:rsidTr="00044E94">
        <w:trPr>
          <w:trHeight w:val="1710"/>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single" w:sz="4" w:space="0" w:color="auto"/>
            </w:tcBorders>
            <w:shd w:val="clear" w:color="000000" w:fill="FFFFFF"/>
            <w:vAlign w:val="center"/>
            <w:hideMark/>
          </w:tcPr>
          <w:p w:rsidR="00044E94" w:rsidRPr="00044E94" w:rsidRDefault="00044E94" w:rsidP="00044E94">
            <w:pPr>
              <w:rPr>
                <w:rFonts w:cs="Arial"/>
                <w:i/>
                <w:iCs/>
                <w:szCs w:val="22"/>
                <w:lang w:eastAsia="en-GB"/>
              </w:rPr>
            </w:pPr>
            <w:r w:rsidRPr="00044E94">
              <w:rPr>
                <w:rFonts w:cs="Arial"/>
                <w:i/>
                <w:iCs/>
                <w:szCs w:val="22"/>
                <w:lang w:eastAsia="en-GB"/>
              </w:rPr>
              <w:t xml:space="preserve">  of which Senior medical manager</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8</w:t>
            </w:r>
          </w:p>
        </w:tc>
        <w:tc>
          <w:tcPr>
            <w:tcW w:w="46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2</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8</w:t>
            </w:r>
          </w:p>
        </w:tc>
        <w:tc>
          <w:tcPr>
            <w:tcW w:w="43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w:t>
            </w:r>
          </w:p>
        </w:tc>
      </w:tr>
      <w:tr w:rsidR="00044E94" w:rsidRPr="00044E94" w:rsidTr="00044E94">
        <w:trPr>
          <w:trHeight w:val="1425"/>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single" w:sz="4" w:space="0" w:color="auto"/>
            </w:tcBorders>
            <w:shd w:val="clear" w:color="000000" w:fill="FFFFFF"/>
            <w:vAlign w:val="center"/>
            <w:hideMark/>
          </w:tcPr>
          <w:p w:rsidR="00044E94" w:rsidRPr="00044E94" w:rsidRDefault="00044E94" w:rsidP="00044E94">
            <w:pPr>
              <w:rPr>
                <w:rFonts w:cs="Arial"/>
                <w:szCs w:val="22"/>
                <w:lang w:eastAsia="en-GB"/>
              </w:rPr>
            </w:pPr>
            <w:r w:rsidRPr="00044E94">
              <w:rPr>
                <w:rFonts w:cs="Arial"/>
                <w:szCs w:val="22"/>
                <w:lang w:eastAsia="en-GB"/>
              </w:rPr>
              <w:t>Non-consultant career grade</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14</w:t>
            </w:r>
          </w:p>
        </w:tc>
        <w:tc>
          <w:tcPr>
            <w:tcW w:w="46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5</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17</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20</w:t>
            </w:r>
          </w:p>
        </w:tc>
        <w:tc>
          <w:tcPr>
            <w:tcW w:w="43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5</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16</w:t>
            </w:r>
          </w:p>
        </w:tc>
      </w:tr>
      <w:tr w:rsidR="00044E94" w:rsidRPr="00044E94" w:rsidTr="00044E94">
        <w:trPr>
          <w:trHeight w:val="570"/>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single" w:sz="4" w:space="0" w:color="auto"/>
            </w:tcBorders>
            <w:shd w:val="clear" w:color="000000" w:fill="FFFFFF"/>
            <w:vAlign w:val="center"/>
            <w:hideMark/>
          </w:tcPr>
          <w:p w:rsidR="00044E94" w:rsidRPr="00044E94" w:rsidRDefault="00044E94" w:rsidP="00044E94">
            <w:pPr>
              <w:rPr>
                <w:rFonts w:cs="Arial"/>
                <w:szCs w:val="22"/>
                <w:lang w:eastAsia="en-GB"/>
              </w:rPr>
            </w:pPr>
            <w:r w:rsidRPr="00044E94">
              <w:rPr>
                <w:rFonts w:cs="Arial"/>
                <w:szCs w:val="22"/>
                <w:lang w:eastAsia="en-GB"/>
              </w:rPr>
              <w:t>Trainee grades</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3</w:t>
            </w:r>
          </w:p>
        </w:tc>
        <w:tc>
          <w:tcPr>
            <w:tcW w:w="46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8</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6</w:t>
            </w:r>
          </w:p>
        </w:tc>
        <w:tc>
          <w:tcPr>
            <w:tcW w:w="43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5</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11</w:t>
            </w:r>
          </w:p>
        </w:tc>
      </w:tr>
      <w:tr w:rsidR="00044E94" w:rsidRPr="00044E94" w:rsidTr="00044E94">
        <w:trPr>
          <w:trHeight w:val="285"/>
        </w:trPr>
        <w:tc>
          <w:tcPr>
            <w:tcW w:w="484"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color w:val="FFFFFF"/>
                <w:szCs w:val="22"/>
                <w:lang w:eastAsia="en-GB"/>
              </w:rPr>
            </w:pPr>
          </w:p>
        </w:tc>
        <w:tc>
          <w:tcPr>
            <w:tcW w:w="716" w:type="pct"/>
            <w:vMerge/>
            <w:tcBorders>
              <w:top w:val="nil"/>
              <w:left w:val="single" w:sz="4" w:space="0" w:color="auto"/>
              <w:bottom w:val="single" w:sz="4" w:space="0" w:color="auto"/>
              <w:right w:val="single" w:sz="4" w:space="0" w:color="auto"/>
            </w:tcBorders>
            <w:vAlign w:val="center"/>
            <w:hideMark/>
          </w:tcPr>
          <w:p w:rsidR="00044E94" w:rsidRPr="00044E94" w:rsidRDefault="00044E94" w:rsidP="00044E94">
            <w:pPr>
              <w:rPr>
                <w:rFonts w:cs="Arial"/>
                <w:b/>
                <w:bCs/>
                <w:szCs w:val="22"/>
                <w:lang w:eastAsia="en-GB"/>
              </w:rPr>
            </w:pPr>
          </w:p>
        </w:tc>
        <w:tc>
          <w:tcPr>
            <w:tcW w:w="704" w:type="pct"/>
            <w:tcBorders>
              <w:top w:val="nil"/>
              <w:left w:val="nil"/>
              <w:bottom w:val="single" w:sz="4" w:space="0" w:color="auto"/>
              <w:right w:val="single" w:sz="4" w:space="0" w:color="auto"/>
            </w:tcBorders>
            <w:shd w:val="clear" w:color="000000" w:fill="FFFFFF"/>
            <w:vAlign w:val="center"/>
            <w:hideMark/>
          </w:tcPr>
          <w:p w:rsidR="00044E94" w:rsidRPr="00044E94" w:rsidRDefault="00044E94" w:rsidP="00044E94">
            <w:pPr>
              <w:rPr>
                <w:rFonts w:cs="Arial"/>
                <w:szCs w:val="22"/>
                <w:lang w:eastAsia="en-GB"/>
              </w:rPr>
            </w:pPr>
            <w:r w:rsidRPr="00044E94">
              <w:rPr>
                <w:rFonts w:cs="Arial"/>
                <w:szCs w:val="22"/>
                <w:lang w:eastAsia="en-GB"/>
              </w:rPr>
              <w:t>Other</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46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484"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433"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c>
          <w:tcPr>
            <w:tcW w:w="616" w:type="pct"/>
            <w:tcBorders>
              <w:top w:val="nil"/>
              <w:left w:val="nil"/>
              <w:bottom w:val="single" w:sz="4" w:space="0" w:color="auto"/>
              <w:right w:val="single" w:sz="4" w:space="0" w:color="auto"/>
            </w:tcBorders>
            <w:shd w:val="clear" w:color="000000" w:fill="FFFFCC"/>
            <w:vAlign w:val="center"/>
            <w:hideMark/>
          </w:tcPr>
          <w:p w:rsidR="00044E94" w:rsidRPr="00044E94" w:rsidRDefault="00044E94" w:rsidP="00044E94">
            <w:pPr>
              <w:jc w:val="center"/>
              <w:rPr>
                <w:rFonts w:cs="Arial"/>
                <w:color w:val="000000"/>
                <w:szCs w:val="22"/>
                <w:lang w:eastAsia="en-GB"/>
              </w:rPr>
            </w:pPr>
            <w:r w:rsidRPr="00044E94">
              <w:rPr>
                <w:rFonts w:cs="Arial"/>
                <w:color w:val="000000"/>
                <w:szCs w:val="22"/>
                <w:lang w:eastAsia="en-GB"/>
              </w:rPr>
              <w:t>0</w:t>
            </w:r>
          </w:p>
        </w:tc>
      </w:tr>
    </w:tbl>
    <w:p w:rsidR="00AE2635" w:rsidRDefault="00AE2635" w:rsidP="00AE2635">
      <w:pPr>
        <w:rPr>
          <w:rFonts w:cs="Arial"/>
          <w:sz w:val="24"/>
        </w:rPr>
      </w:pPr>
    </w:p>
    <w:p w:rsidR="00591F30" w:rsidRDefault="00591F30" w:rsidP="00591F30">
      <w:pPr>
        <w:jc w:val="right"/>
        <w:rPr>
          <w:rFonts w:cs="Arial"/>
          <w:sz w:val="24"/>
        </w:rPr>
      </w:pPr>
    </w:p>
    <w:p w:rsidR="00591F30" w:rsidRDefault="00591F30" w:rsidP="00591F30">
      <w:pPr>
        <w:jc w:val="right"/>
        <w:rPr>
          <w:rFonts w:cs="Arial"/>
          <w:sz w:val="24"/>
        </w:rPr>
      </w:pPr>
    </w:p>
    <w:p w:rsidR="00181406" w:rsidRDefault="00181406" w:rsidP="00591F30">
      <w:pPr>
        <w:jc w:val="right"/>
        <w:rPr>
          <w:rFonts w:cs="Arial"/>
          <w:sz w:val="24"/>
        </w:rPr>
      </w:pPr>
    </w:p>
    <w:p w:rsidR="001225B9" w:rsidRDefault="001225B9" w:rsidP="00181406">
      <w:pPr>
        <w:pStyle w:val="ListParagraph"/>
        <w:numPr>
          <w:ilvl w:val="0"/>
          <w:numId w:val="5"/>
        </w:numPr>
        <w:rPr>
          <w:rFonts w:cs="Arial"/>
          <w:sz w:val="24"/>
        </w:rPr>
      </w:pPr>
      <w:r>
        <w:rPr>
          <w:rFonts w:cs="Arial"/>
          <w:sz w:val="24"/>
        </w:rPr>
        <w:t>1540 non-clinical staff. Of the 1353 where ethnicity is known 98.8% White, 1.2% BME</w:t>
      </w:r>
      <w:proofErr w:type="gramStart"/>
      <w:r w:rsidR="00237667">
        <w:rPr>
          <w:rFonts w:cs="Arial"/>
          <w:sz w:val="24"/>
        </w:rPr>
        <w:t>.(</w:t>
      </w:r>
      <w:proofErr w:type="gramEnd"/>
      <w:r w:rsidR="00237667">
        <w:rPr>
          <w:rFonts w:cs="Arial"/>
          <w:sz w:val="24"/>
        </w:rPr>
        <w:t>2017 98.5% 1.5%)</w:t>
      </w:r>
    </w:p>
    <w:p w:rsidR="009B1017" w:rsidRDefault="009B1017" w:rsidP="00181406">
      <w:pPr>
        <w:pStyle w:val="ListParagraph"/>
        <w:numPr>
          <w:ilvl w:val="0"/>
          <w:numId w:val="5"/>
        </w:numPr>
        <w:rPr>
          <w:rFonts w:cs="Arial"/>
          <w:sz w:val="24"/>
        </w:rPr>
      </w:pPr>
      <w:r>
        <w:rPr>
          <w:rFonts w:cs="Arial"/>
          <w:sz w:val="24"/>
        </w:rPr>
        <w:t>For non-clinical staff no known BME representation for under Band 1, Band 1 and above Band 7 – similar picture to 2017 though have lost a BME member of staff at 8B in the last year</w:t>
      </w:r>
    </w:p>
    <w:p w:rsidR="009B1017" w:rsidRDefault="009B1017" w:rsidP="00181406">
      <w:pPr>
        <w:pStyle w:val="ListParagraph"/>
        <w:numPr>
          <w:ilvl w:val="0"/>
          <w:numId w:val="5"/>
        </w:numPr>
        <w:rPr>
          <w:rFonts w:cs="Arial"/>
          <w:sz w:val="24"/>
        </w:rPr>
      </w:pPr>
      <w:r>
        <w:rPr>
          <w:rFonts w:cs="Arial"/>
          <w:sz w:val="24"/>
        </w:rPr>
        <w:t>Best non-clinical % representation Band 7 1.7%</w:t>
      </w:r>
    </w:p>
    <w:p w:rsidR="00237667" w:rsidRDefault="00237667" w:rsidP="00181406">
      <w:pPr>
        <w:pStyle w:val="ListParagraph"/>
        <w:numPr>
          <w:ilvl w:val="0"/>
          <w:numId w:val="5"/>
        </w:numPr>
        <w:rPr>
          <w:rFonts w:cs="Arial"/>
          <w:sz w:val="24"/>
        </w:rPr>
      </w:pPr>
      <w:r>
        <w:rPr>
          <w:rFonts w:cs="Arial"/>
          <w:sz w:val="24"/>
        </w:rPr>
        <w:t>Ethnicity is not known for 12% of non-clinical workforce (11.4% 2017)</w:t>
      </w:r>
    </w:p>
    <w:p w:rsidR="00175A59" w:rsidRDefault="00181406" w:rsidP="00181406">
      <w:pPr>
        <w:pStyle w:val="ListParagraph"/>
        <w:numPr>
          <w:ilvl w:val="0"/>
          <w:numId w:val="5"/>
        </w:numPr>
        <w:rPr>
          <w:rFonts w:cs="Arial"/>
          <w:sz w:val="24"/>
        </w:rPr>
      </w:pPr>
      <w:r>
        <w:rPr>
          <w:rFonts w:cs="Arial"/>
          <w:sz w:val="24"/>
        </w:rPr>
        <w:t xml:space="preserve">Work generally needs to be undertaken to try to improve the profile of </w:t>
      </w:r>
      <w:r w:rsidR="00805CF5">
        <w:rPr>
          <w:rFonts w:cs="Arial"/>
          <w:sz w:val="24"/>
        </w:rPr>
        <w:t>BME</w:t>
      </w:r>
      <w:r>
        <w:rPr>
          <w:rFonts w:cs="Arial"/>
          <w:sz w:val="24"/>
        </w:rPr>
        <w:t xml:space="preserve"> staff in non-clinical roles across all bands.</w:t>
      </w:r>
    </w:p>
    <w:p w:rsidR="008F74F6" w:rsidRDefault="008F74F6" w:rsidP="00181406">
      <w:pPr>
        <w:pStyle w:val="ListParagraph"/>
        <w:numPr>
          <w:ilvl w:val="0"/>
          <w:numId w:val="5"/>
        </w:numPr>
        <w:rPr>
          <w:rFonts w:cs="Arial"/>
          <w:sz w:val="24"/>
        </w:rPr>
      </w:pPr>
      <w:r>
        <w:rPr>
          <w:rFonts w:cs="Arial"/>
          <w:sz w:val="24"/>
        </w:rPr>
        <w:t>4969 Clinical Staff. Of the 4539 where ethnicity is known 95.5% is White, 4.5% BME (2017 96.2% 3.8%)</w:t>
      </w:r>
    </w:p>
    <w:p w:rsidR="008F74F6" w:rsidRDefault="008F74F6" w:rsidP="00181406">
      <w:pPr>
        <w:pStyle w:val="ListParagraph"/>
        <w:numPr>
          <w:ilvl w:val="0"/>
          <w:numId w:val="5"/>
        </w:numPr>
        <w:rPr>
          <w:rFonts w:cs="Arial"/>
          <w:sz w:val="24"/>
        </w:rPr>
      </w:pPr>
      <w:r>
        <w:rPr>
          <w:rFonts w:cs="Arial"/>
          <w:sz w:val="24"/>
        </w:rPr>
        <w:t>Ethnicity not known for 8.65% of clinical workforce (10% 2017)</w:t>
      </w:r>
    </w:p>
    <w:p w:rsidR="00601F43" w:rsidRDefault="00601F43" w:rsidP="00181406">
      <w:pPr>
        <w:pStyle w:val="ListParagraph"/>
        <w:numPr>
          <w:ilvl w:val="0"/>
          <w:numId w:val="5"/>
        </w:numPr>
        <w:rPr>
          <w:rFonts w:cs="Arial"/>
          <w:sz w:val="24"/>
        </w:rPr>
      </w:pPr>
      <w:r>
        <w:rPr>
          <w:rFonts w:cs="Arial"/>
          <w:sz w:val="24"/>
        </w:rPr>
        <w:t>No BME representation in Clinical Roles at Bands &lt;1, 1, 2</w:t>
      </w:r>
      <w:proofErr w:type="gramStart"/>
      <w:r>
        <w:rPr>
          <w:rFonts w:cs="Arial"/>
          <w:sz w:val="24"/>
        </w:rPr>
        <w:t>,8B,D</w:t>
      </w:r>
      <w:proofErr w:type="gramEnd"/>
      <w:r>
        <w:rPr>
          <w:rFonts w:cs="Arial"/>
          <w:sz w:val="24"/>
        </w:rPr>
        <w:t xml:space="preserve"> &amp; 9.</w:t>
      </w:r>
    </w:p>
    <w:p w:rsidR="00601F43" w:rsidRDefault="00601F43" w:rsidP="00181406">
      <w:pPr>
        <w:pStyle w:val="ListParagraph"/>
        <w:numPr>
          <w:ilvl w:val="0"/>
          <w:numId w:val="5"/>
        </w:numPr>
        <w:rPr>
          <w:rFonts w:cs="Arial"/>
          <w:sz w:val="24"/>
        </w:rPr>
      </w:pPr>
      <w:r>
        <w:rPr>
          <w:rFonts w:cs="Arial"/>
          <w:sz w:val="24"/>
        </w:rPr>
        <w:t xml:space="preserve">Best clinical % </w:t>
      </w:r>
      <w:proofErr w:type="gramStart"/>
      <w:r>
        <w:rPr>
          <w:rFonts w:cs="Arial"/>
          <w:sz w:val="24"/>
        </w:rPr>
        <w:t>representation  at</w:t>
      </w:r>
      <w:proofErr w:type="gramEnd"/>
      <w:r>
        <w:rPr>
          <w:rFonts w:cs="Arial"/>
          <w:sz w:val="24"/>
        </w:rPr>
        <w:t xml:space="preserve"> VSM (50%)</w:t>
      </w:r>
    </w:p>
    <w:p w:rsidR="00175A59" w:rsidRDefault="00175A59">
      <w:pPr>
        <w:spacing w:after="200" w:line="276" w:lineRule="auto"/>
        <w:rPr>
          <w:rFonts w:cs="Arial"/>
          <w:sz w:val="24"/>
        </w:rPr>
      </w:pPr>
      <w:r>
        <w:rPr>
          <w:rFonts w:cs="Arial"/>
          <w:sz w:val="24"/>
        </w:rPr>
        <w:br w:type="page"/>
      </w:r>
    </w:p>
    <w:p w:rsidR="00181406" w:rsidRDefault="00C019D0" w:rsidP="000766AA">
      <w:pPr>
        <w:pStyle w:val="ListParagraph"/>
        <w:ind w:left="0"/>
        <w:rPr>
          <w:rFonts w:cs="Arial"/>
          <w:b/>
          <w:sz w:val="24"/>
        </w:rPr>
      </w:pPr>
      <w:r w:rsidRPr="00C019D0">
        <w:rPr>
          <w:rFonts w:cs="Arial"/>
          <w:b/>
          <w:sz w:val="24"/>
        </w:rPr>
        <w:lastRenderedPageBreak/>
        <w:t>INDICATOR 2:  Likelihood of appointment from shortlisting</w:t>
      </w:r>
    </w:p>
    <w:p w:rsidR="00C019D0" w:rsidRPr="00C019D0" w:rsidRDefault="00C019D0" w:rsidP="00175A59">
      <w:pPr>
        <w:pStyle w:val="ListParagraph"/>
        <w:rPr>
          <w:rFonts w:cs="Arial"/>
          <w:b/>
          <w:sz w:val="24"/>
        </w:rPr>
      </w:pPr>
    </w:p>
    <w:tbl>
      <w:tblPr>
        <w:tblW w:w="5000" w:type="pct"/>
        <w:tblCellMar>
          <w:left w:w="0" w:type="dxa"/>
          <w:right w:w="0" w:type="dxa"/>
        </w:tblCellMar>
        <w:tblLook w:val="04A0" w:firstRow="1" w:lastRow="0" w:firstColumn="1" w:lastColumn="0" w:noHBand="0" w:noVBand="1"/>
      </w:tblPr>
      <w:tblGrid>
        <w:gridCol w:w="4116"/>
        <w:gridCol w:w="953"/>
        <w:gridCol w:w="923"/>
        <w:gridCol w:w="1059"/>
        <w:gridCol w:w="1042"/>
        <w:gridCol w:w="953"/>
        <w:gridCol w:w="907"/>
        <w:gridCol w:w="1043"/>
        <w:gridCol w:w="992"/>
        <w:gridCol w:w="1109"/>
        <w:gridCol w:w="1077"/>
      </w:tblGrid>
      <w:tr w:rsidR="00175A59" w:rsidRPr="00175A59" w:rsidTr="00175A59">
        <w:trPr>
          <w:trHeight w:val="300"/>
        </w:trPr>
        <w:tc>
          <w:tcPr>
            <w:tcW w:w="1426" w:type="pct"/>
            <w:noWrap/>
            <w:tcMar>
              <w:top w:w="0" w:type="dxa"/>
              <w:left w:w="108" w:type="dxa"/>
              <w:bottom w:w="0" w:type="dxa"/>
              <w:right w:w="108" w:type="dxa"/>
            </w:tcMar>
            <w:vAlign w:val="bottom"/>
            <w:hideMark/>
          </w:tcPr>
          <w:p w:rsidR="00175A59" w:rsidRPr="00175A59" w:rsidRDefault="00175A59" w:rsidP="00175A59">
            <w:pPr>
              <w:rPr>
                <w:rFonts w:ascii="Times New Roman" w:hAnsi="Times New Roman"/>
                <w:sz w:val="20"/>
                <w:szCs w:val="20"/>
                <w:lang w:eastAsia="en-GB"/>
              </w:rPr>
            </w:pPr>
          </w:p>
        </w:tc>
        <w:tc>
          <w:tcPr>
            <w:tcW w:w="331" w:type="pct"/>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b/>
                <w:bCs/>
                <w:color w:val="000000"/>
                <w:szCs w:val="22"/>
                <w:lang w:eastAsia="en-GB"/>
              </w:rPr>
            </w:pPr>
            <w:r w:rsidRPr="00175A59">
              <w:rPr>
                <w:rFonts w:ascii="Calibri" w:eastAsia="Calibri" w:hAnsi="Calibri"/>
                <w:b/>
                <w:bCs/>
                <w:color w:val="000000"/>
                <w:szCs w:val="22"/>
                <w:lang w:eastAsia="en-GB"/>
              </w:rPr>
              <w:t>2013-14</w:t>
            </w:r>
          </w:p>
        </w:tc>
        <w:tc>
          <w:tcPr>
            <w:tcW w:w="331"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b/>
                <w:bCs/>
                <w:color w:val="000000"/>
                <w:szCs w:val="22"/>
                <w:lang w:eastAsia="en-GB"/>
              </w:rPr>
            </w:pPr>
            <w:r w:rsidRPr="00175A59">
              <w:rPr>
                <w:rFonts w:ascii="Calibri" w:eastAsia="Calibri" w:hAnsi="Calibri"/>
                <w:b/>
                <w:bCs/>
                <w:color w:val="000000"/>
                <w:szCs w:val="22"/>
                <w:lang w:eastAsia="en-GB"/>
              </w:rPr>
              <w:t> </w:t>
            </w:r>
          </w:p>
        </w:tc>
        <w:tc>
          <w:tcPr>
            <w:tcW w:w="379" w:type="pct"/>
            <w:tcBorders>
              <w:top w:val="single" w:sz="8" w:space="0" w:color="auto"/>
              <w:left w:val="nil"/>
              <w:bottom w:val="single" w:sz="8" w:space="0" w:color="auto"/>
              <w:right w:val="nil"/>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b/>
                <w:bCs/>
                <w:color w:val="000000"/>
                <w:szCs w:val="22"/>
                <w:lang w:eastAsia="en-GB"/>
              </w:rPr>
            </w:pPr>
            <w:r w:rsidRPr="00175A59">
              <w:rPr>
                <w:rFonts w:ascii="Calibri" w:eastAsia="Calibri" w:hAnsi="Calibri"/>
                <w:b/>
                <w:bCs/>
                <w:color w:val="000000"/>
                <w:szCs w:val="22"/>
                <w:lang w:eastAsia="en-GB"/>
              </w:rPr>
              <w:t>2014-15</w:t>
            </w:r>
          </w:p>
        </w:tc>
        <w:tc>
          <w:tcPr>
            <w:tcW w:w="373"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b/>
                <w:bCs/>
                <w:color w:val="000000"/>
                <w:szCs w:val="22"/>
                <w:lang w:eastAsia="en-GB"/>
              </w:rPr>
            </w:pPr>
            <w:r w:rsidRPr="00175A59">
              <w:rPr>
                <w:rFonts w:ascii="Calibri" w:eastAsia="Calibri" w:hAnsi="Calibri"/>
                <w:b/>
                <w:bCs/>
                <w:color w:val="000000"/>
                <w:szCs w:val="22"/>
                <w:lang w:eastAsia="en-GB"/>
              </w:rPr>
              <w:t> </w:t>
            </w:r>
          </w:p>
        </w:tc>
        <w:tc>
          <w:tcPr>
            <w:tcW w:w="325" w:type="pct"/>
            <w:tcBorders>
              <w:top w:val="single" w:sz="8" w:space="0" w:color="auto"/>
              <w:left w:val="nil"/>
              <w:bottom w:val="single" w:sz="8" w:space="0" w:color="auto"/>
              <w:right w:val="nil"/>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b/>
                <w:bCs/>
                <w:color w:val="000000"/>
                <w:szCs w:val="22"/>
                <w:lang w:eastAsia="en-GB"/>
              </w:rPr>
            </w:pPr>
            <w:r w:rsidRPr="00175A59">
              <w:rPr>
                <w:rFonts w:ascii="Calibri" w:eastAsia="Calibri" w:hAnsi="Calibri"/>
                <w:b/>
                <w:bCs/>
                <w:color w:val="000000"/>
                <w:szCs w:val="22"/>
                <w:lang w:eastAsia="en-GB"/>
              </w:rPr>
              <w:t>2015-16</w:t>
            </w:r>
          </w:p>
        </w:tc>
        <w:tc>
          <w:tcPr>
            <w:tcW w:w="325"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b/>
                <w:bCs/>
                <w:color w:val="000000"/>
                <w:szCs w:val="22"/>
                <w:lang w:eastAsia="en-GB"/>
              </w:rPr>
            </w:pPr>
            <w:r w:rsidRPr="00175A59">
              <w:rPr>
                <w:rFonts w:ascii="Calibri" w:eastAsia="Calibri" w:hAnsi="Calibri"/>
                <w:b/>
                <w:bCs/>
                <w:color w:val="000000"/>
                <w:szCs w:val="22"/>
                <w:lang w:eastAsia="en-GB"/>
              </w:rPr>
              <w:t> </w:t>
            </w:r>
          </w:p>
        </w:tc>
        <w:tc>
          <w:tcPr>
            <w:tcW w:w="373" w:type="pct"/>
            <w:tcBorders>
              <w:top w:val="single" w:sz="8" w:space="0" w:color="auto"/>
              <w:left w:val="nil"/>
              <w:bottom w:val="single" w:sz="8" w:space="0" w:color="auto"/>
              <w:right w:val="nil"/>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b/>
                <w:bCs/>
                <w:color w:val="000000"/>
                <w:szCs w:val="22"/>
                <w:lang w:eastAsia="en-GB"/>
              </w:rPr>
            </w:pPr>
            <w:r w:rsidRPr="00175A59">
              <w:rPr>
                <w:rFonts w:ascii="Calibri" w:eastAsia="Calibri" w:hAnsi="Calibri"/>
                <w:b/>
                <w:bCs/>
                <w:color w:val="000000"/>
                <w:szCs w:val="22"/>
                <w:lang w:eastAsia="en-GB"/>
              </w:rPr>
              <w:t>2016-17</w:t>
            </w:r>
          </w:p>
        </w:tc>
        <w:tc>
          <w:tcPr>
            <w:tcW w:w="355"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b/>
                <w:bCs/>
                <w:color w:val="000000"/>
                <w:szCs w:val="22"/>
                <w:lang w:eastAsia="en-GB"/>
              </w:rPr>
            </w:pPr>
            <w:r w:rsidRPr="00175A59">
              <w:rPr>
                <w:rFonts w:ascii="Calibri" w:eastAsia="Calibri" w:hAnsi="Calibri"/>
                <w:b/>
                <w:bCs/>
                <w:color w:val="000000"/>
                <w:szCs w:val="22"/>
                <w:lang w:eastAsia="en-GB"/>
              </w:rPr>
              <w:t> </w:t>
            </w:r>
          </w:p>
        </w:tc>
        <w:tc>
          <w:tcPr>
            <w:tcW w:w="396" w:type="pct"/>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b/>
                <w:bCs/>
                <w:color w:val="000000"/>
                <w:szCs w:val="22"/>
                <w:lang w:eastAsia="en-GB"/>
              </w:rPr>
            </w:pPr>
            <w:r w:rsidRPr="00175A59">
              <w:rPr>
                <w:rFonts w:ascii="Calibri" w:eastAsia="Calibri" w:hAnsi="Calibri"/>
                <w:b/>
                <w:bCs/>
                <w:color w:val="000000"/>
                <w:szCs w:val="22"/>
                <w:lang w:eastAsia="en-GB"/>
              </w:rPr>
              <w:t>2017-18</w:t>
            </w:r>
          </w:p>
        </w:tc>
        <w:tc>
          <w:tcPr>
            <w:tcW w:w="385" w:type="pc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b/>
                <w:bCs/>
                <w:color w:val="000000"/>
                <w:szCs w:val="22"/>
                <w:lang w:eastAsia="en-GB"/>
              </w:rPr>
            </w:pPr>
            <w:r w:rsidRPr="00175A59">
              <w:rPr>
                <w:rFonts w:ascii="Calibri" w:eastAsia="Calibri" w:hAnsi="Calibri"/>
                <w:b/>
                <w:bCs/>
                <w:color w:val="000000"/>
                <w:szCs w:val="22"/>
                <w:lang w:eastAsia="en-GB"/>
              </w:rPr>
              <w:t> </w:t>
            </w:r>
          </w:p>
        </w:tc>
      </w:tr>
      <w:tr w:rsidR="00175A59" w:rsidRPr="00175A59" w:rsidTr="00175A59">
        <w:trPr>
          <w:trHeight w:val="300"/>
        </w:trPr>
        <w:tc>
          <w:tcPr>
            <w:tcW w:w="1426"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rPr>
                <w:rFonts w:ascii="Calibri" w:eastAsia="Calibri" w:hAnsi="Calibri"/>
                <w:color w:val="000000"/>
                <w:szCs w:val="22"/>
                <w:lang w:eastAsia="en-GB"/>
              </w:rPr>
            </w:pPr>
            <w:r w:rsidRPr="00175A59">
              <w:rPr>
                <w:rFonts w:ascii="Calibri" w:eastAsia="Calibri" w:hAnsi="Calibri"/>
                <w:color w:val="000000"/>
                <w:szCs w:val="22"/>
                <w:lang w:eastAsia="en-GB"/>
              </w:rPr>
              <w:t> </w:t>
            </w:r>
          </w:p>
        </w:tc>
        <w:tc>
          <w:tcPr>
            <w:tcW w:w="3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b/>
                <w:bCs/>
                <w:color w:val="000000"/>
                <w:szCs w:val="22"/>
                <w:lang w:eastAsia="en-GB"/>
              </w:rPr>
            </w:pPr>
            <w:r w:rsidRPr="00175A59">
              <w:rPr>
                <w:rFonts w:ascii="Calibri" w:eastAsia="Calibri" w:hAnsi="Calibri"/>
                <w:b/>
                <w:bCs/>
                <w:color w:val="000000"/>
                <w:szCs w:val="22"/>
                <w:lang w:eastAsia="en-GB"/>
              </w:rPr>
              <w:t>White</w:t>
            </w:r>
          </w:p>
        </w:tc>
        <w:tc>
          <w:tcPr>
            <w:tcW w:w="3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b/>
                <w:bCs/>
                <w:color w:val="000000"/>
                <w:szCs w:val="22"/>
                <w:lang w:eastAsia="en-GB"/>
              </w:rPr>
            </w:pPr>
            <w:r w:rsidRPr="00175A59">
              <w:rPr>
                <w:rFonts w:ascii="Calibri" w:eastAsia="Calibri" w:hAnsi="Calibri"/>
                <w:b/>
                <w:bCs/>
                <w:color w:val="000000"/>
                <w:szCs w:val="22"/>
                <w:lang w:eastAsia="en-GB"/>
              </w:rPr>
              <w:t>BME</w:t>
            </w:r>
          </w:p>
        </w:tc>
        <w:tc>
          <w:tcPr>
            <w:tcW w:w="37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b/>
                <w:bCs/>
                <w:color w:val="000000"/>
                <w:szCs w:val="22"/>
                <w:lang w:eastAsia="en-GB"/>
              </w:rPr>
            </w:pPr>
            <w:r w:rsidRPr="00175A59">
              <w:rPr>
                <w:rFonts w:ascii="Calibri" w:eastAsia="Calibri" w:hAnsi="Calibri"/>
                <w:b/>
                <w:bCs/>
                <w:color w:val="000000"/>
                <w:szCs w:val="22"/>
                <w:lang w:eastAsia="en-GB"/>
              </w:rPr>
              <w:t>White</w:t>
            </w:r>
          </w:p>
        </w:tc>
        <w:tc>
          <w:tcPr>
            <w:tcW w:w="37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b/>
                <w:bCs/>
                <w:color w:val="000000"/>
                <w:szCs w:val="22"/>
                <w:lang w:eastAsia="en-GB"/>
              </w:rPr>
            </w:pPr>
            <w:r w:rsidRPr="00175A59">
              <w:rPr>
                <w:rFonts w:ascii="Calibri" w:eastAsia="Calibri" w:hAnsi="Calibri"/>
                <w:b/>
                <w:bCs/>
                <w:color w:val="000000"/>
                <w:szCs w:val="22"/>
                <w:lang w:eastAsia="en-GB"/>
              </w:rPr>
              <w:t>BME</w:t>
            </w:r>
          </w:p>
        </w:tc>
        <w:tc>
          <w:tcPr>
            <w:tcW w:w="32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b/>
                <w:bCs/>
                <w:color w:val="000000"/>
                <w:szCs w:val="22"/>
                <w:lang w:eastAsia="en-GB"/>
              </w:rPr>
            </w:pPr>
            <w:r w:rsidRPr="00175A59">
              <w:rPr>
                <w:rFonts w:ascii="Calibri" w:eastAsia="Calibri" w:hAnsi="Calibri"/>
                <w:b/>
                <w:bCs/>
                <w:color w:val="000000"/>
                <w:szCs w:val="22"/>
                <w:lang w:eastAsia="en-GB"/>
              </w:rPr>
              <w:t>White</w:t>
            </w:r>
          </w:p>
        </w:tc>
        <w:tc>
          <w:tcPr>
            <w:tcW w:w="32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b/>
                <w:bCs/>
                <w:color w:val="000000"/>
                <w:szCs w:val="22"/>
                <w:lang w:eastAsia="en-GB"/>
              </w:rPr>
            </w:pPr>
            <w:r w:rsidRPr="00175A59">
              <w:rPr>
                <w:rFonts w:ascii="Calibri" w:eastAsia="Calibri" w:hAnsi="Calibri"/>
                <w:b/>
                <w:bCs/>
                <w:color w:val="000000"/>
                <w:szCs w:val="22"/>
                <w:lang w:eastAsia="en-GB"/>
              </w:rPr>
              <w:t>BME</w:t>
            </w:r>
          </w:p>
        </w:tc>
        <w:tc>
          <w:tcPr>
            <w:tcW w:w="37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b/>
                <w:bCs/>
                <w:color w:val="000000"/>
                <w:szCs w:val="22"/>
                <w:lang w:eastAsia="en-GB"/>
              </w:rPr>
            </w:pPr>
            <w:r w:rsidRPr="00175A59">
              <w:rPr>
                <w:rFonts w:ascii="Calibri" w:eastAsia="Calibri" w:hAnsi="Calibri"/>
                <w:b/>
                <w:bCs/>
                <w:color w:val="000000"/>
                <w:szCs w:val="22"/>
                <w:lang w:eastAsia="en-GB"/>
              </w:rPr>
              <w:t>White</w:t>
            </w:r>
          </w:p>
        </w:tc>
        <w:tc>
          <w:tcPr>
            <w:tcW w:w="35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b/>
                <w:bCs/>
                <w:color w:val="000000"/>
                <w:szCs w:val="22"/>
                <w:lang w:eastAsia="en-GB"/>
              </w:rPr>
            </w:pPr>
            <w:r w:rsidRPr="00175A59">
              <w:rPr>
                <w:rFonts w:ascii="Calibri" w:eastAsia="Calibri" w:hAnsi="Calibri"/>
                <w:b/>
                <w:bCs/>
                <w:color w:val="000000"/>
                <w:szCs w:val="22"/>
                <w:lang w:eastAsia="en-GB"/>
              </w:rPr>
              <w:t>BME</w:t>
            </w:r>
          </w:p>
        </w:tc>
        <w:tc>
          <w:tcPr>
            <w:tcW w:w="39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b/>
                <w:bCs/>
                <w:color w:val="000000"/>
                <w:szCs w:val="22"/>
                <w:lang w:eastAsia="en-GB"/>
              </w:rPr>
            </w:pPr>
            <w:r w:rsidRPr="00175A59">
              <w:rPr>
                <w:rFonts w:ascii="Calibri" w:eastAsia="Calibri" w:hAnsi="Calibri"/>
                <w:b/>
                <w:bCs/>
                <w:color w:val="000000"/>
                <w:szCs w:val="22"/>
                <w:lang w:eastAsia="en-GB"/>
              </w:rPr>
              <w:t>White</w:t>
            </w:r>
          </w:p>
        </w:tc>
        <w:tc>
          <w:tcPr>
            <w:tcW w:w="38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b/>
                <w:bCs/>
                <w:color w:val="000000"/>
                <w:szCs w:val="22"/>
                <w:lang w:eastAsia="en-GB"/>
              </w:rPr>
            </w:pPr>
            <w:r w:rsidRPr="00175A59">
              <w:rPr>
                <w:rFonts w:ascii="Calibri" w:eastAsia="Calibri" w:hAnsi="Calibri"/>
                <w:b/>
                <w:bCs/>
                <w:color w:val="000000"/>
                <w:szCs w:val="22"/>
                <w:lang w:eastAsia="en-GB"/>
              </w:rPr>
              <w:t>BME</w:t>
            </w:r>
          </w:p>
        </w:tc>
      </w:tr>
      <w:tr w:rsidR="00175A59" w:rsidRPr="00175A59" w:rsidTr="00175A59">
        <w:trPr>
          <w:trHeight w:val="300"/>
        </w:trPr>
        <w:tc>
          <w:tcPr>
            <w:tcW w:w="1426"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rPr>
                <w:rFonts w:ascii="Calibri" w:eastAsia="Calibri" w:hAnsi="Calibri"/>
                <w:color w:val="000000"/>
                <w:szCs w:val="22"/>
                <w:lang w:eastAsia="en-GB"/>
              </w:rPr>
            </w:pPr>
            <w:r w:rsidRPr="00175A59">
              <w:rPr>
                <w:rFonts w:ascii="Calibri" w:eastAsia="Calibri" w:hAnsi="Calibri"/>
                <w:color w:val="000000"/>
                <w:szCs w:val="22"/>
                <w:lang w:eastAsia="en-GB"/>
              </w:rPr>
              <w:t>Shortlisted applicants*</w:t>
            </w:r>
          </w:p>
        </w:tc>
        <w:tc>
          <w:tcPr>
            <w:tcW w:w="3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color w:val="000000"/>
                <w:szCs w:val="22"/>
                <w:lang w:eastAsia="en-GB"/>
              </w:rPr>
            </w:pPr>
            <w:r w:rsidRPr="00175A59">
              <w:rPr>
                <w:rFonts w:ascii="Calibri" w:eastAsia="Calibri" w:hAnsi="Calibri"/>
                <w:color w:val="000000"/>
                <w:szCs w:val="22"/>
                <w:lang w:eastAsia="en-GB"/>
              </w:rPr>
              <w:t>n/a</w:t>
            </w:r>
          </w:p>
        </w:tc>
        <w:tc>
          <w:tcPr>
            <w:tcW w:w="3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color w:val="000000"/>
                <w:szCs w:val="22"/>
                <w:lang w:eastAsia="en-GB"/>
              </w:rPr>
            </w:pPr>
            <w:r w:rsidRPr="00175A59">
              <w:rPr>
                <w:rFonts w:ascii="Calibri" w:eastAsia="Calibri" w:hAnsi="Calibri"/>
                <w:color w:val="000000"/>
                <w:szCs w:val="22"/>
                <w:lang w:eastAsia="en-GB"/>
              </w:rPr>
              <w:t>n/a</w:t>
            </w:r>
          </w:p>
        </w:tc>
        <w:tc>
          <w:tcPr>
            <w:tcW w:w="37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color w:val="000000"/>
                <w:szCs w:val="22"/>
                <w:lang w:eastAsia="en-GB"/>
              </w:rPr>
            </w:pPr>
            <w:r w:rsidRPr="00175A59">
              <w:rPr>
                <w:rFonts w:ascii="Calibri" w:eastAsia="Calibri" w:hAnsi="Calibri"/>
                <w:color w:val="000000"/>
                <w:szCs w:val="22"/>
                <w:lang w:eastAsia="en-GB"/>
              </w:rPr>
              <w:t>3798</w:t>
            </w:r>
          </w:p>
        </w:tc>
        <w:tc>
          <w:tcPr>
            <w:tcW w:w="37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color w:val="000000"/>
                <w:szCs w:val="22"/>
                <w:lang w:eastAsia="en-GB"/>
              </w:rPr>
            </w:pPr>
            <w:r w:rsidRPr="00175A59">
              <w:rPr>
                <w:rFonts w:ascii="Calibri" w:eastAsia="Calibri" w:hAnsi="Calibri"/>
                <w:color w:val="000000"/>
                <w:szCs w:val="22"/>
                <w:lang w:eastAsia="en-GB"/>
              </w:rPr>
              <w:t>347</w:t>
            </w:r>
          </w:p>
        </w:tc>
        <w:tc>
          <w:tcPr>
            <w:tcW w:w="32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color w:val="000000"/>
                <w:szCs w:val="22"/>
                <w:lang w:eastAsia="en-GB"/>
              </w:rPr>
            </w:pPr>
            <w:r w:rsidRPr="00175A59">
              <w:rPr>
                <w:rFonts w:ascii="Calibri" w:eastAsia="Calibri" w:hAnsi="Calibri"/>
                <w:color w:val="000000"/>
                <w:szCs w:val="22"/>
                <w:lang w:eastAsia="en-GB"/>
              </w:rPr>
              <w:t>4980</w:t>
            </w:r>
          </w:p>
        </w:tc>
        <w:tc>
          <w:tcPr>
            <w:tcW w:w="32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color w:val="000000"/>
                <w:szCs w:val="22"/>
                <w:lang w:eastAsia="en-GB"/>
              </w:rPr>
            </w:pPr>
            <w:r w:rsidRPr="00175A59">
              <w:rPr>
                <w:rFonts w:ascii="Calibri" w:eastAsia="Calibri" w:hAnsi="Calibri"/>
                <w:color w:val="000000"/>
                <w:szCs w:val="22"/>
                <w:lang w:eastAsia="en-GB"/>
              </w:rPr>
              <w:t>413</w:t>
            </w:r>
          </w:p>
        </w:tc>
        <w:tc>
          <w:tcPr>
            <w:tcW w:w="37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color w:val="000000"/>
                <w:szCs w:val="22"/>
                <w:lang w:eastAsia="en-GB"/>
              </w:rPr>
            </w:pPr>
            <w:r w:rsidRPr="00175A59">
              <w:rPr>
                <w:rFonts w:ascii="Calibri" w:eastAsia="Calibri" w:hAnsi="Calibri"/>
                <w:color w:val="000000"/>
                <w:szCs w:val="22"/>
                <w:lang w:eastAsia="en-GB"/>
              </w:rPr>
              <w:t>3942</w:t>
            </w:r>
          </w:p>
        </w:tc>
        <w:tc>
          <w:tcPr>
            <w:tcW w:w="35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color w:val="000000"/>
                <w:szCs w:val="22"/>
                <w:lang w:eastAsia="en-GB"/>
              </w:rPr>
            </w:pPr>
            <w:r w:rsidRPr="00175A59">
              <w:rPr>
                <w:rFonts w:ascii="Calibri" w:eastAsia="Calibri" w:hAnsi="Calibri"/>
                <w:color w:val="000000"/>
                <w:szCs w:val="22"/>
                <w:lang w:eastAsia="en-GB"/>
              </w:rPr>
              <w:t>358</w:t>
            </w:r>
          </w:p>
        </w:tc>
        <w:tc>
          <w:tcPr>
            <w:tcW w:w="39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color w:val="000000"/>
                <w:szCs w:val="22"/>
                <w:lang w:eastAsia="en-GB"/>
              </w:rPr>
            </w:pPr>
            <w:r w:rsidRPr="00175A59">
              <w:rPr>
                <w:rFonts w:ascii="Calibri" w:eastAsia="Calibri" w:hAnsi="Calibri"/>
                <w:color w:val="000000"/>
                <w:szCs w:val="22"/>
                <w:lang w:eastAsia="en-GB"/>
              </w:rPr>
              <w:t>5056</w:t>
            </w:r>
          </w:p>
        </w:tc>
        <w:tc>
          <w:tcPr>
            <w:tcW w:w="38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color w:val="000000"/>
                <w:szCs w:val="22"/>
                <w:lang w:eastAsia="en-GB"/>
              </w:rPr>
            </w:pPr>
            <w:r w:rsidRPr="00175A59">
              <w:rPr>
                <w:rFonts w:ascii="Calibri" w:eastAsia="Calibri" w:hAnsi="Calibri"/>
                <w:color w:val="000000"/>
                <w:szCs w:val="22"/>
                <w:lang w:eastAsia="en-GB"/>
              </w:rPr>
              <w:t>624</w:t>
            </w:r>
          </w:p>
        </w:tc>
      </w:tr>
      <w:tr w:rsidR="00175A59" w:rsidRPr="00175A59" w:rsidTr="00175A59">
        <w:trPr>
          <w:trHeight w:val="300"/>
        </w:trPr>
        <w:tc>
          <w:tcPr>
            <w:tcW w:w="1426"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rPr>
                <w:rFonts w:ascii="Calibri" w:eastAsia="Calibri" w:hAnsi="Calibri"/>
                <w:color w:val="000000"/>
                <w:szCs w:val="22"/>
                <w:lang w:eastAsia="en-GB"/>
              </w:rPr>
            </w:pPr>
            <w:r w:rsidRPr="00175A59">
              <w:rPr>
                <w:rFonts w:ascii="Calibri" w:eastAsia="Calibri" w:hAnsi="Calibri"/>
                <w:color w:val="000000"/>
                <w:szCs w:val="22"/>
                <w:lang w:eastAsia="en-GB"/>
              </w:rPr>
              <w:t>Appointed*</w:t>
            </w:r>
          </w:p>
        </w:tc>
        <w:tc>
          <w:tcPr>
            <w:tcW w:w="3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color w:val="000000"/>
                <w:szCs w:val="22"/>
                <w:lang w:eastAsia="en-GB"/>
              </w:rPr>
            </w:pPr>
            <w:r w:rsidRPr="00175A59">
              <w:rPr>
                <w:rFonts w:ascii="Calibri" w:eastAsia="Calibri" w:hAnsi="Calibri"/>
                <w:color w:val="000000"/>
                <w:szCs w:val="22"/>
                <w:lang w:eastAsia="en-GB"/>
              </w:rPr>
              <w:t>n/a</w:t>
            </w:r>
          </w:p>
        </w:tc>
        <w:tc>
          <w:tcPr>
            <w:tcW w:w="3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color w:val="000000"/>
                <w:szCs w:val="22"/>
                <w:lang w:eastAsia="en-GB"/>
              </w:rPr>
            </w:pPr>
            <w:r w:rsidRPr="00175A59">
              <w:rPr>
                <w:rFonts w:ascii="Calibri" w:eastAsia="Calibri" w:hAnsi="Calibri"/>
                <w:color w:val="000000"/>
                <w:szCs w:val="22"/>
                <w:lang w:eastAsia="en-GB"/>
              </w:rPr>
              <w:t>n/a</w:t>
            </w:r>
          </w:p>
        </w:tc>
        <w:tc>
          <w:tcPr>
            <w:tcW w:w="37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color w:val="000000"/>
                <w:szCs w:val="22"/>
                <w:lang w:eastAsia="en-GB"/>
              </w:rPr>
            </w:pPr>
            <w:r w:rsidRPr="00175A59">
              <w:rPr>
                <w:rFonts w:ascii="Calibri" w:eastAsia="Calibri" w:hAnsi="Calibri"/>
                <w:color w:val="000000"/>
                <w:szCs w:val="22"/>
                <w:lang w:eastAsia="en-GB"/>
              </w:rPr>
              <w:t>686</w:t>
            </w:r>
          </w:p>
        </w:tc>
        <w:tc>
          <w:tcPr>
            <w:tcW w:w="37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color w:val="000000"/>
                <w:szCs w:val="22"/>
                <w:lang w:eastAsia="en-GB"/>
              </w:rPr>
            </w:pPr>
            <w:r w:rsidRPr="00175A59">
              <w:rPr>
                <w:rFonts w:ascii="Calibri" w:eastAsia="Calibri" w:hAnsi="Calibri"/>
                <w:color w:val="000000"/>
                <w:szCs w:val="22"/>
                <w:lang w:eastAsia="en-GB"/>
              </w:rPr>
              <w:t>47</w:t>
            </w:r>
          </w:p>
        </w:tc>
        <w:tc>
          <w:tcPr>
            <w:tcW w:w="32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eastAsia="Calibri" w:cs="Arial"/>
                <w:sz w:val="20"/>
                <w:szCs w:val="20"/>
                <w:lang w:eastAsia="en-GB"/>
              </w:rPr>
            </w:pPr>
            <w:r w:rsidRPr="00175A59">
              <w:rPr>
                <w:rFonts w:eastAsia="Calibri" w:cs="Arial"/>
                <w:sz w:val="20"/>
                <w:szCs w:val="20"/>
                <w:lang w:eastAsia="en-GB"/>
              </w:rPr>
              <w:t>754</w:t>
            </w:r>
          </w:p>
        </w:tc>
        <w:tc>
          <w:tcPr>
            <w:tcW w:w="32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eastAsia="Calibri" w:cs="Arial"/>
                <w:sz w:val="20"/>
                <w:szCs w:val="20"/>
                <w:lang w:eastAsia="en-GB"/>
              </w:rPr>
            </w:pPr>
            <w:r w:rsidRPr="00175A59">
              <w:rPr>
                <w:rFonts w:eastAsia="Calibri" w:cs="Arial"/>
                <w:sz w:val="20"/>
                <w:szCs w:val="20"/>
                <w:lang w:eastAsia="en-GB"/>
              </w:rPr>
              <w:t>43</w:t>
            </w:r>
          </w:p>
        </w:tc>
        <w:tc>
          <w:tcPr>
            <w:tcW w:w="37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eastAsia="Calibri" w:cs="Arial"/>
                <w:sz w:val="20"/>
                <w:szCs w:val="20"/>
                <w:lang w:eastAsia="en-GB"/>
              </w:rPr>
            </w:pPr>
            <w:r w:rsidRPr="00175A59">
              <w:rPr>
                <w:rFonts w:eastAsia="Calibri" w:cs="Arial"/>
                <w:sz w:val="20"/>
                <w:szCs w:val="20"/>
                <w:lang w:eastAsia="en-GB"/>
              </w:rPr>
              <w:t>765</w:t>
            </w:r>
          </w:p>
        </w:tc>
        <w:tc>
          <w:tcPr>
            <w:tcW w:w="35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eastAsia="Calibri" w:cs="Arial"/>
                <w:sz w:val="20"/>
                <w:szCs w:val="20"/>
                <w:lang w:eastAsia="en-GB"/>
              </w:rPr>
            </w:pPr>
            <w:r w:rsidRPr="00175A59">
              <w:rPr>
                <w:rFonts w:eastAsia="Calibri" w:cs="Arial"/>
                <w:sz w:val="20"/>
                <w:szCs w:val="20"/>
                <w:lang w:eastAsia="en-GB"/>
              </w:rPr>
              <w:t>45</w:t>
            </w:r>
          </w:p>
        </w:tc>
        <w:tc>
          <w:tcPr>
            <w:tcW w:w="39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75A59" w:rsidRPr="00175A59" w:rsidRDefault="00175A59" w:rsidP="00175A59">
            <w:pPr>
              <w:jc w:val="center"/>
              <w:rPr>
                <w:rFonts w:eastAsia="Calibri" w:cs="Arial"/>
                <w:sz w:val="20"/>
                <w:szCs w:val="20"/>
                <w:lang w:eastAsia="en-GB"/>
              </w:rPr>
            </w:pPr>
            <w:r w:rsidRPr="00175A59">
              <w:rPr>
                <w:rFonts w:eastAsia="Calibri" w:cs="Arial"/>
                <w:sz w:val="20"/>
                <w:szCs w:val="20"/>
                <w:lang w:eastAsia="en-GB"/>
              </w:rPr>
              <w:t>636</w:t>
            </w:r>
          </w:p>
        </w:tc>
        <w:tc>
          <w:tcPr>
            <w:tcW w:w="38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75A59" w:rsidRPr="00175A59" w:rsidRDefault="00175A59" w:rsidP="00175A59">
            <w:pPr>
              <w:jc w:val="center"/>
              <w:rPr>
                <w:rFonts w:eastAsia="Calibri" w:cs="Arial"/>
                <w:sz w:val="20"/>
                <w:szCs w:val="20"/>
                <w:lang w:eastAsia="en-GB"/>
              </w:rPr>
            </w:pPr>
            <w:r w:rsidRPr="00175A59">
              <w:rPr>
                <w:rFonts w:eastAsia="Calibri" w:cs="Arial"/>
                <w:sz w:val="20"/>
                <w:szCs w:val="20"/>
                <w:lang w:eastAsia="en-GB"/>
              </w:rPr>
              <w:t>56</w:t>
            </w:r>
          </w:p>
        </w:tc>
      </w:tr>
      <w:tr w:rsidR="00175A59" w:rsidRPr="00175A59" w:rsidTr="00175A59">
        <w:trPr>
          <w:trHeight w:val="300"/>
        </w:trPr>
        <w:tc>
          <w:tcPr>
            <w:tcW w:w="1426"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rPr>
                <w:rFonts w:ascii="Calibri" w:eastAsia="Calibri" w:hAnsi="Calibri"/>
                <w:color w:val="000000"/>
                <w:szCs w:val="22"/>
                <w:lang w:eastAsia="en-GB"/>
              </w:rPr>
            </w:pPr>
            <w:r w:rsidRPr="00175A59">
              <w:rPr>
                <w:rFonts w:ascii="Calibri" w:eastAsia="Calibri" w:hAnsi="Calibri"/>
                <w:color w:val="000000"/>
                <w:szCs w:val="22"/>
                <w:lang w:eastAsia="en-GB"/>
              </w:rPr>
              <w:t>Likelihood of appointment from shortlisting</w:t>
            </w:r>
          </w:p>
        </w:tc>
        <w:tc>
          <w:tcPr>
            <w:tcW w:w="3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color w:val="000000"/>
                <w:szCs w:val="22"/>
                <w:lang w:eastAsia="en-GB"/>
              </w:rPr>
            </w:pPr>
            <w:r w:rsidRPr="00175A59">
              <w:rPr>
                <w:rFonts w:ascii="Calibri" w:eastAsia="Calibri" w:hAnsi="Calibri"/>
                <w:color w:val="000000"/>
                <w:szCs w:val="22"/>
                <w:lang w:eastAsia="en-GB"/>
              </w:rPr>
              <w:t>n/a</w:t>
            </w:r>
          </w:p>
        </w:tc>
        <w:tc>
          <w:tcPr>
            <w:tcW w:w="33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color w:val="000000"/>
                <w:szCs w:val="22"/>
                <w:lang w:eastAsia="en-GB"/>
              </w:rPr>
            </w:pPr>
            <w:r w:rsidRPr="00175A59">
              <w:rPr>
                <w:rFonts w:ascii="Calibri" w:eastAsia="Calibri" w:hAnsi="Calibri"/>
                <w:color w:val="000000"/>
                <w:szCs w:val="22"/>
                <w:lang w:eastAsia="en-GB"/>
              </w:rPr>
              <w:t>n/a</w:t>
            </w:r>
          </w:p>
        </w:tc>
        <w:tc>
          <w:tcPr>
            <w:tcW w:w="37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color w:val="000000"/>
                <w:szCs w:val="22"/>
                <w:lang w:eastAsia="en-GB"/>
              </w:rPr>
            </w:pPr>
            <w:r w:rsidRPr="00175A59">
              <w:rPr>
                <w:rFonts w:ascii="Calibri" w:eastAsia="Calibri" w:hAnsi="Calibri"/>
                <w:color w:val="000000"/>
                <w:szCs w:val="22"/>
                <w:lang w:eastAsia="en-GB"/>
              </w:rPr>
              <w:t>0.18</w:t>
            </w:r>
          </w:p>
        </w:tc>
        <w:tc>
          <w:tcPr>
            <w:tcW w:w="37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color w:val="000000"/>
                <w:szCs w:val="22"/>
                <w:lang w:eastAsia="en-GB"/>
              </w:rPr>
            </w:pPr>
            <w:r w:rsidRPr="00175A59">
              <w:rPr>
                <w:rFonts w:ascii="Calibri" w:eastAsia="Calibri" w:hAnsi="Calibri"/>
                <w:color w:val="000000"/>
                <w:szCs w:val="22"/>
                <w:lang w:eastAsia="en-GB"/>
              </w:rPr>
              <w:t>0.14</w:t>
            </w:r>
          </w:p>
        </w:tc>
        <w:tc>
          <w:tcPr>
            <w:tcW w:w="32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color w:val="000000"/>
                <w:szCs w:val="22"/>
                <w:lang w:eastAsia="en-GB"/>
              </w:rPr>
            </w:pPr>
            <w:r w:rsidRPr="00175A59">
              <w:rPr>
                <w:rFonts w:ascii="Calibri" w:eastAsia="Calibri" w:hAnsi="Calibri"/>
                <w:color w:val="000000"/>
                <w:szCs w:val="22"/>
                <w:lang w:eastAsia="en-GB"/>
              </w:rPr>
              <w:t>0.15</w:t>
            </w:r>
          </w:p>
        </w:tc>
        <w:tc>
          <w:tcPr>
            <w:tcW w:w="32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color w:val="000000"/>
                <w:szCs w:val="22"/>
                <w:lang w:eastAsia="en-GB"/>
              </w:rPr>
            </w:pPr>
            <w:r w:rsidRPr="00175A59">
              <w:rPr>
                <w:rFonts w:ascii="Calibri" w:eastAsia="Calibri" w:hAnsi="Calibri"/>
                <w:color w:val="000000"/>
                <w:szCs w:val="22"/>
                <w:lang w:eastAsia="en-GB"/>
              </w:rPr>
              <w:t>0.10</w:t>
            </w:r>
          </w:p>
        </w:tc>
        <w:tc>
          <w:tcPr>
            <w:tcW w:w="37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color w:val="000000"/>
                <w:szCs w:val="22"/>
                <w:lang w:eastAsia="en-GB"/>
              </w:rPr>
            </w:pPr>
            <w:r w:rsidRPr="00175A59">
              <w:rPr>
                <w:rFonts w:ascii="Calibri" w:eastAsia="Calibri" w:hAnsi="Calibri"/>
                <w:color w:val="000000"/>
                <w:szCs w:val="22"/>
                <w:lang w:eastAsia="en-GB"/>
              </w:rPr>
              <w:t>0.19</w:t>
            </w:r>
          </w:p>
        </w:tc>
        <w:tc>
          <w:tcPr>
            <w:tcW w:w="35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color w:val="000000"/>
                <w:szCs w:val="22"/>
                <w:lang w:eastAsia="en-GB"/>
              </w:rPr>
            </w:pPr>
            <w:r w:rsidRPr="00175A59">
              <w:rPr>
                <w:rFonts w:ascii="Calibri" w:eastAsia="Calibri" w:hAnsi="Calibri"/>
                <w:color w:val="000000"/>
                <w:szCs w:val="22"/>
                <w:lang w:eastAsia="en-GB"/>
              </w:rPr>
              <w:t>0.13</w:t>
            </w:r>
          </w:p>
        </w:tc>
        <w:tc>
          <w:tcPr>
            <w:tcW w:w="39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color w:val="000000"/>
                <w:szCs w:val="22"/>
                <w:lang w:eastAsia="en-GB"/>
              </w:rPr>
            </w:pPr>
            <w:r w:rsidRPr="00175A59">
              <w:rPr>
                <w:rFonts w:ascii="Calibri" w:eastAsia="Calibri" w:hAnsi="Calibri"/>
                <w:color w:val="000000"/>
                <w:szCs w:val="22"/>
                <w:lang w:eastAsia="en-GB"/>
              </w:rPr>
              <w:t>0.13</w:t>
            </w:r>
          </w:p>
        </w:tc>
        <w:tc>
          <w:tcPr>
            <w:tcW w:w="38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color w:val="000000"/>
                <w:szCs w:val="22"/>
                <w:lang w:eastAsia="en-GB"/>
              </w:rPr>
            </w:pPr>
            <w:r w:rsidRPr="00175A59">
              <w:rPr>
                <w:rFonts w:ascii="Calibri" w:eastAsia="Calibri" w:hAnsi="Calibri"/>
                <w:color w:val="000000"/>
                <w:szCs w:val="22"/>
                <w:lang w:eastAsia="en-GB"/>
              </w:rPr>
              <w:t>0.09</w:t>
            </w:r>
          </w:p>
        </w:tc>
      </w:tr>
      <w:tr w:rsidR="00175A59" w:rsidRPr="00175A59" w:rsidTr="00175A59">
        <w:trPr>
          <w:trHeight w:val="300"/>
        </w:trPr>
        <w:tc>
          <w:tcPr>
            <w:tcW w:w="1426" w:type="pct"/>
            <w:tcBorders>
              <w:top w:val="single" w:sz="8" w:space="0" w:color="auto"/>
              <w:left w:val="single" w:sz="8" w:space="0" w:color="auto"/>
              <w:bottom w:val="single" w:sz="8" w:space="0" w:color="auto"/>
            </w:tcBorders>
            <w:noWrap/>
            <w:tcMar>
              <w:top w:w="0" w:type="dxa"/>
              <w:left w:w="108" w:type="dxa"/>
              <w:bottom w:w="0" w:type="dxa"/>
              <w:right w:w="108" w:type="dxa"/>
            </w:tcMar>
            <w:vAlign w:val="bottom"/>
            <w:hideMark/>
          </w:tcPr>
          <w:p w:rsidR="00175A59" w:rsidRPr="00175A59" w:rsidRDefault="00175A59" w:rsidP="00175A59">
            <w:pPr>
              <w:jc w:val="right"/>
              <w:rPr>
                <w:rFonts w:ascii="Calibri" w:eastAsia="Calibri" w:hAnsi="Calibri"/>
                <w:b/>
                <w:bCs/>
                <w:color w:val="000000"/>
                <w:szCs w:val="22"/>
                <w:lang w:eastAsia="en-GB"/>
              </w:rPr>
            </w:pPr>
            <w:r w:rsidRPr="00175A59">
              <w:rPr>
                <w:rFonts w:ascii="Calibri" w:eastAsia="Calibri" w:hAnsi="Calibri"/>
                <w:b/>
                <w:bCs/>
                <w:color w:val="000000"/>
                <w:szCs w:val="22"/>
                <w:lang w:eastAsia="en-GB"/>
              </w:rPr>
              <w:t>Relative likelihood (white/BME)</w:t>
            </w:r>
          </w:p>
        </w:tc>
        <w:tc>
          <w:tcPr>
            <w:tcW w:w="331" w:type="pct"/>
            <w:tcBorders>
              <w:top w:val="single" w:sz="8" w:space="0" w:color="auto"/>
              <w:bottom w:val="single" w:sz="8" w:space="0" w:color="auto"/>
            </w:tcBorders>
            <w:shd w:val="clear" w:color="auto" w:fill="D9D9D9"/>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color w:val="000000"/>
                <w:szCs w:val="22"/>
                <w:lang w:eastAsia="en-GB"/>
              </w:rPr>
            </w:pPr>
            <w:r w:rsidRPr="00175A59">
              <w:rPr>
                <w:rFonts w:ascii="Calibri" w:eastAsia="Calibri" w:hAnsi="Calibri"/>
                <w:color w:val="000000"/>
                <w:szCs w:val="22"/>
                <w:lang w:eastAsia="en-GB"/>
              </w:rPr>
              <w:t> </w:t>
            </w:r>
          </w:p>
        </w:tc>
        <w:tc>
          <w:tcPr>
            <w:tcW w:w="331" w:type="pct"/>
            <w:tcBorders>
              <w:top w:val="single" w:sz="8" w:space="0" w:color="auto"/>
              <w:bottom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color w:val="000000"/>
                <w:szCs w:val="22"/>
                <w:lang w:eastAsia="en-GB"/>
              </w:rPr>
            </w:pPr>
            <w:r w:rsidRPr="00175A59">
              <w:rPr>
                <w:rFonts w:ascii="Calibri" w:eastAsia="Calibri" w:hAnsi="Calibri"/>
                <w:color w:val="000000"/>
                <w:szCs w:val="22"/>
                <w:lang w:eastAsia="en-GB"/>
              </w:rPr>
              <w:t>n/a</w:t>
            </w:r>
          </w:p>
        </w:tc>
        <w:tc>
          <w:tcPr>
            <w:tcW w:w="379" w:type="pct"/>
            <w:tcBorders>
              <w:top w:val="single" w:sz="8" w:space="0" w:color="auto"/>
              <w:bottom w:val="single" w:sz="8" w:space="0" w:color="auto"/>
            </w:tcBorders>
            <w:shd w:val="clear" w:color="auto" w:fill="D9D9D9"/>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color w:val="000000"/>
                <w:szCs w:val="22"/>
                <w:lang w:eastAsia="en-GB"/>
              </w:rPr>
            </w:pPr>
            <w:r w:rsidRPr="00175A59">
              <w:rPr>
                <w:rFonts w:ascii="Calibri" w:eastAsia="Calibri" w:hAnsi="Calibri"/>
                <w:color w:val="000000"/>
                <w:szCs w:val="22"/>
                <w:lang w:eastAsia="en-GB"/>
              </w:rPr>
              <w:t> </w:t>
            </w:r>
          </w:p>
        </w:tc>
        <w:tc>
          <w:tcPr>
            <w:tcW w:w="373" w:type="pct"/>
            <w:tcBorders>
              <w:top w:val="single" w:sz="8" w:space="0" w:color="auto"/>
              <w:bottom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color w:val="000000"/>
                <w:szCs w:val="22"/>
                <w:lang w:eastAsia="en-GB"/>
              </w:rPr>
            </w:pPr>
            <w:r w:rsidRPr="00175A59">
              <w:rPr>
                <w:rFonts w:ascii="Calibri" w:eastAsia="Calibri" w:hAnsi="Calibri"/>
                <w:color w:val="000000"/>
                <w:szCs w:val="22"/>
                <w:lang w:eastAsia="en-GB"/>
              </w:rPr>
              <w:t>1.33</w:t>
            </w:r>
          </w:p>
        </w:tc>
        <w:tc>
          <w:tcPr>
            <w:tcW w:w="325" w:type="pct"/>
            <w:tcBorders>
              <w:top w:val="single" w:sz="8" w:space="0" w:color="auto"/>
              <w:bottom w:val="single" w:sz="8" w:space="0" w:color="auto"/>
            </w:tcBorders>
            <w:shd w:val="clear" w:color="auto" w:fill="D9D9D9"/>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color w:val="000000"/>
                <w:szCs w:val="22"/>
                <w:lang w:eastAsia="en-GB"/>
              </w:rPr>
            </w:pPr>
            <w:r w:rsidRPr="00175A59">
              <w:rPr>
                <w:rFonts w:ascii="Calibri" w:eastAsia="Calibri" w:hAnsi="Calibri"/>
                <w:color w:val="000000"/>
                <w:szCs w:val="22"/>
                <w:lang w:eastAsia="en-GB"/>
              </w:rPr>
              <w:t> </w:t>
            </w:r>
          </w:p>
        </w:tc>
        <w:tc>
          <w:tcPr>
            <w:tcW w:w="325" w:type="pct"/>
            <w:tcBorders>
              <w:top w:val="single" w:sz="8" w:space="0" w:color="auto"/>
              <w:bottom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color w:val="000000"/>
                <w:szCs w:val="22"/>
                <w:lang w:eastAsia="en-GB"/>
              </w:rPr>
            </w:pPr>
            <w:r w:rsidRPr="00175A59">
              <w:rPr>
                <w:rFonts w:ascii="Calibri" w:eastAsia="Calibri" w:hAnsi="Calibri"/>
                <w:color w:val="000000"/>
                <w:szCs w:val="22"/>
                <w:lang w:eastAsia="en-GB"/>
              </w:rPr>
              <w:t>1.45</w:t>
            </w:r>
          </w:p>
        </w:tc>
        <w:tc>
          <w:tcPr>
            <w:tcW w:w="373" w:type="pct"/>
            <w:tcBorders>
              <w:top w:val="single" w:sz="8" w:space="0" w:color="auto"/>
              <w:bottom w:val="single" w:sz="8" w:space="0" w:color="auto"/>
            </w:tcBorders>
            <w:shd w:val="clear" w:color="auto" w:fill="D9D9D9"/>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color w:val="000000"/>
                <w:szCs w:val="22"/>
                <w:lang w:eastAsia="en-GB"/>
              </w:rPr>
            </w:pPr>
            <w:r w:rsidRPr="00175A59">
              <w:rPr>
                <w:rFonts w:ascii="Calibri" w:eastAsia="Calibri" w:hAnsi="Calibri"/>
                <w:color w:val="000000"/>
                <w:szCs w:val="22"/>
                <w:lang w:eastAsia="en-GB"/>
              </w:rPr>
              <w:t> </w:t>
            </w:r>
          </w:p>
        </w:tc>
        <w:tc>
          <w:tcPr>
            <w:tcW w:w="355" w:type="pct"/>
            <w:tcBorders>
              <w:top w:val="single" w:sz="8" w:space="0" w:color="auto"/>
              <w:bottom w:val="single" w:sz="8" w:space="0" w:color="auto"/>
            </w:tcBorders>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color w:val="000000"/>
                <w:szCs w:val="22"/>
                <w:lang w:eastAsia="en-GB"/>
              </w:rPr>
            </w:pPr>
            <w:r w:rsidRPr="00175A59">
              <w:rPr>
                <w:rFonts w:ascii="Calibri" w:eastAsia="Calibri" w:hAnsi="Calibri"/>
                <w:color w:val="000000"/>
                <w:szCs w:val="22"/>
                <w:lang w:eastAsia="en-GB"/>
              </w:rPr>
              <w:t>1.54</w:t>
            </w:r>
          </w:p>
        </w:tc>
        <w:tc>
          <w:tcPr>
            <w:tcW w:w="396" w:type="pct"/>
            <w:tcBorders>
              <w:top w:val="single" w:sz="8" w:space="0" w:color="auto"/>
              <w:bottom w:val="single" w:sz="8" w:space="0" w:color="auto"/>
            </w:tcBorders>
            <w:shd w:val="clear" w:color="auto" w:fill="D9D9D9"/>
            <w:noWrap/>
            <w:tcMar>
              <w:top w:w="0" w:type="dxa"/>
              <w:left w:w="108" w:type="dxa"/>
              <w:bottom w:w="0" w:type="dxa"/>
              <w:right w:w="108" w:type="dxa"/>
            </w:tcMar>
            <w:vAlign w:val="bottom"/>
            <w:hideMark/>
          </w:tcPr>
          <w:p w:rsidR="00175A59" w:rsidRPr="00175A59" w:rsidRDefault="00175A59" w:rsidP="00175A59">
            <w:pPr>
              <w:jc w:val="center"/>
              <w:rPr>
                <w:rFonts w:ascii="Calibri" w:eastAsia="Calibri" w:hAnsi="Calibri"/>
                <w:color w:val="000000"/>
                <w:szCs w:val="22"/>
                <w:lang w:eastAsia="en-GB"/>
              </w:rPr>
            </w:pPr>
            <w:r w:rsidRPr="00175A59">
              <w:rPr>
                <w:rFonts w:ascii="Calibri" w:eastAsia="Calibri" w:hAnsi="Calibri"/>
                <w:color w:val="000000"/>
                <w:szCs w:val="22"/>
                <w:lang w:eastAsia="en-GB"/>
              </w:rPr>
              <w:t> </w:t>
            </w:r>
          </w:p>
        </w:tc>
        <w:tc>
          <w:tcPr>
            <w:tcW w:w="385" w:type="pct"/>
            <w:tcBorders>
              <w:top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75A59" w:rsidRPr="00175A59" w:rsidRDefault="00175A59" w:rsidP="004C47DF">
            <w:pPr>
              <w:jc w:val="center"/>
              <w:rPr>
                <w:rFonts w:ascii="Calibri" w:eastAsia="Calibri" w:hAnsi="Calibri"/>
                <w:color w:val="000000"/>
                <w:szCs w:val="22"/>
                <w:lang w:eastAsia="en-GB"/>
              </w:rPr>
            </w:pPr>
            <w:r w:rsidRPr="00175A59">
              <w:rPr>
                <w:rFonts w:ascii="Calibri" w:eastAsia="Calibri" w:hAnsi="Calibri"/>
                <w:color w:val="000000"/>
                <w:szCs w:val="22"/>
                <w:lang w:eastAsia="en-GB"/>
              </w:rPr>
              <w:t>1.4</w:t>
            </w:r>
            <w:r w:rsidR="004C47DF">
              <w:rPr>
                <w:rFonts w:ascii="Calibri" w:eastAsia="Calibri" w:hAnsi="Calibri"/>
                <w:color w:val="000000"/>
                <w:szCs w:val="22"/>
                <w:lang w:eastAsia="en-GB"/>
              </w:rPr>
              <w:t>4</w:t>
            </w:r>
          </w:p>
        </w:tc>
      </w:tr>
    </w:tbl>
    <w:p w:rsidR="00175A59" w:rsidRDefault="00175A59" w:rsidP="00175A59">
      <w:pPr>
        <w:pStyle w:val="ListParagraph"/>
        <w:rPr>
          <w:rFonts w:cs="Arial"/>
          <w:sz w:val="24"/>
        </w:rPr>
      </w:pPr>
    </w:p>
    <w:p w:rsidR="00746029" w:rsidRDefault="00746029" w:rsidP="00746029">
      <w:pPr>
        <w:pStyle w:val="ListParagraph"/>
        <w:numPr>
          <w:ilvl w:val="0"/>
          <w:numId w:val="6"/>
        </w:numPr>
        <w:rPr>
          <w:rFonts w:cs="Arial"/>
          <w:sz w:val="24"/>
        </w:rPr>
      </w:pPr>
      <w:r>
        <w:rPr>
          <w:rFonts w:cs="Arial"/>
          <w:sz w:val="24"/>
        </w:rPr>
        <w:t>A relative likelihood of 1.44 is better than the 2017 national average (1.57), but worse than the 2017 regional median, (1.21)</w:t>
      </w:r>
    </w:p>
    <w:p w:rsidR="00746029" w:rsidRDefault="00746029" w:rsidP="00746029">
      <w:pPr>
        <w:pStyle w:val="ListParagraph"/>
        <w:numPr>
          <w:ilvl w:val="0"/>
          <w:numId w:val="6"/>
        </w:numPr>
        <w:rPr>
          <w:rFonts w:cs="Arial"/>
          <w:sz w:val="24"/>
        </w:rPr>
      </w:pPr>
      <w:r>
        <w:rPr>
          <w:rFonts w:cs="Arial"/>
          <w:sz w:val="24"/>
        </w:rPr>
        <w:t>Rolling average since 2014/15 = 1.44.</w:t>
      </w:r>
    </w:p>
    <w:p w:rsidR="00C019D0" w:rsidRDefault="00746029" w:rsidP="00746029">
      <w:pPr>
        <w:pStyle w:val="ListParagraph"/>
        <w:numPr>
          <w:ilvl w:val="0"/>
          <w:numId w:val="6"/>
        </w:numPr>
        <w:rPr>
          <w:rFonts w:cs="Arial"/>
          <w:sz w:val="24"/>
        </w:rPr>
      </w:pPr>
      <w:r>
        <w:rPr>
          <w:rFonts w:cs="Arial"/>
          <w:sz w:val="24"/>
        </w:rPr>
        <w:t>Figures suggest a standstill picture rather than an improvement.</w:t>
      </w:r>
    </w:p>
    <w:p w:rsidR="00C019D0" w:rsidRDefault="00C019D0">
      <w:pPr>
        <w:spacing w:after="200" w:line="276" w:lineRule="auto"/>
        <w:rPr>
          <w:rFonts w:cs="Arial"/>
          <w:sz w:val="24"/>
        </w:rPr>
      </w:pPr>
      <w:r>
        <w:rPr>
          <w:rFonts w:cs="Arial"/>
          <w:sz w:val="24"/>
        </w:rPr>
        <w:br w:type="page"/>
      </w:r>
    </w:p>
    <w:p w:rsidR="00746029" w:rsidRDefault="00C019D0" w:rsidP="000766AA">
      <w:pPr>
        <w:pStyle w:val="ListParagraph"/>
        <w:ind w:left="0"/>
        <w:rPr>
          <w:rFonts w:cs="Arial"/>
          <w:sz w:val="24"/>
        </w:rPr>
      </w:pPr>
      <w:r w:rsidRPr="00C019D0">
        <w:rPr>
          <w:rFonts w:cs="Arial"/>
          <w:b/>
          <w:sz w:val="24"/>
        </w:rPr>
        <w:lastRenderedPageBreak/>
        <w:t>INDICATOR 3:  Likelihood of entering a formal disciplinary process</w:t>
      </w:r>
    </w:p>
    <w:p w:rsidR="00C019D0" w:rsidRDefault="00C019D0" w:rsidP="00C019D0">
      <w:pPr>
        <w:pStyle w:val="ListParagraph"/>
        <w:ind w:left="1440"/>
        <w:rPr>
          <w:rFonts w:cs="Arial"/>
          <w:sz w:val="24"/>
        </w:rPr>
      </w:pPr>
    </w:p>
    <w:tbl>
      <w:tblPr>
        <w:tblW w:w="5000" w:type="pct"/>
        <w:tblCellMar>
          <w:left w:w="0" w:type="dxa"/>
          <w:right w:w="0" w:type="dxa"/>
        </w:tblCellMar>
        <w:tblLook w:val="04A0" w:firstRow="1" w:lastRow="0" w:firstColumn="1" w:lastColumn="0" w:noHBand="0" w:noVBand="1"/>
      </w:tblPr>
      <w:tblGrid>
        <w:gridCol w:w="6048"/>
        <w:gridCol w:w="964"/>
        <w:gridCol w:w="964"/>
        <w:gridCol w:w="1103"/>
        <w:gridCol w:w="1086"/>
        <w:gridCol w:w="947"/>
        <w:gridCol w:w="947"/>
        <w:gridCol w:w="1086"/>
        <w:gridCol w:w="1029"/>
      </w:tblGrid>
      <w:tr w:rsidR="00C019D0" w:rsidRPr="00C019D0" w:rsidTr="00C019D0">
        <w:trPr>
          <w:trHeight w:val="300"/>
        </w:trPr>
        <w:tc>
          <w:tcPr>
            <w:tcW w:w="2134" w:type="pct"/>
            <w:noWrap/>
            <w:tcMar>
              <w:top w:w="0" w:type="dxa"/>
              <w:left w:w="108" w:type="dxa"/>
              <w:bottom w:w="0" w:type="dxa"/>
              <w:right w:w="108" w:type="dxa"/>
            </w:tcMar>
            <w:vAlign w:val="bottom"/>
            <w:hideMark/>
          </w:tcPr>
          <w:p w:rsidR="00C019D0" w:rsidRPr="00C019D0" w:rsidRDefault="00C019D0" w:rsidP="00C019D0">
            <w:pPr>
              <w:rPr>
                <w:rFonts w:ascii="Times New Roman" w:hAnsi="Times New Roman"/>
                <w:sz w:val="20"/>
                <w:szCs w:val="20"/>
                <w:lang w:eastAsia="en-GB"/>
              </w:rPr>
            </w:pPr>
          </w:p>
        </w:tc>
        <w:tc>
          <w:tcPr>
            <w:tcW w:w="680" w:type="pct"/>
            <w:gridSpan w:val="2"/>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rsidR="00C019D0" w:rsidRPr="00C019D0" w:rsidRDefault="00C019D0" w:rsidP="00C019D0">
            <w:pPr>
              <w:jc w:val="center"/>
              <w:rPr>
                <w:rFonts w:ascii="Calibri" w:eastAsia="Calibri" w:hAnsi="Calibri"/>
                <w:b/>
                <w:bCs/>
                <w:color w:val="000000"/>
                <w:szCs w:val="22"/>
                <w:lang w:eastAsia="en-GB"/>
              </w:rPr>
            </w:pPr>
            <w:r w:rsidRPr="00C019D0">
              <w:rPr>
                <w:rFonts w:ascii="Calibri" w:eastAsia="Calibri" w:hAnsi="Calibri"/>
                <w:b/>
                <w:bCs/>
                <w:color w:val="000000"/>
                <w:szCs w:val="22"/>
                <w:lang w:eastAsia="en-GB"/>
              </w:rPr>
              <w:t>2014-15</w:t>
            </w:r>
          </w:p>
        </w:tc>
        <w:tc>
          <w:tcPr>
            <w:tcW w:w="771" w:type="pct"/>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rsidR="00C019D0" w:rsidRPr="00C019D0" w:rsidRDefault="00C019D0" w:rsidP="00C019D0">
            <w:pPr>
              <w:jc w:val="center"/>
              <w:rPr>
                <w:rFonts w:ascii="Calibri" w:eastAsia="Calibri" w:hAnsi="Calibri"/>
                <w:b/>
                <w:bCs/>
                <w:color w:val="000000"/>
                <w:szCs w:val="22"/>
                <w:lang w:eastAsia="en-GB"/>
              </w:rPr>
            </w:pPr>
            <w:r w:rsidRPr="00C019D0">
              <w:rPr>
                <w:rFonts w:ascii="Calibri" w:eastAsia="Calibri" w:hAnsi="Calibri"/>
                <w:b/>
                <w:bCs/>
                <w:color w:val="000000"/>
                <w:szCs w:val="22"/>
                <w:lang w:eastAsia="en-GB"/>
              </w:rPr>
              <w:t>2015-16</w:t>
            </w:r>
          </w:p>
        </w:tc>
        <w:tc>
          <w:tcPr>
            <w:tcW w:w="668" w:type="pct"/>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rsidR="00C019D0" w:rsidRPr="00C019D0" w:rsidRDefault="00C019D0" w:rsidP="00C019D0">
            <w:pPr>
              <w:jc w:val="center"/>
              <w:rPr>
                <w:rFonts w:ascii="Calibri" w:eastAsia="Calibri" w:hAnsi="Calibri"/>
                <w:b/>
                <w:bCs/>
                <w:color w:val="000000"/>
                <w:szCs w:val="22"/>
                <w:lang w:eastAsia="en-GB"/>
              </w:rPr>
            </w:pPr>
            <w:r w:rsidRPr="00C019D0">
              <w:rPr>
                <w:rFonts w:ascii="Calibri" w:eastAsia="Calibri" w:hAnsi="Calibri"/>
                <w:b/>
                <w:bCs/>
                <w:color w:val="000000"/>
                <w:szCs w:val="22"/>
                <w:lang w:eastAsia="en-GB"/>
              </w:rPr>
              <w:t>2016-17</w:t>
            </w:r>
          </w:p>
        </w:tc>
        <w:tc>
          <w:tcPr>
            <w:tcW w:w="747" w:type="pct"/>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rsidR="00C019D0" w:rsidRPr="00C019D0" w:rsidRDefault="00C019D0" w:rsidP="00C019D0">
            <w:pPr>
              <w:jc w:val="center"/>
              <w:rPr>
                <w:rFonts w:ascii="Calibri" w:eastAsia="Calibri" w:hAnsi="Calibri"/>
                <w:b/>
                <w:bCs/>
                <w:color w:val="000000"/>
                <w:szCs w:val="22"/>
                <w:lang w:eastAsia="en-GB"/>
              </w:rPr>
            </w:pPr>
            <w:r w:rsidRPr="00C019D0">
              <w:rPr>
                <w:rFonts w:ascii="Calibri" w:eastAsia="Calibri" w:hAnsi="Calibri"/>
                <w:b/>
                <w:bCs/>
                <w:color w:val="000000"/>
                <w:szCs w:val="22"/>
                <w:lang w:eastAsia="en-GB"/>
              </w:rPr>
              <w:t>2017-18</w:t>
            </w:r>
          </w:p>
        </w:tc>
      </w:tr>
      <w:tr w:rsidR="00C019D0" w:rsidRPr="00C019D0" w:rsidTr="00C019D0">
        <w:trPr>
          <w:trHeight w:val="300"/>
        </w:trPr>
        <w:tc>
          <w:tcPr>
            <w:tcW w:w="2134"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019D0" w:rsidRPr="00C019D0" w:rsidRDefault="00C019D0" w:rsidP="00C019D0">
            <w:pPr>
              <w:rPr>
                <w:rFonts w:ascii="Calibri" w:eastAsia="Calibri" w:hAnsi="Calibri"/>
                <w:color w:val="000000"/>
                <w:szCs w:val="22"/>
                <w:lang w:eastAsia="en-GB"/>
              </w:rPr>
            </w:pPr>
            <w:r w:rsidRPr="00C019D0">
              <w:rPr>
                <w:rFonts w:ascii="Calibri" w:eastAsia="Calibri" w:hAnsi="Calibri"/>
                <w:color w:val="000000"/>
                <w:szCs w:val="22"/>
                <w:lang w:eastAsia="en-GB"/>
              </w:rPr>
              <w:t> </w:t>
            </w:r>
          </w:p>
        </w:tc>
        <w:tc>
          <w:tcPr>
            <w:tcW w:w="3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019D0" w:rsidRPr="00C019D0" w:rsidRDefault="00C019D0" w:rsidP="00C019D0">
            <w:pPr>
              <w:jc w:val="center"/>
              <w:rPr>
                <w:rFonts w:ascii="Calibri" w:eastAsia="Calibri" w:hAnsi="Calibri"/>
                <w:b/>
                <w:bCs/>
                <w:color w:val="000000"/>
                <w:szCs w:val="22"/>
                <w:lang w:eastAsia="en-GB"/>
              </w:rPr>
            </w:pPr>
            <w:r w:rsidRPr="00C019D0">
              <w:rPr>
                <w:rFonts w:ascii="Calibri" w:eastAsia="Calibri" w:hAnsi="Calibri"/>
                <w:b/>
                <w:bCs/>
                <w:color w:val="000000"/>
                <w:szCs w:val="22"/>
                <w:lang w:eastAsia="en-GB"/>
              </w:rPr>
              <w:t>White</w:t>
            </w:r>
          </w:p>
        </w:tc>
        <w:tc>
          <w:tcPr>
            <w:tcW w:w="3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019D0" w:rsidRPr="00C019D0" w:rsidRDefault="00C019D0" w:rsidP="00C019D0">
            <w:pPr>
              <w:jc w:val="center"/>
              <w:rPr>
                <w:rFonts w:ascii="Calibri" w:eastAsia="Calibri" w:hAnsi="Calibri"/>
                <w:b/>
                <w:bCs/>
                <w:color w:val="000000"/>
                <w:szCs w:val="22"/>
                <w:lang w:eastAsia="en-GB"/>
              </w:rPr>
            </w:pPr>
            <w:r w:rsidRPr="00C019D0">
              <w:rPr>
                <w:rFonts w:ascii="Calibri" w:eastAsia="Calibri" w:hAnsi="Calibri"/>
                <w:b/>
                <w:bCs/>
                <w:color w:val="000000"/>
                <w:szCs w:val="22"/>
                <w:lang w:eastAsia="en-GB"/>
              </w:rPr>
              <w:t>BME</w:t>
            </w:r>
          </w:p>
        </w:tc>
        <w:tc>
          <w:tcPr>
            <w:tcW w:w="389" w:type="pct"/>
            <w:noWrap/>
            <w:tcMar>
              <w:top w:w="0" w:type="dxa"/>
              <w:left w:w="108" w:type="dxa"/>
              <w:bottom w:w="0" w:type="dxa"/>
              <w:right w:w="108" w:type="dxa"/>
            </w:tcMar>
            <w:vAlign w:val="bottom"/>
            <w:hideMark/>
          </w:tcPr>
          <w:p w:rsidR="00C019D0" w:rsidRPr="00C019D0" w:rsidRDefault="00C019D0" w:rsidP="00C019D0">
            <w:pPr>
              <w:jc w:val="center"/>
              <w:rPr>
                <w:rFonts w:eastAsia="Calibri" w:cs="Arial"/>
                <w:b/>
                <w:bCs/>
                <w:sz w:val="20"/>
                <w:szCs w:val="20"/>
                <w:lang w:eastAsia="en-GB"/>
              </w:rPr>
            </w:pPr>
            <w:r w:rsidRPr="00C019D0">
              <w:rPr>
                <w:rFonts w:eastAsia="Calibri" w:cs="Arial"/>
                <w:b/>
                <w:bCs/>
                <w:sz w:val="20"/>
                <w:szCs w:val="20"/>
                <w:lang w:eastAsia="en-GB"/>
              </w:rPr>
              <w:t>White</w:t>
            </w:r>
          </w:p>
        </w:tc>
        <w:tc>
          <w:tcPr>
            <w:tcW w:w="38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019D0" w:rsidRPr="00C019D0" w:rsidRDefault="00C019D0" w:rsidP="00C019D0">
            <w:pPr>
              <w:jc w:val="center"/>
              <w:rPr>
                <w:rFonts w:eastAsia="Calibri" w:cs="Arial"/>
                <w:b/>
                <w:bCs/>
                <w:sz w:val="20"/>
                <w:szCs w:val="20"/>
                <w:lang w:eastAsia="en-GB"/>
              </w:rPr>
            </w:pPr>
            <w:r w:rsidRPr="00C019D0">
              <w:rPr>
                <w:rFonts w:eastAsia="Calibri" w:cs="Arial"/>
                <w:b/>
                <w:bCs/>
                <w:sz w:val="20"/>
                <w:szCs w:val="20"/>
                <w:lang w:eastAsia="en-GB"/>
              </w:rPr>
              <w:t>BME</w:t>
            </w:r>
          </w:p>
        </w:tc>
        <w:tc>
          <w:tcPr>
            <w:tcW w:w="334" w:type="pct"/>
            <w:noWrap/>
            <w:tcMar>
              <w:top w:w="0" w:type="dxa"/>
              <w:left w:w="108" w:type="dxa"/>
              <w:bottom w:w="0" w:type="dxa"/>
              <w:right w:w="108" w:type="dxa"/>
            </w:tcMar>
            <w:vAlign w:val="bottom"/>
            <w:hideMark/>
          </w:tcPr>
          <w:p w:rsidR="00C019D0" w:rsidRPr="00C019D0" w:rsidRDefault="00C019D0" w:rsidP="00C019D0">
            <w:pPr>
              <w:jc w:val="center"/>
              <w:rPr>
                <w:rFonts w:eastAsia="Calibri" w:cs="Arial"/>
                <w:b/>
                <w:bCs/>
                <w:sz w:val="20"/>
                <w:szCs w:val="20"/>
                <w:lang w:eastAsia="en-GB"/>
              </w:rPr>
            </w:pPr>
            <w:r w:rsidRPr="00C019D0">
              <w:rPr>
                <w:rFonts w:eastAsia="Calibri" w:cs="Arial"/>
                <w:b/>
                <w:bCs/>
                <w:sz w:val="20"/>
                <w:szCs w:val="20"/>
                <w:lang w:eastAsia="en-GB"/>
              </w:rPr>
              <w:t>White</w:t>
            </w:r>
          </w:p>
        </w:tc>
        <w:tc>
          <w:tcPr>
            <w:tcW w:w="33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019D0" w:rsidRPr="00C019D0" w:rsidRDefault="00C019D0" w:rsidP="00C019D0">
            <w:pPr>
              <w:jc w:val="center"/>
              <w:rPr>
                <w:rFonts w:eastAsia="Calibri" w:cs="Arial"/>
                <w:b/>
                <w:bCs/>
                <w:sz w:val="20"/>
                <w:szCs w:val="20"/>
                <w:lang w:eastAsia="en-GB"/>
              </w:rPr>
            </w:pPr>
            <w:r w:rsidRPr="00C019D0">
              <w:rPr>
                <w:rFonts w:eastAsia="Calibri" w:cs="Arial"/>
                <w:b/>
                <w:bCs/>
                <w:sz w:val="20"/>
                <w:szCs w:val="20"/>
                <w:lang w:eastAsia="en-GB"/>
              </w:rPr>
              <w:t>BME</w:t>
            </w:r>
          </w:p>
        </w:tc>
        <w:tc>
          <w:tcPr>
            <w:tcW w:w="383" w:type="pct"/>
            <w:noWrap/>
            <w:tcMar>
              <w:top w:w="0" w:type="dxa"/>
              <w:left w:w="108" w:type="dxa"/>
              <w:bottom w:w="0" w:type="dxa"/>
              <w:right w:w="108" w:type="dxa"/>
            </w:tcMar>
            <w:vAlign w:val="bottom"/>
            <w:hideMark/>
          </w:tcPr>
          <w:p w:rsidR="00C019D0" w:rsidRPr="00C019D0" w:rsidRDefault="00C019D0" w:rsidP="00C019D0">
            <w:pPr>
              <w:jc w:val="center"/>
              <w:rPr>
                <w:rFonts w:eastAsia="Calibri" w:cs="Arial"/>
                <w:b/>
                <w:bCs/>
                <w:sz w:val="20"/>
                <w:szCs w:val="20"/>
                <w:lang w:eastAsia="en-GB"/>
              </w:rPr>
            </w:pPr>
            <w:r w:rsidRPr="00C019D0">
              <w:rPr>
                <w:rFonts w:eastAsia="Calibri" w:cs="Arial"/>
                <w:b/>
                <w:bCs/>
                <w:sz w:val="20"/>
                <w:szCs w:val="20"/>
                <w:lang w:eastAsia="en-GB"/>
              </w:rPr>
              <w:t>White</w:t>
            </w:r>
          </w:p>
        </w:tc>
        <w:tc>
          <w:tcPr>
            <w:tcW w:w="36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019D0" w:rsidRPr="00C019D0" w:rsidRDefault="00C019D0" w:rsidP="00C019D0">
            <w:pPr>
              <w:jc w:val="center"/>
              <w:rPr>
                <w:rFonts w:eastAsia="Calibri" w:cs="Arial"/>
                <w:b/>
                <w:bCs/>
                <w:sz w:val="20"/>
                <w:szCs w:val="20"/>
                <w:lang w:eastAsia="en-GB"/>
              </w:rPr>
            </w:pPr>
            <w:r w:rsidRPr="00C019D0">
              <w:rPr>
                <w:rFonts w:eastAsia="Calibri" w:cs="Arial"/>
                <w:b/>
                <w:bCs/>
                <w:sz w:val="20"/>
                <w:szCs w:val="20"/>
                <w:lang w:eastAsia="en-GB"/>
              </w:rPr>
              <w:t>BME</w:t>
            </w:r>
          </w:p>
        </w:tc>
      </w:tr>
      <w:tr w:rsidR="00C019D0" w:rsidRPr="00C019D0" w:rsidTr="00C019D0">
        <w:trPr>
          <w:trHeight w:val="300"/>
        </w:trPr>
        <w:tc>
          <w:tcPr>
            <w:tcW w:w="213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019D0" w:rsidRPr="00C019D0" w:rsidRDefault="00C019D0" w:rsidP="00C019D0">
            <w:pPr>
              <w:rPr>
                <w:rFonts w:ascii="Calibri" w:eastAsia="Calibri" w:hAnsi="Calibri"/>
                <w:color w:val="000000"/>
                <w:szCs w:val="22"/>
                <w:lang w:eastAsia="en-GB"/>
              </w:rPr>
            </w:pPr>
            <w:r w:rsidRPr="00C019D0">
              <w:rPr>
                <w:rFonts w:ascii="Calibri" w:eastAsia="Calibri" w:hAnsi="Calibri"/>
                <w:color w:val="000000"/>
                <w:szCs w:val="22"/>
                <w:lang w:eastAsia="en-GB"/>
              </w:rPr>
              <w:t>Staff entering formal process</w:t>
            </w:r>
          </w:p>
        </w:tc>
        <w:tc>
          <w:tcPr>
            <w:tcW w:w="3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019D0" w:rsidRPr="00C019D0" w:rsidRDefault="00C019D0" w:rsidP="00C019D0">
            <w:pPr>
              <w:jc w:val="center"/>
              <w:rPr>
                <w:rFonts w:ascii="Calibri" w:eastAsia="Calibri" w:hAnsi="Calibri"/>
                <w:szCs w:val="22"/>
                <w:lang w:eastAsia="en-GB"/>
              </w:rPr>
            </w:pPr>
            <w:r w:rsidRPr="00C019D0">
              <w:rPr>
                <w:rFonts w:ascii="Calibri" w:eastAsia="Calibri" w:hAnsi="Calibri"/>
                <w:szCs w:val="22"/>
                <w:lang w:eastAsia="en-GB"/>
              </w:rPr>
              <w:t>107</w:t>
            </w:r>
          </w:p>
        </w:tc>
        <w:tc>
          <w:tcPr>
            <w:tcW w:w="3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019D0" w:rsidRPr="00C019D0" w:rsidRDefault="00C019D0" w:rsidP="00C019D0">
            <w:pPr>
              <w:jc w:val="center"/>
              <w:rPr>
                <w:rFonts w:ascii="Calibri" w:eastAsia="Calibri" w:hAnsi="Calibri"/>
                <w:szCs w:val="22"/>
                <w:lang w:eastAsia="en-GB"/>
              </w:rPr>
            </w:pPr>
            <w:r w:rsidRPr="00C019D0">
              <w:rPr>
                <w:rFonts w:ascii="Calibri" w:eastAsia="Calibri" w:hAnsi="Calibri"/>
                <w:szCs w:val="22"/>
                <w:lang w:eastAsia="en-GB"/>
              </w:rPr>
              <w:t>6</w:t>
            </w:r>
          </w:p>
        </w:tc>
        <w:tc>
          <w:tcPr>
            <w:tcW w:w="38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019D0" w:rsidRPr="00C019D0" w:rsidRDefault="00C019D0" w:rsidP="00C019D0">
            <w:pPr>
              <w:jc w:val="center"/>
              <w:rPr>
                <w:rFonts w:eastAsia="Calibri" w:cs="Arial"/>
                <w:sz w:val="20"/>
                <w:szCs w:val="20"/>
                <w:lang w:eastAsia="en-GB"/>
              </w:rPr>
            </w:pPr>
            <w:r w:rsidRPr="00C019D0">
              <w:rPr>
                <w:rFonts w:eastAsia="Calibri" w:cs="Arial"/>
                <w:sz w:val="20"/>
                <w:szCs w:val="20"/>
                <w:lang w:eastAsia="en-GB"/>
              </w:rPr>
              <w:t>72</w:t>
            </w:r>
          </w:p>
        </w:tc>
        <w:tc>
          <w:tcPr>
            <w:tcW w:w="38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019D0" w:rsidRPr="00C019D0" w:rsidRDefault="00C019D0" w:rsidP="00C019D0">
            <w:pPr>
              <w:jc w:val="center"/>
              <w:rPr>
                <w:rFonts w:eastAsia="Calibri" w:cs="Arial"/>
                <w:sz w:val="20"/>
                <w:szCs w:val="20"/>
                <w:lang w:eastAsia="en-GB"/>
              </w:rPr>
            </w:pPr>
            <w:r w:rsidRPr="00C019D0">
              <w:rPr>
                <w:rFonts w:eastAsia="Calibri" w:cs="Arial"/>
                <w:sz w:val="20"/>
                <w:szCs w:val="20"/>
                <w:lang w:eastAsia="en-GB"/>
              </w:rPr>
              <w:t>2</w:t>
            </w:r>
          </w:p>
        </w:tc>
        <w:tc>
          <w:tcPr>
            <w:tcW w:w="334" w:type="pc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019D0" w:rsidRPr="00C019D0" w:rsidRDefault="00C019D0" w:rsidP="00C019D0">
            <w:pPr>
              <w:jc w:val="center"/>
              <w:rPr>
                <w:rFonts w:eastAsia="Calibri" w:cs="Arial"/>
                <w:sz w:val="20"/>
                <w:szCs w:val="20"/>
                <w:lang w:eastAsia="en-GB"/>
              </w:rPr>
            </w:pPr>
            <w:r w:rsidRPr="00C019D0">
              <w:rPr>
                <w:rFonts w:eastAsia="Calibri" w:cs="Arial"/>
                <w:sz w:val="20"/>
                <w:szCs w:val="20"/>
                <w:lang w:eastAsia="en-GB"/>
              </w:rPr>
              <w:t>97</w:t>
            </w:r>
          </w:p>
        </w:tc>
        <w:tc>
          <w:tcPr>
            <w:tcW w:w="33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019D0" w:rsidRPr="00C019D0" w:rsidRDefault="00C019D0" w:rsidP="00C019D0">
            <w:pPr>
              <w:jc w:val="center"/>
              <w:rPr>
                <w:rFonts w:eastAsia="Calibri" w:cs="Arial"/>
                <w:sz w:val="20"/>
                <w:szCs w:val="20"/>
                <w:lang w:eastAsia="en-GB"/>
              </w:rPr>
            </w:pPr>
            <w:r w:rsidRPr="00C019D0">
              <w:rPr>
                <w:rFonts w:eastAsia="Calibri" w:cs="Arial"/>
                <w:sz w:val="20"/>
                <w:szCs w:val="20"/>
                <w:lang w:eastAsia="en-GB"/>
              </w:rPr>
              <w:t>8</w:t>
            </w:r>
          </w:p>
        </w:tc>
        <w:tc>
          <w:tcPr>
            <w:tcW w:w="383" w:type="pc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019D0" w:rsidRPr="00C019D0" w:rsidRDefault="00C019D0" w:rsidP="00C019D0">
            <w:pPr>
              <w:jc w:val="center"/>
              <w:rPr>
                <w:rFonts w:eastAsia="Calibri" w:cs="Arial"/>
                <w:sz w:val="20"/>
                <w:szCs w:val="20"/>
                <w:lang w:eastAsia="en-GB"/>
              </w:rPr>
            </w:pPr>
            <w:r w:rsidRPr="00C019D0">
              <w:rPr>
                <w:rFonts w:eastAsia="Calibri" w:cs="Arial"/>
                <w:sz w:val="20"/>
                <w:szCs w:val="20"/>
                <w:lang w:eastAsia="en-GB"/>
              </w:rPr>
              <w:t>158</w:t>
            </w:r>
          </w:p>
        </w:tc>
        <w:tc>
          <w:tcPr>
            <w:tcW w:w="36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019D0" w:rsidRPr="00C019D0" w:rsidRDefault="00C019D0" w:rsidP="00C019D0">
            <w:pPr>
              <w:jc w:val="center"/>
              <w:rPr>
                <w:rFonts w:eastAsia="Calibri" w:cs="Arial"/>
                <w:sz w:val="20"/>
                <w:szCs w:val="20"/>
                <w:lang w:eastAsia="en-GB"/>
              </w:rPr>
            </w:pPr>
            <w:r w:rsidRPr="00C019D0">
              <w:rPr>
                <w:rFonts w:eastAsia="Calibri" w:cs="Arial"/>
                <w:sz w:val="20"/>
                <w:szCs w:val="20"/>
                <w:lang w:eastAsia="en-GB"/>
              </w:rPr>
              <w:t>12</w:t>
            </w:r>
          </w:p>
        </w:tc>
      </w:tr>
      <w:tr w:rsidR="00C019D0" w:rsidRPr="00C019D0" w:rsidTr="00C019D0">
        <w:trPr>
          <w:trHeight w:val="300"/>
        </w:trPr>
        <w:tc>
          <w:tcPr>
            <w:tcW w:w="213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019D0" w:rsidRPr="00C019D0" w:rsidRDefault="00C019D0" w:rsidP="00C019D0">
            <w:pPr>
              <w:rPr>
                <w:rFonts w:ascii="Calibri" w:eastAsia="Calibri" w:hAnsi="Calibri"/>
                <w:color w:val="000000"/>
                <w:szCs w:val="22"/>
                <w:lang w:eastAsia="en-GB"/>
              </w:rPr>
            </w:pPr>
            <w:r w:rsidRPr="00C019D0">
              <w:rPr>
                <w:rFonts w:ascii="Calibri" w:eastAsia="Calibri" w:hAnsi="Calibri"/>
                <w:color w:val="000000"/>
                <w:szCs w:val="22"/>
                <w:lang w:eastAsia="en-GB"/>
              </w:rPr>
              <w:t>Staff in workforce</w:t>
            </w:r>
          </w:p>
        </w:tc>
        <w:tc>
          <w:tcPr>
            <w:tcW w:w="34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019D0" w:rsidRPr="00C019D0" w:rsidRDefault="00C019D0" w:rsidP="00C019D0">
            <w:pPr>
              <w:jc w:val="center"/>
              <w:rPr>
                <w:rFonts w:ascii="Calibri" w:eastAsia="Calibri" w:hAnsi="Calibri"/>
                <w:szCs w:val="22"/>
                <w:lang w:eastAsia="en-GB"/>
              </w:rPr>
            </w:pPr>
            <w:r w:rsidRPr="00C019D0">
              <w:rPr>
                <w:rFonts w:ascii="Calibri" w:eastAsia="Calibri" w:hAnsi="Calibri"/>
                <w:szCs w:val="22"/>
                <w:lang w:eastAsia="en-GB"/>
              </w:rPr>
              <w:t>5439</w:t>
            </w:r>
          </w:p>
        </w:tc>
        <w:tc>
          <w:tcPr>
            <w:tcW w:w="34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019D0" w:rsidRPr="00C019D0" w:rsidRDefault="00C019D0" w:rsidP="00C019D0">
            <w:pPr>
              <w:jc w:val="center"/>
              <w:rPr>
                <w:rFonts w:ascii="Calibri" w:eastAsia="Calibri" w:hAnsi="Calibri"/>
                <w:szCs w:val="22"/>
                <w:lang w:eastAsia="en-GB"/>
              </w:rPr>
            </w:pPr>
            <w:r w:rsidRPr="00C019D0">
              <w:rPr>
                <w:rFonts w:ascii="Calibri" w:eastAsia="Calibri" w:hAnsi="Calibri"/>
                <w:szCs w:val="22"/>
                <w:lang w:eastAsia="en-GB"/>
              </w:rPr>
              <w:t>195</w:t>
            </w:r>
          </w:p>
        </w:tc>
        <w:tc>
          <w:tcPr>
            <w:tcW w:w="38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019D0" w:rsidRPr="00C019D0" w:rsidRDefault="00C019D0" w:rsidP="00C019D0">
            <w:pPr>
              <w:jc w:val="center"/>
              <w:rPr>
                <w:rFonts w:eastAsia="Calibri" w:cs="Arial"/>
                <w:sz w:val="20"/>
                <w:szCs w:val="20"/>
                <w:lang w:eastAsia="en-GB"/>
              </w:rPr>
            </w:pPr>
            <w:r w:rsidRPr="00C019D0">
              <w:rPr>
                <w:rFonts w:eastAsia="Calibri" w:cs="Arial"/>
                <w:sz w:val="20"/>
                <w:szCs w:val="20"/>
                <w:lang w:eastAsia="en-GB"/>
              </w:rPr>
              <w:t>5630</w:t>
            </w:r>
          </w:p>
        </w:tc>
        <w:tc>
          <w:tcPr>
            <w:tcW w:w="38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019D0" w:rsidRPr="00C019D0" w:rsidRDefault="00C019D0" w:rsidP="00C019D0">
            <w:pPr>
              <w:jc w:val="center"/>
              <w:rPr>
                <w:rFonts w:eastAsia="Calibri" w:cs="Arial"/>
                <w:sz w:val="20"/>
                <w:szCs w:val="20"/>
                <w:lang w:eastAsia="en-GB"/>
              </w:rPr>
            </w:pPr>
            <w:r w:rsidRPr="00C019D0">
              <w:rPr>
                <w:rFonts w:eastAsia="Calibri" w:cs="Arial"/>
                <w:sz w:val="20"/>
                <w:szCs w:val="20"/>
                <w:lang w:eastAsia="en-GB"/>
              </w:rPr>
              <w:t>205</w:t>
            </w:r>
          </w:p>
        </w:tc>
        <w:tc>
          <w:tcPr>
            <w:tcW w:w="33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019D0" w:rsidRPr="00C019D0" w:rsidRDefault="00C019D0" w:rsidP="00C019D0">
            <w:pPr>
              <w:jc w:val="center"/>
              <w:rPr>
                <w:rFonts w:ascii="Calibri" w:eastAsia="Calibri" w:hAnsi="Calibri"/>
                <w:color w:val="000000"/>
                <w:szCs w:val="22"/>
                <w:lang w:eastAsia="en-GB"/>
              </w:rPr>
            </w:pPr>
            <w:r w:rsidRPr="00C019D0">
              <w:rPr>
                <w:rFonts w:ascii="Calibri" w:eastAsia="Calibri" w:hAnsi="Calibri"/>
                <w:color w:val="000000"/>
                <w:szCs w:val="22"/>
                <w:lang w:eastAsia="en-GB"/>
              </w:rPr>
              <w:t>5830</w:t>
            </w:r>
          </w:p>
        </w:tc>
        <w:tc>
          <w:tcPr>
            <w:tcW w:w="33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019D0" w:rsidRPr="00C019D0" w:rsidRDefault="00C019D0" w:rsidP="00C019D0">
            <w:pPr>
              <w:jc w:val="center"/>
              <w:rPr>
                <w:rFonts w:eastAsia="Calibri" w:cs="Arial"/>
                <w:sz w:val="20"/>
                <w:szCs w:val="20"/>
                <w:lang w:eastAsia="en-GB"/>
              </w:rPr>
            </w:pPr>
            <w:r w:rsidRPr="00C019D0">
              <w:rPr>
                <w:rFonts w:eastAsia="Calibri" w:cs="Arial"/>
                <w:sz w:val="20"/>
                <w:szCs w:val="20"/>
                <w:lang w:eastAsia="en-GB"/>
              </w:rPr>
              <w:t>232</w:t>
            </w:r>
          </w:p>
        </w:tc>
        <w:tc>
          <w:tcPr>
            <w:tcW w:w="383"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019D0" w:rsidRPr="00C019D0" w:rsidRDefault="00C019D0" w:rsidP="00C019D0">
            <w:pPr>
              <w:jc w:val="center"/>
              <w:rPr>
                <w:rFonts w:ascii="Calibri" w:eastAsia="Calibri" w:hAnsi="Calibri"/>
                <w:color w:val="000000"/>
                <w:szCs w:val="22"/>
                <w:lang w:eastAsia="en-GB"/>
              </w:rPr>
            </w:pPr>
            <w:r w:rsidRPr="00C019D0">
              <w:rPr>
                <w:rFonts w:ascii="Calibri" w:eastAsia="Calibri" w:hAnsi="Calibri"/>
                <w:color w:val="000000"/>
                <w:szCs w:val="22"/>
                <w:lang w:eastAsia="en-GB"/>
              </w:rPr>
              <w:t>5843</w:t>
            </w:r>
          </w:p>
        </w:tc>
        <w:tc>
          <w:tcPr>
            <w:tcW w:w="36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019D0" w:rsidRPr="00C019D0" w:rsidRDefault="00C019D0" w:rsidP="00C019D0">
            <w:pPr>
              <w:jc w:val="center"/>
              <w:rPr>
                <w:rFonts w:eastAsia="Calibri" w:cs="Arial"/>
                <w:sz w:val="20"/>
                <w:szCs w:val="20"/>
                <w:lang w:eastAsia="en-GB"/>
              </w:rPr>
            </w:pPr>
            <w:r w:rsidRPr="00C019D0">
              <w:rPr>
                <w:rFonts w:eastAsia="Calibri" w:cs="Arial"/>
                <w:sz w:val="20"/>
                <w:szCs w:val="20"/>
                <w:lang w:eastAsia="en-GB"/>
              </w:rPr>
              <w:t>267</w:t>
            </w:r>
          </w:p>
        </w:tc>
      </w:tr>
      <w:tr w:rsidR="00C019D0" w:rsidRPr="00C019D0" w:rsidTr="00C019D0">
        <w:trPr>
          <w:trHeight w:val="300"/>
        </w:trPr>
        <w:tc>
          <w:tcPr>
            <w:tcW w:w="213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019D0" w:rsidRPr="00C019D0" w:rsidRDefault="00C019D0" w:rsidP="00C019D0">
            <w:pPr>
              <w:rPr>
                <w:rFonts w:ascii="Calibri" w:eastAsia="Calibri" w:hAnsi="Calibri"/>
                <w:color w:val="000000"/>
                <w:szCs w:val="22"/>
                <w:lang w:eastAsia="en-GB"/>
              </w:rPr>
            </w:pPr>
            <w:r w:rsidRPr="00C019D0">
              <w:rPr>
                <w:rFonts w:ascii="Calibri" w:eastAsia="Calibri" w:hAnsi="Calibri"/>
                <w:color w:val="000000"/>
                <w:szCs w:val="22"/>
                <w:lang w:eastAsia="en-GB"/>
              </w:rPr>
              <w:t>Likelihood</w:t>
            </w:r>
          </w:p>
        </w:tc>
        <w:tc>
          <w:tcPr>
            <w:tcW w:w="3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019D0" w:rsidRPr="00C019D0" w:rsidRDefault="00C019D0" w:rsidP="00C019D0">
            <w:pPr>
              <w:jc w:val="center"/>
              <w:rPr>
                <w:rFonts w:ascii="Calibri" w:eastAsia="Calibri" w:hAnsi="Calibri"/>
                <w:szCs w:val="22"/>
                <w:lang w:eastAsia="en-GB"/>
              </w:rPr>
            </w:pPr>
            <w:r w:rsidRPr="00C019D0">
              <w:rPr>
                <w:rFonts w:ascii="Calibri" w:eastAsia="Calibri" w:hAnsi="Calibri"/>
                <w:szCs w:val="22"/>
                <w:lang w:eastAsia="en-GB"/>
              </w:rPr>
              <w:t>0.020</w:t>
            </w:r>
          </w:p>
        </w:tc>
        <w:tc>
          <w:tcPr>
            <w:tcW w:w="3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019D0" w:rsidRPr="00C019D0" w:rsidRDefault="00C019D0" w:rsidP="00C019D0">
            <w:pPr>
              <w:jc w:val="center"/>
              <w:rPr>
                <w:rFonts w:ascii="Calibri" w:eastAsia="Calibri" w:hAnsi="Calibri"/>
                <w:szCs w:val="22"/>
                <w:lang w:eastAsia="en-GB"/>
              </w:rPr>
            </w:pPr>
            <w:r w:rsidRPr="00C019D0">
              <w:rPr>
                <w:rFonts w:ascii="Calibri" w:eastAsia="Calibri" w:hAnsi="Calibri"/>
                <w:szCs w:val="22"/>
                <w:lang w:eastAsia="en-GB"/>
              </w:rPr>
              <w:t>0.031</w:t>
            </w:r>
          </w:p>
        </w:tc>
        <w:tc>
          <w:tcPr>
            <w:tcW w:w="38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019D0" w:rsidRPr="00C019D0" w:rsidRDefault="00C019D0" w:rsidP="00C019D0">
            <w:pPr>
              <w:jc w:val="center"/>
              <w:rPr>
                <w:rFonts w:eastAsia="Calibri" w:cs="Arial"/>
                <w:sz w:val="20"/>
                <w:szCs w:val="20"/>
                <w:lang w:eastAsia="en-GB"/>
              </w:rPr>
            </w:pPr>
            <w:r w:rsidRPr="00C019D0">
              <w:rPr>
                <w:rFonts w:eastAsia="Calibri" w:cs="Arial"/>
                <w:sz w:val="20"/>
                <w:szCs w:val="20"/>
                <w:lang w:eastAsia="en-GB"/>
              </w:rPr>
              <w:t>0.01</w:t>
            </w:r>
          </w:p>
        </w:tc>
        <w:tc>
          <w:tcPr>
            <w:tcW w:w="38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019D0" w:rsidRPr="00C019D0" w:rsidRDefault="00C019D0" w:rsidP="00C019D0">
            <w:pPr>
              <w:jc w:val="center"/>
              <w:rPr>
                <w:rFonts w:eastAsia="Calibri" w:cs="Arial"/>
                <w:sz w:val="20"/>
                <w:szCs w:val="20"/>
                <w:lang w:eastAsia="en-GB"/>
              </w:rPr>
            </w:pPr>
            <w:r w:rsidRPr="00C019D0">
              <w:rPr>
                <w:rFonts w:eastAsia="Calibri" w:cs="Arial"/>
                <w:sz w:val="20"/>
                <w:szCs w:val="20"/>
                <w:lang w:eastAsia="en-GB"/>
              </w:rPr>
              <w:t>0.01</w:t>
            </w:r>
          </w:p>
        </w:tc>
        <w:tc>
          <w:tcPr>
            <w:tcW w:w="33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019D0" w:rsidRPr="00C019D0" w:rsidRDefault="00C019D0" w:rsidP="00C019D0">
            <w:pPr>
              <w:jc w:val="center"/>
              <w:rPr>
                <w:rFonts w:eastAsia="Calibri" w:cs="Arial"/>
                <w:sz w:val="20"/>
                <w:szCs w:val="20"/>
                <w:lang w:eastAsia="en-GB"/>
              </w:rPr>
            </w:pPr>
            <w:r w:rsidRPr="00C019D0">
              <w:rPr>
                <w:rFonts w:eastAsia="Calibri" w:cs="Arial"/>
                <w:sz w:val="20"/>
                <w:szCs w:val="20"/>
                <w:lang w:eastAsia="en-GB"/>
              </w:rPr>
              <w:t>0.017</w:t>
            </w:r>
          </w:p>
        </w:tc>
        <w:tc>
          <w:tcPr>
            <w:tcW w:w="33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019D0" w:rsidRPr="00C019D0" w:rsidRDefault="00C019D0" w:rsidP="00C019D0">
            <w:pPr>
              <w:jc w:val="center"/>
              <w:rPr>
                <w:rFonts w:eastAsia="Calibri" w:cs="Arial"/>
                <w:sz w:val="20"/>
                <w:szCs w:val="20"/>
                <w:lang w:eastAsia="en-GB"/>
              </w:rPr>
            </w:pPr>
            <w:r w:rsidRPr="00C019D0">
              <w:rPr>
                <w:rFonts w:eastAsia="Calibri" w:cs="Arial"/>
                <w:sz w:val="20"/>
                <w:szCs w:val="20"/>
                <w:lang w:eastAsia="en-GB"/>
              </w:rPr>
              <w:t>0.034</w:t>
            </w:r>
          </w:p>
        </w:tc>
        <w:tc>
          <w:tcPr>
            <w:tcW w:w="383"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019D0" w:rsidRPr="00C019D0" w:rsidRDefault="00C019D0" w:rsidP="00C019D0">
            <w:pPr>
              <w:jc w:val="center"/>
              <w:rPr>
                <w:rFonts w:eastAsia="Calibri" w:cs="Arial"/>
                <w:sz w:val="20"/>
                <w:szCs w:val="20"/>
                <w:lang w:eastAsia="en-GB"/>
              </w:rPr>
            </w:pPr>
            <w:r w:rsidRPr="00C019D0">
              <w:rPr>
                <w:rFonts w:eastAsia="Calibri" w:cs="Arial"/>
                <w:sz w:val="20"/>
                <w:szCs w:val="20"/>
                <w:lang w:eastAsia="en-GB"/>
              </w:rPr>
              <w:t>0.027</w:t>
            </w:r>
          </w:p>
        </w:tc>
        <w:tc>
          <w:tcPr>
            <w:tcW w:w="36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019D0" w:rsidRPr="00C019D0" w:rsidRDefault="00C019D0" w:rsidP="00C019D0">
            <w:pPr>
              <w:jc w:val="center"/>
              <w:rPr>
                <w:rFonts w:eastAsia="Calibri" w:cs="Arial"/>
                <w:sz w:val="20"/>
                <w:szCs w:val="20"/>
                <w:lang w:eastAsia="en-GB"/>
              </w:rPr>
            </w:pPr>
            <w:r w:rsidRPr="00C019D0">
              <w:rPr>
                <w:rFonts w:eastAsia="Calibri" w:cs="Arial"/>
                <w:sz w:val="20"/>
                <w:szCs w:val="20"/>
                <w:lang w:eastAsia="en-GB"/>
              </w:rPr>
              <w:t>0.045</w:t>
            </w:r>
          </w:p>
        </w:tc>
      </w:tr>
      <w:tr w:rsidR="00C019D0" w:rsidRPr="00C019D0" w:rsidTr="00C019D0">
        <w:trPr>
          <w:trHeight w:val="300"/>
        </w:trPr>
        <w:tc>
          <w:tcPr>
            <w:tcW w:w="213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019D0" w:rsidRPr="00C019D0" w:rsidRDefault="00C019D0" w:rsidP="00C019D0">
            <w:pPr>
              <w:rPr>
                <w:rFonts w:ascii="Calibri" w:eastAsia="Calibri" w:hAnsi="Calibri"/>
                <w:color w:val="000000"/>
                <w:szCs w:val="22"/>
                <w:lang w:eastAsia="en-GB"/>
              </w:rPr>
            </w:pPr>
            <w:r w:rsidRPr="00C019D0">
              <w:rPr>
                <w:rFonts w:ascii="Calibri" w:eastAsia="Calibri" w:hAnsi="Calibri"/>
                <w:color w:val="000000"/>
                <w:szCs w:val="22"/>
                <w:lang w:eastAsia="en-GB"/>
              </w:rPr>
              <w:t>Relative likelihood (</w:t>
            </w:r>
            <w:r>
              <w:rPr>
                <w:rFonts w:ascii="Calibri" w:eastAsia="Calibri" w:hAnsi="Calibri"/>
                <w:color w:val="000000"/>
                <w:szCs w:val="22"/>
                <w:lang w:eastAsia="en-GB"/>
              </w:rPr>
              <w:t>BME</w:t>
            </w:r>
            <w:r w:rsidRPr="00C019D0">
              <w:rPr>
                <w:rFonts w:ascii="Calibri" w:eastAsia="Calibri" w:hAnsi="Calibri"/>
                <w:color w:val="000000"/>
                <w:szCs w:val="22"/>
                <w:lang w:eastAsia="en-GB"/>
              </w:rPr>
              <w:t>/</w:t>
            </w:r>
            <w:r>
              <w:rPr>
                <w:rFonts w:ascii="Calibri" w:eastAsia="Calibri" w:hAnsi="Calibri"/>
                <w:color w:val="000000"/>
                <w:szCs w:val="22"/>
                <w:lang w:eastAsia="en-GB"/>
              </w:rPr>
              <w:t>White</w:t>
            </w:r>
            <w:r w:rsidRPr="00C019D0">
              <w:rPr>
                <w:rFonts w:ascii="Calibri" w:eastAsia="Calibri" w:hAnsi="Calibri"/>
                <w:color w:val="000000"/>
                <w:szCs w:val="22"/>
                <w:lang w:eastAsia="en-GB"/>
              </w:rPr>
              <w:t>)</w:t>
            </w:r>
          </w:p>
        </w:tc>
        <w:tc>
          <w:tcPr>
            <w:tcW w:w="340" w:type="pct"/>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C019D0" w:rsidRPr="00C019D0" w:rsidRDefault="00C019D0" w:rsidP="00C019D0">
            <w:pPr>
              <w:jc w:val="center"/>
              <w:rPr>
                <w:rFonts w:ascii="Calibri" w:eastAsia="Calibri" w:hAnsi="Calibri"/>
                <w:szCs w:val="22"/>
                <w:lang w:eastAsia="en-GB"/>
              </w:rPr>
            </w:pPr>
            <w:r w:rsidRPr="00C019D0">
              <w:rPr>
                <w:rFonts w:ascii="Calibri" w:eastAsia="Calibri" w:hAnsi="Calibri"/>
                <w:szCs w:val="22"/>
                <w:lang w:eastAsia="en-GB"/>
              </w:rPr>
              <w:t> </w:t>
            </w:r>
          </w:p>
        </w:tc>
        <w:tc>
          <w:tcPr>
            <w:tcW w:w="34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019D0" w:rsidRPr="00C019D0" w:rsidRDefault="00C019D0" w:rsidP="00C019D0">
            <w:pPr>
              <w:jc w:val="center"/>
              <w:rPr>
                <w:rFonts w:ascii="Calibri" w:eastAsia="Calibri" w:hAnsi="Calibri"/>
                <w:szCs w:val="22"/>
                <w:lang w:eastAsia="en-GB"/>
              </w:rPr>
            </w:pPr>
            <w:r>
              <w:rPr>
                <w:rFonts w:ascii="Calibri" w:eastAsia="Calibri" w:hAnsi="Calibri"/>
                <w:szCs w:val="22"/>
                <w:lang w:eastAsia="en-GB"/>
              </w:rPr>
              <w:t>1.55</w:t>
            </w:r>
          </w:p>
        </w:tc>
        <w:tc>
          <w:tcPr>
            <w:tcW w:w="389" w:type="pct"/>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C019D0" w:rsidRPr="00C019D0" w:rsidRDefault="00C019D0" w:rsidP="00C019D0">
            <w:pPr>
              <w:jc w:val="center"/>
              <w:rPr>
                <w:rFonts w:eastAsia="Calibri" w:cs="Arial"/>
                <w:sz w:val="20"/>
                <w:szCs w:val="20"/>
                <w:lang w:eastAsia="en-GB"/>
              </w:rPr>
            </w:pPr>
            <w:r w:rsidRPr="00C019D0">
              <w:rPr>
                <w:rFonts w:eastAsia="Calibri" w:cs="Arial"/>
                <w:sz w:val="20"/>
                <w:szCs w:val="20"/>
                <w:lang w:eastAsia="en-GB"/>
              </w:rPr>
              <w:t> </w:t>
            </w:r>
          </w:p>
        </w:tc>
        <w:tc>
          <w:tcPr>
            <w:tcW w:w="38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019D0" w:rsidRPr="00C019D0" w:rsidRDefault="00C019D0" w:rsidP="00C019D0">
            <w:pPr>
              <w:jc w:val="center"/>
              <w:rPr>
                <w:rFonts w:eastAsia="Calibri" w:cs="Arial"/>
                <w:sz w:val="20"/>
                <w:szCs w:val="20"/>
                <w:lang w:eastAsia="en-GB"/>
              </w:rPr>
            </w:pPr>
            <w:r w:rsidRPr="00C019D0">
              <w:rPr>
                <w:rFonts w:eastAsia="Calibri" w:cs="Arial"/>
                <w:sz w:val="20"/>
                <w:szCs w:val="20"/>
                <w:lang w:eastAsia="en-GB"/>
              </w:rPr>
              <w:t>1.00</w:t>
            </w:r>
          </w:p>
        </w:tc>
        <w:tc>
          <w:tcPr>
            <w:tcW w:w="334" w:type="pct"/>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C019D0" w:rsidRPr="00C019D0" w:rsidRDefault="00C019D0" w:rsidP="00C019D0">
            <w:pPr>
              <w:jc w:val="center"/>
              <w:rPr>
                <w:rFonts w:eastAsia="Calibri" w:cs="Arial"/>
                <w:sz w:val="20"/>
                <w:szCs w:val="20"/>
                <w:lang w:eastAsia="en-GB"/>
              </w:rPr>
            </w:pPr>
            <w:r w:rsidRPr="00C019D0">
              <w:rPr>
                <w:rFonts w:eastAsia="Calibri" w:cs="Arial"/>
                <w:sz w:val="20"/>
                <w:szCs w:val="20"/>
                <w:lang w:eastAsia="en-GB"/>
              </w:rPr>
              <w:t> </w:t>
            </w:r>
          </w:p>
        </w:tc>
        <w:tc>
          <w:tcPr>
            <w:tcW w:w="33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019D0" w:rsidRPr="00C019D0" w:rsidRDefault="009265AF" w:rsidP="00C019D0">
            <w:pPr>
              <w:jc w:val="center"/>
              <w:rPr>
                <w:rFonts w:eastAsia="Calibri" w:cs="Arial"/>
                <w:sz w:val="20"/>
                <w:szCs w:val="20"/>
                <w:lang w:eastAsia="en-GB"/>
              </w:rPr>
            </w:pPr>
            <w:r>
              <w:rPr>
                <w:rFonts w:eastAsia="Calibri" w:cs="Arial"/>
                <w:sz w:val="20"/>
                <w:szCs w:val="20"/>
                <w:lang w:eastAsia="en-GB"/>
              </w:rPr>
              <w:t>2</w:t>
            </w:r>
          </w:p>
        </w:tc>
        <w:tc>
          <w:tcPr>
            <w:tcW w:w="383" w:type="pct"/>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C019D0" w:rsidRPr="00C019D0" w:rsidRDefault="00C019D0" w:rsidP="00C019D0">
            <w:pPr>
              <w:jc w:val="center"/>
              <w:rPr>
                <w:rFonts w:eastAsia="Calibri" w:cs="Arial"/>
                <w:sz w:val="20"/>
                <w:szCs w:val="20"/>
                <w:lang w:eastAsia="en-GB"/>
              </w:rPr>
            </w:pPr>
            <w:r w:rsidRPr="00C019D0">
              <w:rPr>
                <w:rFonts w:eastAsia="Calibri" w:cs="Arial"/>
                <w:sz w:val="20"/>
                <w:szCs w:val="20"/>
                <w:lang w:eastAsia="en-GB"/>
              </w:rPr>
              <w:t> </w:t>
            </w:r>
          </w:p>
        </w:tc>
        <w:tc>
          <w:tcPr>
            <w:tcW w:w="36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019D0" w:rsidRPr="00C019D0" w:rsidRDefault="009265AF" w:rsidP="00C019D0">
            <w:pPr>
              <w:jc w:val="center"/>
              <w:rPr>
                <w:rFonts w:eastAsia="Calibri" w:cs="Arial"/>
                <w:sz w:val="20"/>
                <w:szCs w:val="20"/>
                <w:lang w:eastAsia="en-GB"/>
              </w:rPr>
            </w:pPr>
            <w:r>
              <w:rPr>
                <w:rFonts w:eastAsia="Calibri" w:cs="Arial"/>
                <w:sz w:val="20"/>
                <w:szCs w:val="20"/>
                <w:lang w:eastAsia="en-GB"/>
              </w:rPr>
              <w:t>1.66</w:t>
            </w:r>
          </w:p>
        </w:tc>
      </w:tr>
      <w:tr w:rsidR="00C019D0" w:rsidRPr="00C019D0" w:rsidTr="00C019D0">
        <w:trPr>
          <w:trHeight w:val="300"/>
        </w:trPr>
        <w:tc>
          <w:tcPr>
            <w:tcW w:w="2134"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019D0" w:rsidRPr="00C019D0" w:rsidRDefault="00C019D0" w:rsidP="00C019D0">
            <w:pPr>
              <w:rPr>
                <w:rFonts w:ascii="Calibri" w:eastAsia="Calibri" w:hAnsi="Calibri"/>
                <w:b/>
                <w:bCs/>
                <w:color w:val="000000"/>
                <w:szCs w:val="22"/>
                <w:lang w:eastAsia="en-GB"/>
              </w:rPr>
            </w:pPr>
            <w:r w:rsidRPr="00C019D0">
              <w:rPr>
                <w:rFonts w:ascii="Calibri" w:eastAsia="Calibri" w:hAnsi="Calibri"/>
                <w:b/>
                <w:bCs/>
                <w:color w:val="000000"/>
                <w:szCs w:val="22"/>
                <w:lang w:eastAsia="en-GB"/>
              </w:rPr>
              <w:t>Two year rolling relative likelihood</w:t>
            </w:r>
            <w:r w:rsidRPr="00C019D0">
              <w:rPr>
                <w:rFonts w:ascii="Calibri" w:eastAsia="Calibri" w:hAnsi="Calibri"/>
                <w:i/>
                <w:iCs/>
                <w:color w:val="000000"/>
                <w:szCs w:val="22"/>
                <w:lang w:eastAsia="en-GB"/>
              </w:rPr>
              <w:t>)</w:t>
            </w:r>
          </w:p>
        </w:tc>
        <w:tc>
          <w:tcPr>
            <w:tcW w:w="34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019D0" w:rsidRPr="00C019D0" w:rsidRDefault="00C019D0" w:rsidP="00C019D0">
            <w:pPr>
              <w:rPr>
                <w:rFonts w:eastAsia="Calibri" w:cs="Arial"/>
                <w:sz w:val="20"/>
                <w:szCs w:val="20"/>
                <w:lang w:eastAsia="en-GB"/>
              </w:rPr>
            </w:pPr>
            <w:r w:rsidRPr="00C019D0">
              <w:rPr>
                <w:rFonts w:eastAsia="Calibri" w:cs="Arial"/>
                <w:sz w:val="20"/>
                <w:szCs w:val="20"/>
                <w:lang w:eastAsia="en-GB"/>
              </w:rPr>
              <w:t> </w:t>
            </w:r>
          </w:p>
        </w:tc>
        <w:tc>
          <w:tcPr>
            <w:tcW w:w="34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019D0" w:rsidRPr="00C019D0" w:rsidRDefault="00C019D0" w:rsidP="00C019D0">
            <w:pPr>
              <w:rPr>
                <w:rFonts w:eastAsia="Calibri" w:cs="Arial"/>
                <w:sz w:val="20"/>
                <w:szCs w:val="20"/>
                <w:lang w:eastAsia="en-GB"/>
              </w:rPr>
            </w:pPr>
            <w:r w:rsidRPr="00C019D0">
              <w:rPr>
                <w:rFonts w:eastAsia="Calibri" w:cs="Arial"/>
                <w:sz w:val="20"/>
                <w:szCs w:val="20"/>
                <w:lang w:eastAsia="en-GB"/>
              </w:rPr>
              <w:t> </w:t>
            </w:r>
          </w:p>
        </w:tc>
        <w:tc>
          <w:tcPr>
            <w:tcW w:w="389"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019D0" w:rsidRPr="00C019D0" w:rsidRDefault="00C019D0" w:rsidP="00C019D0">
            <w:pPr>
              <w:jc w:val="center"/>
              <w:rPr>
                <w:rFonts w:eastAsia="Calibri" w:cs="Arial"/>
                <w:sz w:val="20"/>
                <w:szCs w:val="20"/>
                <w:lang w:eastAsia="en-GB"/>
              </w:rPr>
            </w:pPr>
            <w:r w:rsidRPr="00C019D0">
              <w:rPr>
                <w:rFonts w:eastAsia="Calibri" w:cs="Arial"/>
                <w:sz w:val="20"/>
                <w:szCs w:val="20"/>
                <w:lang w:eastAsia="en-GB"/>
              </w:rPr>
              <w:t> </w:t>
            </w:r>
          </w:p>
        </w:tc>
        <w:tc>
          <w:tcPr>
            <w:tcW w:w="383"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019D0" w:rsidRPr="00C019D0" w:rsidRDefault="009265AF" w:rsidP="009265AF">
            <w:pPr>
              <w:jc w:val="center"/>
              <w:rPr>
                <w:rFonts w:eastAsia="Calibri" w:cs="Arial"/>
                <w:b/>
                <w:bCs/>
                <w:sz w:val="20"/>
                <w:szCs w:val="20"/>
                <w:lang w:eastAsia="en-GB"/>
              </w:rPr>
            </w:pPr>
            <w:r>
              <w:rPr>
                <w:rFonts w:eastAsia="Calibri" w:cs="Arial"/>
                <w:b/>
                <w:bCs/>
                <w:sz w:val="20"/>
                <w:szCs w:val="20"/>
                <w:lang w:eastAsia="en-GB"/>
              </w:rPr>
              <w:t>1.28</w:t>
            </w:r>
          </w:p>
        </w:tc>
        <w:tc>
          <w:tcPr>
            <w:tcW w:w="33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019D0" w:rsidRPr="00C019D0" w:rsidRDefault="00C019D0" w:rsidP="00C019D0">
            <w:pPr>
              <w:jc w:val="center"/>
              <w:rPr>
                <w:rFonts w:ascii="Calibri" w:eastAsia="Calibri" w:hAnsi="Calibri"/>
                <w:color w:val="000000"/>
                <w:szCs w:val="22"/>
                <w:lang w:eastAsia="en-GB"/>
              </w:rPr>
            </w:pPr>
            <w:r w:rsidRPr="00C019D0">
              <w:rPr>
                <w:rFonts w:ascii="Calibri" w:eastAsia="Calibri" w:hAnsi="Calibri"/>
                <w:color w:val="000000"/>
                <w:szCs w:val="22"/>
                <w:lang w:eastAsia="en-GB"/>
              </w:rPr>
              <w:t> </w:t>
            </w:r>
          </w:p>
        </w:tc>
        <w:tc>
          <w:tcPr>
            <w:tcW w:w="33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019D0" w:rsidRPr="00C019D0" w:rsidRDefault="009265AF" w:rsidP="00C019D0">
            <w:pPr>
              <w:jc w:val="center"/>
              <w:rPr>
                <w:rFonts w:ascii="Calibri" w:eastAsia="Calibri" w:hAnsi="Calibri"/>
                <w:b/>
                <w:bCs/>
                <w:color w:val="000000"/>
                <w:szCs w:val="22"/>
                <w:lang w:eastAsia="en-GB"/>
              </w:rPr>
            </w:pPr>
            <w:r>
              <w:rPr>
                <w:rFonts w:ascii="Calibri" w:eastAsia="Calibri" w:hAnsi="Calibri"/>
                <w:b/>
                <w:bCs/>
                <w:color w:val="000000"/>
                <w:szCs w:val="22"/>
                <w:lang w:eastAsia="en-GB"/>
              </w:rPr>
              <w:t>1.50</w:t>
            </w:r>
          </w:p>
        </w:tc>
        <w:tc>
          <w:tcPr>
            <w:tcW w:w="383"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019D0" w:rsidRPr="00C019D0" w:rsidRDefault="00C019D0" w:rsidP="00C019D0">
            <w:pPr>
              <w:jc w:val="center"/>
              <w:rPr>
                <w:rFonts w:ascii="Calibri" w:eastAsia="Calibri" w:hAnsi="Calibri"/>
                <w:color w:val="000000"/>
                <w:szCs w:val="22"/>
                <w:lang w:eastAsia="en-GB"/>
              </w:rPr>
            </w:pPr>
            <w:r w:rsidRPr="00C019D0">
              <w:rPr>
                <w:rFonts w:ascii="Calibri" w:eastAsia="Calibri" w:hAnsi="Calibri"/>
                <w:color w:val="000000"/>
                <w:szCs w:val="22"/>
                <w:lang w:eastAsia="en-GB"/>
              </w:rPr>
              <w:t> </w:t>
            </w:r>
          </w:p>
        </w:tc>
        <w:tc>
          <w:tcPr>
            <w:tcW w:w="364"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019D0" w:rsidRPr="00C019D0" w:rsidRDefault="009265AF" w:rsidP="00C019D0">
            <w:pPr>
              <w:jc w:val="center"/>
              <w:rPr>
                <w:rFonts w:ascii="Calibri" w:eastAsia="Calibri" w:hAnsi="Calibri"/>
                <w:b/>
                <w:bCs/>
                <w:color w:val="000000"/>
                <w:szCs w:val="22"/>
                <w:lang w:eastAsia="en-GB"/>
              </w:rPr>
            </w:pPr>
            <w:r>
              <w:rPr>
                <w:rFonts w:ascii="Calibri" w:eastAsia="Calibri" w:hAnsi="Calibri"/>
                <w:b/>
                <w:bCs/>
                <w:color w:val="000000"/>
                <w:szCs w:val="22"/>
                <w:lang w:eastAsia="en-GB"/>
              </w:rPr>
              <w:t>1.83</w:t>
            </w:r>
          </w:p>
        </w:tc>
      </w:tr>
    </w:tbl>
    <w:p w:rsidR="00C019D0" w:rsidRDefault="00C019D0" w:rsidP="00C019D0">
      <w:pPr>
        <w:pStyle w:val="ListParagraph"/>
        <w:ind w:left="1440"/>
        <w:rPr>
          <w:rFonts w:cs="Arial"/>
          <w:sz w:val="24"/>
        </w:rPr>
      </w:pPr>
    </w:p>
    <w:p w:rsidR="009265AF" w:rsidRDefault="009265AF" w:rsidP="009265AF">
      <w:pPr>
        <w:pStyle w:val="ListParagraph"/>
        <w:numPr>
          <w:ilvl w:val="0"/>
          <w:numId w:val="7"/>
        </w:numPr>
        <w:rPr>
          <w:rFonts w:cs="Arial"/>
          <w:sz w:val="24"/>
        </w:rPr>
      </w:pPr>
      <w:r>
        <w:rPr>
          <w:rFonts w:cs="Arial"/>
          <w:sz w:val="24"/>
        </w:rPr>
        <w:t>A slight improvement over 2016/17, though still above both the national average and the regional median for 2016/17.</w:t>
      </w:r>
    </w:p>
    <w:p w:rsidR="008C3BF0" w:rsidRDefault="008C3BF0" w:rsidP="008C3BF0">
      <w:pPr>
        <w:pStyle w:val="ListParagraph"/>
        <w:numPr>
          <w:ilvl w:val="0"/>
          <w:numId w:val="7"/>
        </w:numPr>
        <w:rPr>
          <w:rFonts w:cs="Arial"/>
          <w:sz w:val="24"/>
        </w:rPr>
      </w:pPr>
      <w:r w:rsidRPr="008C3BF0">
        <w:rPr>
          <w:rFonts w:cs="Arial"/>
          <w:sz w:val="24"/>
        </w:rPr>
        <w:t xml:space="preserve">The E&amp;D Lead has asked </w:t>
      </w:r>
      <w:proofErr w:type="spellStart"/>
      <w:r w:rsidRPr="008C3BF0">
        <w:rPr>
          <w:rFonts w:cs="Arial"/>
          <w:sz w:val="24"/>
        </w:rPr>
        <w:t>Capsticks</w:t>
      </w:r>
      <w:proofErr w:type="spellEnd"/>
      <w:r w:rsidRPr="008C3BF0">
        <w:rPr>
          <w:rFonts w:cs="Arial"/>
          <w:sz w:val="24"/>
        </w:rPr>
        <w:t xml:space="preserve"> for a quarterly report on this so that the trend may be better monitored but also the impact of initiatives such as the Cultural Ambassadors’ programme </w:t>
      </w:r>
      <w:proofErr w:type="gramStart"/>
      <w:r w:rsidRPr="008C3BF0">
        <w:rPr>
          <w:rFonts w:cs="Arial"/>
          <w:sz w:val="24"/>
        </w:rPr>
        <w:t>be</w:t>
      </w:r>
      <w:proofErr w:type="gramEnd"/>
      <w:r w:rsidRPr="008C3BF0">
        <w:rPr>
          <w:rFonts w:cs="Arial"/>
          <w:sz w:val="24"/>
        </w:rPr>
        <w:t xml:space="preserve"> assessed.</w:t>
      </w:r>
    </w:p>
    <w:p w:rsidR="008C3BF0" w:rsidRDefault="008C3BF0">
      <w:pPr>
        <w:spacing w:after="200" w:line="276" w:lineRule="auto"/>
        <w:rPr>
          <w:rFonts w:cs="Arial"/>
          <w:sz w:val="24"/>
        </w:rPr>
      </w:pPr>
      <w:r>
        <w:rPr>
          <w:rFonts w:cs="Arial"/>
          <w:sz w:val="24"/>
        </w:rPr>
        <w:br w:type="page"/>
      </w:r>
    </w:p>
    <w:p w:rsidR="008C3BF0" w:rsidRPr="008C3BF0" w:rsidRDefault="008C3BF0" w:rsidP="000766AA">
      <w:pPr>
        <w:pStyle w:val="ListParagraph"/>
        <w:ind w:left="0"/>
        <w:rPr>
          <w:rFonts w:cs="Arial"/>
          <w:b/>
          <w:sz w:val="24"/>
        </w:rPr>
      </w:pPr>
      <w:r w:rsidRPr="008C3BF0">
        <w:rPr>
          <w:rFonts w:cs="Arial"/>
          <w:b/>
          <w:sz w:val="24"/>
        </w:rPr>
        <w:lastRenderedPageBreak/>
        <w:t>INDICATOR 4:  Relative likelihood of accessing non-mandatory training and CPD</w:t>
      </w:r>
    </w:p>
    <w:p w:rsidR="008C3BF0" w:rsidRDefault="008C3BF0" w:rsidP="008C3BF0">
      <w:pPr>
        <w:pStyle w:val="ListParagraph"/>
        <w:ind w:left="2160"/>
        <w:rPr>
          <w:rFonts w:cs="Arial"/>
          <w:sz w:val="24"/>
        </w:rPr>
      </w:pPr>
    </w:p>
    <w:tbl>
      <w:tblPr>
        <w:tblW w:w="5000" w:type="pct"/>
        <w:tblLook w:val="04A0" w:firstRow="1" w:lastRow="0" w:firstColumn="1" w:lastColumn="0" w:noHBand="0" w:noVBand="1"/>
      </w:tblPr>
      <w:tblGrid>
        <w:gridCol w:w="4675"/>
        <w:gridCol w:w="923"/>
        <w:gridCol w:w="829"/>
        <w:gridCol w:w="1056"/>
        <w:gridCol w:w="949"/>
        <w:gridCol w:w="895"/>
        <w:gridCol w:w="824"/>
        <w:gridCol w:w="1009"/>
        <w:gridCol w:w="929"/>
        <w:gridCol w:w="1088"/>
        <w:gridCol w:w="997"/>
      </w:tblGrid>
      <w:tr w:rsidR="008C3BF0" w:rsidRPr="008C3BF0" w:rsidTr="008C3BF0">
        <w:trPr>
          <w:trHeight w:val="300"/>
        </w:trPr>
        <w:tc>
          <w:tcPr>
            <w:tcW w:w="1426" w:type="pct"/>
            <w:tcBorders>
              <w:top w:val="nil"/>
              <w:left w:val="nil"/>
              <w:bottom w:val="nil"/>
              <w:right w:val="nil"/>
            </w:tcBorders>
            <w:shd w:val="clear" w:color="auto" w:fill="auto"/>
            <w:noWrap/>
            <w:vAlign w:val="bottom"/>
            <w:hideMark/>
          </w:tcPr>
          <w:p w:rsidR="008C3BF0" w:rsidRPr="008C3BF0" w:rsidRDefault="008C3BF0" w:rsidP="008C3BF0">
            <w:pPr>
              <w:rPr>
                <w:rFonts w:ascii="Calibri" w:hAnsi="Calibri"/>
                <w:color w:val="000000"/>
                <w:szCs w:val="22"/>
                <w:lang w:eastAsia="en-GB"/>
              </w:rPr>
            </w:pPr>
          </w:p>
        </w:tc>
        <w:tc>
          <w:tcPr>
            <w:tcW w:w="663"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3BF0" w:rsidRPr="008C3BF0" w:rsidRDefault="008C3BF0" w:rsidP="008C3BF0">
            <w:pPr>
              <w:jc w:val="center"/>
              <w:rPr>
                <w:rFonts w:ascii="Calibri" w:hAnsi="Calibri"/>
                <w:b/>
                <w:bCs/>
                <w:color w:val="000000"/>
                <w:szCs w:val="22"/>
                <w:lang w:eastAsia="en-GB"/>
              </w:rPr>
            </w:pPr>
            <w:r w:rsidRPr="008C3BF0">
              <w:rPr>
                <w:rFonts w:ascii="Calibri" w:hAnsi="Calibri"/>
                <w:b/>
                <w:bCs/>
                <w:color w:val="000000"/>
                <w:szCs w:val="22"/>
                <w:lang w:eastAsia="en-GB"/>
              </w:rPr>
              <w:t>2013-14</w:t>
            </w:r>
          </w:p>
        </w:tc>
        <w:tc>
          <w:tcPr>
            <w:tcW w:w="75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8C3BF0" w:rsidRPr="008C3BF0" w:rsidRDefault="008C3BF0" w:rsidP="008C3BF0">
            <w:pPr>
              <w:jc w:val="center"/>
              <w:rPr>
                <w:rFonts w:ascii="Calibri" w:hAnsi="Calibri"/>
                <w:b/>
                <w:bCs/>
                <w:color w:val="000000"/>
                <w:szCs w:val="22"/>
                <w:lang w:eastAsia="en-GB"/>
              </w:rPr>
            </w:pPr>
            <w:r w:rsidRPr="008C3BF0">
              <w:rPr>
                <w:rFonts w:ascii="Calibri" w:hAnsi="Calibri"/>
                <w:b/>
                <w:bCs/>
                <w:color w:val="000000"/>
                <w:szCs w:val="22"/>
                <w:lang w:eastAsia="en-GB"/>
              </w:rPr>
              <w:t>2014-15</w:t>
            </w:r>
          </w:p>
        </w:tc>
        <w:tc>
          <w:tcPr>
            <w:tcW w:w="65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8C3BF0" w:rsidRPr="008C3BF0" w:rsidRDefault="008C3BF0" w:rsidP="008C3BF0">
            <w:pPr>
              <w:jc w:val="center"/>
              <w:rPr>
                <w:rFonts w:ascii="Calibri" w:hAnsi="Calibri"/>
                <w:b/>
                <w:bCs/>
                <w:color w:val="000000"/>
                <w:szCs w:val="22"/>
                <w:lang w:eastAsia="en-GB"/>
              </w:rPr>
            </w:pPr>
            <w:r w:rsidRPr="008C3BF0">
              <w:rPr>
                <w:rFonts w:ascii="Calibri" w:hAnsi="Calibri"/>
                <w:b/>
                <w:bCs/>
                <w:color w:val="000000"/>
                <w:szCs w:val="22"/>
                <w:lang w:eastAsia="en-GB"/>
              </w:rPr>
              <w:t>2015-16</w:t>
            </w:r>
          </w:p>
        </w:tc>
        <w:tc>
          <w:tcPr>
            <w:tcW w:w="72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8C3BF0" w:rsidRPr="008C3BF0" w:rsidRDefault="008C3BF0" w:rsidP="008C3BF0">
            <w:pPr>
              <w:jc w:val="center"/>
              <w:rPr>
                <w:rFonts w:ascii="Calibri" w:hAnsi="Calibri"/>
                <w:b/>
                <w:bCs/>
                <w:color w:val="000000"/>
                <w:szCs w:val="22"/>
                <w:lang w:eastAsia="en-GB"/>
              </w:rPr>
            </w:pPr>
            <w:r w:rsidRPr="008C3BF0">
              <w:rPr>
                <w:rFonts w:ascii="Calibri" w:hAnsi="Calibri"/>
                <w:b/>
                <w:bCs/>
                <w:color w:val="000000"/>
                <w:szCs w:val="22"/>
                <w:lang w:eastAsia="en-GB"/>
              </w:rPr>
              <w:t>2016-17</w:t>
            </w:r>
          </w:p>
        </w:tc>
        <w:tc>
          <w:tcPr>
            <w:tcW w:w="78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8C3BF0" w:rsidRPr="008C3BF0" w:rsidRDefault="008C3BF0" w:rsidP="008C3BF0">
            <w:pPr>
              <w:jc w:val="center"/>
              <w:rPr>
                <w:rFonts w:ascii="Calibri" w:hAnsi="Calibri"/>
                <w:b/>
                <w:bCs/>
                <w:color w:val="000000"/>
                <w:szCs w:val="22"/>
                <w:lang w:eastAsia="en-GB"/>
              </w:rPr>
            </w:pPr>
            <w:r w:rsidRPr="008C3BF0">
              <w:rPr>
                <w:rFonts w:ascii="Calibri" w:hAnsi="Calibri"/>
                <w:b/>
                <w:bCs/>
                <w:color w:val="000000"/>
                <w:szCs w:val="22"/>
                <w:lang w:eastAsia="en-GB"/>
              </w:rPr>
              <w:t>2017-18</w:t>
            </w:r>
          </w:p>
        </w:tc>
      </w:tr>
      <w:tr w:rsidR="008C3BF0" w:rsidRPr="008C3BF0" w:rsidTr="008C3BF0">
        <w:trPr>
          <w:trHeight w:val="300"/>
        </w:trPr>
        <w:tc>
          <w:tcPr>
            <w:tcW w:w="14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BF0" w:rsidRPr="008C3BF0" w:rsidRDefault="008C3BF0" w:rsidP="008C3BF0">
            <w:pPr>
              <w:rPr>
                <w:rFonts w:ascii="Calibri" w:hAnsi="Calibri"/>
                <w:color w:val="000000"/>
                <w:szCs w:val="22"/>
                <w:lang w:eastAsia="en-GB"/>
              </w:rPr>
            </w:pPr>
            <w:r w:rsidRPr="008C3BF0">
              <w:rPr>
                <w:rFonts w:ascii="Calibri" w:hAnsi="Calibri"/>
                <w:color w:val="000000"/>
                <w:szCs w:val="22"/>
                <w:lang w:eastAsia="en-GB"/>
              </w:rPr>
              <w:t> </w:t>
            </w:r>
          </w:p>
        </w:tc>
        <w:tc>
          <w:tcPr>
            <w:tcW w:w="348" w:type="pct"/>
            <w:tcBorders>
              <w:top w:val="nil"/>
              <w:left w:val="nil"/>
              <w:bottom w:val="single" w:sz="4" w:space="0" w:color="auto"/>
              <w:right w:val="single" w:sz="4" w:space="0" w:color="auto"/>
            </w:tcBorders>
            <w:shd w:val="clear" w:color="auto" w:fill="auto"/>
            <w:noWrap/>
            <w:vAlign w:val="bottom"/>
            <w:hideMark/>
          </w:tcPr>
          <w:p w:rsidR="008C3BF0" w:rsidRPr="008C3BF0" w:rsidRDefault="008C3BF0" w:rsidP="008C3BF0">
            <w:pPr>
              <w:jc w:val="center"/>
              <w:rPr>
                <w:rFonts w:ascii="Calibri" w:hAnsi="Calibri"/>
                <w:b/>
                <w:bCs/>
                <w:color w:val="000000"/>
                <w:szCs w:val="22"/>
                <w:lang w:eastAsia="en-GB"/>
              </w:rPr>
            </w:pPr>
            <w:r w:rsidRPr="008C3BF0">
              <w:rPr>
                <w:rFonts w:ascii="Calibri" w:hAnsi="Calibri"/>
                <w:b/>
                <w:bCs/>
                <w:color w:val="000000"/>
                <w:szCs w:val="22"/>
                <w:lang w:eastAsia="en-GB"/>
              </w:rPr>
              <w:t>White</w:t>
            </w:r>
          </w:p>
        </w:tc>
        <w:tc>
          <w:tcPr>
            <w:tcW w:w="314" w:type="pct"/>
            <w:tcBorders>
              <w:top w:val="nil"/>
              <w:left w:val="nil"/>
              <w:bottom w:val="single" w:sz="4" w:space="0" w:color="auto"/>
              <w:right w:val="single" w:sz="4" w:space="0" w:color="auto"/>
            </w:tcBorders>
            <w:shd w:val="clear" w:color="auto" w:fill="auto"/>
            <w:noWrap/>
            <w:vAlign w:val="bottom"/>
            <w:hideMark/>
          </w:tcPr>
          <w:p w:rsidR="008C3BF0" w:rsidRPr="008C3BF0" w:rsidRDefault="008C3BF0" w:rsidP="008C3BF0">
            <w:pPr>
              <w:jc w:val="center"/>
              <w:rPr>
                <w:rFonts w:ascii="Calibri" w:hAnsi="Calibri"/>
                <w:b/>
                <w:bCs/>
                <w:color w:val="000000"/>
                <w:szCs w:val="22"/>
                <w:lang w:eastAsia="en-GB"/>
              </w:rPr>
            </w:pPr>
            <w:r w:rsidRPr="008C3BF0">
              <w:rPr>
                <w:rFonts w:ascii="Calibri" w:hAnsi="Calibri"/>
                <w:b/>
                <w:bCs/>
                <w:color w:val="000000"/>
                <w:szCs w:val="22"/>
                <w:lang w:eastAsia="en-GB"/>
              </w:rPr>
              <w:t>BME</w:t>
            </w:r>
          </w:p>
        </w:tc>
        <w:tc>
          <w:tcPr>
            <w:tcW w:w="395" w:type="pct"/>
            <w:tcBorders>
              <w:top w:val="nil"/>
              <w:left w:val="nil"/>
              <w:bottom w:val="single" w:sz="4" w:space="0" w:color="auto"/>
              <w:right w:val="single" w:sz="4" w:space="0" w:color="auto"/>
            </w:tcBorders>
            <w:shd w:val="clear" w:color="auto" w:fill="auto"/>
            <w:noWrap/>
            <w:vAlign w:val="bottom"/>
            <w:hideMark/>
          </w:tcPr>
          <w:p w:rsidR="008C3BF0" w:rsidRPr="008C3BF0" w:rsidRDefault="008C3BF0" w:rsidP="008C3BF0">
            <w:pPr>
              <w:jc w:val="center"/>
              <w:rPr>
                <w:rFonts w:ascii="Calibri" w:hAnsi="Calibri"/>
                <w:b/>
                <w:bCs/>
                <w:color w:val="000000"/>
                <w:szCs w:val="22"/>
                <w:lang w:eastAsia="en-GB"/>
              </w:rPr>
            </w:pPr>
            <w:r w:rsidRPr="008C3BF0">
              <w:rPr>
                <w:rFonts w:ascii="Calibri" w:hAnsi="Calibri"/>
                <w:b/>
                <w:bCs/>
                <w:color w:val="000000"/>
                <w:szCs w:val="22"/>
                <w:lang w:eastAsia="en-GB"/>
              </w:rPr>
              <w:t>White</w:t>
            </w:r>
          </w:p>
        </w:tc>
        <w:tc>
          <w:tcPr>
            <w:tcW w:w="357" w:type="pct"/>
            <w:tcBorders>
              <w:top w:val="nil"/>
              <w:left w:val="nil"/>
              <w:bottom w:val="single" w:sz="4" w:space="0" w:color="auto"/>
              <w:right w:val="single" w:sz="4" w:space="0" w:color="auto"/>
            </w:tcBorders>
            <w:shd w:val="clear" w:color="auto" w:fill="auto"/>
            <w:noWrap/>
            <w:vAlign w:val="bottom"/>
            <w:hideMark/>
          </w:tcPr>
          <w:p w:rsidR="008C3BF0" w:rsidRPr="008C3BF0" w:rsidRDefault="008C3BF0" w:rsidP="008C3BF0">
            <w:pPr>
              <w:jc w:val="center"/>
              <w:rPr>
                <w:rFonts w:ascii="Calibri" w:hAnsi="Calibri"/>
                <w:b/>
                <w:bCs/>
                <w:color w:val="000000"/>
                <w:szCs w:val="22"/>
                <w:lang w:eastAsia="en-GB"/>
              </w:rPr>
            </w:pPr>
            <w:r w:rsidRPr="008C3BF0">
              <w:rPr>
                <w:rFonts w:ascii="Calibri" w:hAnsi="Calibri"/>
                <w:b/>
                <w:bCs/>
                <w:color w:val="000000"/>
                <w:szCs w:val="22"/>
                <w:lang w:eastAsia="en-GB"/>
              </w:rPr>
              <w:t>BME</w:t>
            </w:r>
          </w:p>
        </w:tc>
        <w:tc>
          <w:tcPr>
            <w:tcW w:w="338" w:type="pct"/>
            <w:tcBorders>
              <w:top w:val="nil"/>
              <w:left w:val="nil"/>
              <w:bottom w:val="nil"/>
              <w:right w:val="nil"/>
            </w:tcBorders>
            <w:shd w:val="clear" w:color="auto" w:fill="auto"/>
            <w:noWrap/>
            <w:vAlign w:val="bottom"/>
            <w:hideMark/>
          </w:tcPr>
          <w:p w:rsidR="008C3BF0" w:rsidRPr="008C3BF0" w:rsidRDefault="008C3BF0" w:rsidP="008C3BF0">
            <w:pPr>
              <w:jc w:val="center"/>
              <w:rPr>
                <w:rFonts w:cs="Arial"/>
                <w:b/>
                <w:bCs/>
                <w:sz w:val="20"/>
                <w:szCs w:val="20"/>
                <w:lang w:eastAsia="en-GB"/>
              </w:rPr>
            </w:pPr>
            <w:r w:rsidRPr="008C3BF0">
              <w:rPr>
                <w:rFonts w:cs="Arial"/>
                <w:b/>
                <w:bCs/>
                <w:sz w:val="20"/>
                <w:szCs w:val="20"/>
                <w:lang w:eastAsia="en-GB"/>
              </w:rPr>
              <w:t>White</w:t>
            </w:r>
          </w:p>
        </w:tc>
        <w:tc>
          <w:tcPr>
            <w:tcW w:w="312" w:type="pct"/>
            <w:tcBorders>
              <w:top w:val="nil"/>
              <w:left w:val="single" w:sz="4" w:space="0" w:color="auto"/>
              <w:bottom w:val="single" w:sz="4" w:space="0" w:color="auto"/>
              <w:right w:val="single" w:sz="4" w:space="0" w:color="auto"/>
            </w:tcBorders>
            <w:shd w:val="clear" w:color="auto" w:fill="auto"/>
            <w:noWrap/>
            <w:vAlign w:val="bottom"/>
            <w:hideMark/>
          </w:tcPr>
          <w:p w:rsidR="008C3BF0" w:rsidRPr="008C3BF0" w:rsidRDefault="008C3BF0" w:rsidP="008C3BF0">
            <w:pPr>
              <w:jc w:val="center"/>
              <w:rPr>
                <w:rFonts w:cs="Arial"/>
                <w:b/>
                <w:bCs/>
                <w:sz w:val="20"/>
                <w:szCs w:val="20"/>
                <w:lang w:eastAsia="en-GB"/>
              </w:rPr>
            </w:pPr>
            <w:r w:rsidRPr="008C3BF0">
              <w:rPr>
                <w:rFonts w:cs="Arial"/>
                <w:b/>
                <w:bCs/>
                <w:sz w:val="20"/>
                <w:szCs w:val="20"/>
                <w:lang w:eastAsia="en-GB"/>
              </w:rPr>
              <w:t>BME</w:t>
            </w:r>
          </w:p>
        </w:tc>
        <w:tc>
          <w:tcPr>
            <w:tcW w:w="378" w:type="pct"/>
            <w:tcBorders>
              <w:top w:val="nil"/>
              <w:left w:val="nil"/>
              <w:bottom w:val="nil"/>
              <w:right w:val="nil"/>
            </w:tcBorders>
            <w:shd w:val="clear" w:color="auto" w:fill="auto"/>
            <w:noWrap/>
            <w:vAlign w:val="bottom"/>
            <w:hideMark/>
          </w:tcPr>
          <w:p w:rsidR="008C3BF0" w:rsidRPr="008C3BF0" w:rsidRDefault="008C3BF0" w:rsidP="008C3BF0">
            <w:pPr>
              <w:jc w:val="center"/>
              <w:rPr>
                <w:rFonts w:cs="Arial"/>
                <w:b/>
                <w:bCs/>
                <w:sz w:val="20"/>
                <w:szCs w:val="20"/>
                <w:lang w:eastAsia="en-GB"/>
              </w:rPr>
            </w:pPr>
            <w:r w:rsidRPr="008C3BF0">
              <w:rPr>
                <w:rFonts w:cs="Arial"/>
                <w:b/>
                <w:bCs/>
                <w:sz w:val="20"/>
                <w:szCs w:val="20"/>
                <w:lang w:eastAsia="en-GB"/>
              </w:rPr>
              <w:t>White</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rsidR="008C3BF0" w:rsidRPr="008C3BF0" w:rsidRDefault="008C3BF0" w:rsidP="008C3BF0">
            <w:pPr>
              <w:jc w:val="center"/>
              <w:rPr>
                <w:rFonts w:cs="Arial"/>
                <w:b/>
                <w:bCs/>
                <w:sz w:val="20"/>
                <w:szCs w:val="20"/>
                <w:lang w:eastAsia="en-GB"/>
              </w:rPr>
            </w:pPr>
            <w:r w:rsidRPr="008C3BF0">
              <w:rPr>
                <w:rFonts w:cs="Arial"/>
                <w:b/>
                <w:bCs/>
                <w:sz w:val="20"/>
                <w:szCs w:val="20"/>
                <w:lang w:eastAsia="en-GB"/>
              </w:rPr>
              <w:t>BME</w:t>
            </w:r>
          </w:p>
        </w:tc>
        <w:tc>
          <w:tcPr>
            <w:tcW w:w="406" w:type="pct"/>
            <w:tcBorders>
              <w:top w:val="nil"/>
              <w:left w:val="nil"/>
              <w:bottom w:val="nil"/>
              <w:right w:val="nil"/>
            </w:tcBorders>
            <w:shd w:val="clear" w:color="auto" w:fill="auto"/>
            <w:noWrap/>
            <w:vAlign w:val="bottom"/>
            <w:hideMark/>
          </w:tcPr>
          <w:p w:rsidR="008C3BF0" w:rsidRPr="008C3BF0" w:rsidRDefault="008C3BF0" w:rsidP="008C3BF0">
            <w:pPr>
              <w:jc w:val="center"/>
              <w:rPr>
                <w:rFonts w:cs="Arial"/>
                <w:b/>
                <w:bCs/>
                <w:sz w:val="20"/>
                <w:szCs w:val="20"/>
                <w:lang w:eastAsia="en-GB"/>
              </w:rPr>
            </w:pPr>
            <w:r w:rsidRPr="008C3BF0">
              <w:rPr>
                <w:rFonts w:cs="Arial"/>
                <w:b/>
                <w:bCs/>
                <w:sz w:val="20"/>
                <w:szCs w:val="20"/>
                <w:lang w:eastAsia="en-GB"/>
              </w:rPr>
              <w:t>White</w:t>
            </w:r>
          </w:p>
        </w:tc>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8C3BF0" w:rsidRPr="008C3BF0" w:rsidRDefault="008C3BF0" w:rsidP="008C3BF0">
            <w:pPr>
              <w:jc w:val="center"/>
              <w:rPr>
                <w:rFonts w:cs="Arial"/>
                <w:b/>
                <w:bCs/>
                <w:sz w:val="20"/>
                <w:szCs w:val="20"/>
                <w:lang w:eastAsia="en-GB"/>
              </w:rPr>
            </w:pPr>
            <w:r w:rsidRPr="008C3BF0">
              <w:rPr>
                <w:rFonts w:cs="Arial"/>
                <w:b/>
                <w:bCs/>
                <w:sz w:val="20"/>
                <w:szCs w:val="20"/>
                <w:lang w:eastAsia="en-GB"/>
              </w:rPr>
              <w:t>BME</w:t>
            </w:r>
          </w:p>
        </w:tc>
      </w:tr>
      <w:tr w:rsidR="008C3BF0" w:rsidRPr="008C3BF0" w:rsidTr="008C3BF0">
        <w:trPr>
          <w:trHeight w:val="300"/>
        </w:trPr>
        <w:tc>
          <w:tcPr>
            <w:tcW w:w="1426" w:type="pct"/>
            <w:tcBorders>
              <w:top w:val="nil"/>
              <w:left w:val="single" w:sz="4" w:space="0" w:color="auto"/>
              <w:bottom w:val="single" w:sz="4" w:space="0" w:color="auto"/>
              <w:right w:val="single" w:sz="4" w:space="0" w:color="auto"/>
            </w:tcBorders>
            <w:shd w:val="clear" w:color="auto" w:fill="auto"/>
            <w:noWrap/>
            <w:vAlign w:val="bottom"/>
            <w:hideMark/>
          </w:tcPr>
          <w:p w:rsidR="008C3BF0" w:rsidRPr="008C3BF0" w:rsidRDefault="008C3BF0" w:rsidP="008C3BF0">
            <w:pPr>
              <w:rPr>
                <w:rFonts w:ascii="Calibri" w:hAnsi="Calibri"/>
                <w:color w:val="000000"/>
                <w:szCs w:val="22"/>
                <w:lang w:eastAsia="en-GB"/>
              </w:rPr>
            </w:pPr>
            <w:r w:rsidRPr="008C3BF0">
              <w:rPr>
                <w:rFonts w:ascii="Calibri" w:hAnsi="Calibri"/>
                <w:color w:val="000000"/>
                <w:szCs w:val="22"/>
                <w:lang w:eastAsia="en-GB"/>
              </w:rPr>
              <w:t>Staff who have accessed non-</w:t>
            </w:r>
            <w:proofErr w:type="spellStart"/>
            <w:r w:rsidRPr="008C3BF0">
              <w:rPr>
                <w:rFonts w:ascii="Calibri" w:hAnsi="Calibri"/>
                <w:color w:val="000000"/>
                <w:szCs w:val="22"/>
                <w:lang w:eastAsia="en-GB"/>
              </w:rPr>
              <w:t>mand</w:t>
            </w:r>
            <w:proofErr w:type="spellEnd"/>
            <w:r w:rsidRPr="008C3BF0">
              <w:rPr>
                <w:rFonts w:ascii="Calibri" w:hAnsi="Calibri"/>
                <w:color w:val="000000"/>
                <w:szCs w:val="22"/>
                <w:lang w:eastAsia="en-GB"/>
              </w:rPr>
              <w:t xml:space="preserve"> training/CPD*</w:t>
            </w:r>
          </w:p>
        </w:tc>
        <w:tc>
          <w:tcPr>
            <w:tcW w:w="348" w:type="pct"/>
            <w:tcBorders>
              <w:top w:val="nil"/>
              <w:left w:val="nil"/>
              <w:bottom w:val="single" w:sz="4" w:space="0" w:color="auto"/>
              <w:right w:val="single" w:sz="4" w:space="0" w:color="auto"/>
            </w:tcBorders>
            <w:shd w:val="clear" w:color="auto" w:fill="auto"/>
            <w:noWrap/>
            <w:vAlign w:val="bottom"/>
            <w:hideMark/>
          </w:tcPr>
          <w:p w:rsidR="008C3BF0" w:rsidRPr="008C3BF0" w:rsidRDefault="008C3BF0" w:rsidP="008C3BF0">
            <w:pPr>
              <w:jc w:val="center"/>
              <w:rPr>
                <w:rFonts w:ascii="Calibri" w:hAnsi="Calibri"/>
                <w:color w:val="000000"/>
                <w:szCs w:val="22"/>
                <w:lang w:eastAsia="en-GB"/>
              </w:rPr>
            </w:pPr>
            <w:r w:rsidRPr="008C3BF0">
              <w:rPr>
                <w:rFonts w:ascii="Calibri" w:hAnsi="Calibri"/>
                <w:color w:val="000000"/>
                <w:szCs w:val="22"/>
                <w:lang w:eastAsia="en-GB"/>
              </w:rPr>
              <w:t>72</w:t>
            </w:r>
          </w:p>
        </w:tc>
        <w:tc>
          <w:tcPr>
            <w:tcW w:w="314" w:type="pct"/>
            <w:tcBorders>
              <w:top w:val="nil"/>
              <w:left w:val="nil"/>
              <w:bottom w:val="single" w:sz="4" w:space="0" w:color="auto"/>
              <w:right w:val="single" w:sz="4" w:space="0" w:color="auto"/>
            </w:tcBorders>
            <w:shd w:val="clear" w:color="auto" w:fill="auto"/>
            <w:noWrap/>
            <w:vAlign w:val="bottom"/>
            <w:hideMark/>
          </w:tcPr>
          <w:p w:rsidR="008C3BF0" w:rsidRPr="008C3BF0" w:rsidRDefault="008C3BF0" w:rsidP="008C3BF0">
            <w:pPr>
              <w:jc w:val="center"/>
              <w:rPr>
                <w:rFonts w:ascii="Calibri" w:hAnsi="Calibri"/>
                <w:color w:val="000000"/>
                <w:szCs w:val="22"/>
                <w:lang w:eastAsia="en-GB"/>
              </w:rPr>
            </w:pPr>
            <w:r w:rsidRPr="008C3BF0">
              <w:rPr>
                <w:rFonts w:ascii="Calibri" w:hAnsi="Calibri"/>
                <w:color w:val="000000"/>
                <w:szCs w:val="22"/>
                <w:lang w:eastAsia="en-GB"/>
              </w:rPr>
              <w:t>15</w:t>
            </w:r>
          </w:p>
        </w:tc>
        <w:tc>
          <w:tcPr>
            <w:tcW w:w="395" w:type="pct"/>
            <w:tcBorders>
              <w:top w:val="nil"/>
              <w:left w:val="nil"/>
              <w:bottom w:val="single" w:sz="4" w:space="0" w:color="auto"/>
              <w:right w:val="single" w:sz="4" w:space="0" w:color="auto"/>
            </w:tcBorders>
            <w:shd w:val="clear" w:color="auto" w:fill="auto"/>
            <w:noWrap/>
            <w:vAlign w:val="bottom"/>
            <w:hideMark/>
          </w:tcPr>
          <w:p w:rsidR="008C3BF0" w:rsidRPr="008C3BF0" w:rsidRDefault="008C3BF0" w:rsidP="008C3BF0">
            <w:pPr>
              <w:jc w:val="center"/>
              <w:rPr>
                <w:rFonts w:ascii="Calibri" w:hAnsi="Calibri"/>
                <w:color w:val="000000"/>
                <w:szCs w:val="22"/>
                <w:lang w:eastAsia="en-GB"/>
              </w:rPr>
            </w:pPr>
            <w:r w:rsidRPr="008C3BF0">
              <w:rPr>
                <w:rFonts w:ascii="Calibri" w:hAnsi="Calibri"/>
                <w:color w:val="000000"/>
                <w:szCs w:val="22"/>
                <w:lang w:eastAsia="en-GB"/>
              </w:rPr>
              <w:t>28</w:t>
            </w:r>
          </w:p>
        </w:tc>
        <w:tc>
          <w:tcPr>
            <w:tcW w:w="357" w:type="pct"/>
            <w:tcBorders>
              <w:top w:val="nil"/>
              <w:left w:val="nil"/>
              <w:bottom w:val="single" w:sz="4" w:space="0" w:color="auto"/>
              <w:right w:val="single" w:sz="4" w:space="0" w:color="auto"/>
            </w:tcBorders>
            <w:shd w:val="clear" w:color="auto" w:fill="auto"/>
            <w:noWrap/>
            <w:vAlign w:val="bottom"/>
            <w:hideMark/>
          </w:tcPr>
          <w:p w:rsidR="008C3BF0" w:rsidRPr="008C3BF0" w:rsidRDefault="008C3BF0" w:rsidP="008C3BF0">
            <w:pPr>
              <w:jc w:val="center"/>
              <w:rPr>
                <w:rFonts w:ascii="Calibri" w:hAnsi="Calibri"/>
                <w:color w:val="000000"/>
                <w:szCs w:val="22"/>
                <w:lang w:eastAsia="en-GB"/>
              </w:rPr>
            </w:pPr>
            <w:r w:rsidRPr="008C3BF0">
              <w:rPr>
                <w:rFonts w:ascii="Calibri" w:hAnsi="Calibri"/>
                <w:color w:val="000000"/>
                <w:szCs w:val="22"/>
                <w:lang w:eastAsia="en-GB"/>
              </w:rPr>
              <w:t>4</w:t>
            </w:r>
          </w:p>
        </w:tc>
        <w:tc>
          <w:tcPr>
            <w:tcW w:w="338" w:type="pct"/>
            <w:tcBorders>
              <w:top w:val="single" w:sz="4" w:space="0" w:color="auto"/>
              <w:left w:val="nil"/>
              <w:bottom w:val="single" w:sz="4" w:space="0" w:color="auto"/>
              <w:right w:val="nil"/>
            </w:tcBorders>
            <w:shd w:val="clear" w:color="auto" w:fill="auto"/>
            <w:noWrap/>
            <w:vAlign w:val="bottom"/>
            <w:hideMark/>
          </w:tcPr>
          <w:p w:rsidR="008C3BF0" w:rsidRPr="008C3BF0" w:rsidRDefault="008C3BF0" w:rsidP="008C3BF0">
            <w:pPr>
              <w:jc w:val="center"/>
              <w:rPr>
                <w:rFonts w:cs="Arial"/>
                <w:sz w:val="20"/>
                <w:szCs w:val="20"/>
                <w:lang w:eastAsia="en-GB"/>
              </w:rPr>
            </w:pPr>
            <w:r w:rsidRPr="008C3BF0">
              <w:rPr>
                <w:rFonts w:cs="Arial"/>
                <w:sz w:val="20"/>
                <w:szCs w:val="20"/>
                <w:lang w:eastAsia="en-GB"/>
              </w:rPr>
              <w:t>87</w:t>
            </w:r>
          </w:p>
        </w:tc>
        <w:tc>
          <w:tcPr>
            <w:tcW w:w="312" w:type="pct"/>
            <w:tcBorders>
              <w:top w:val="nil"/>
              <w:left w:val="single" w:sz="4" w:space="0" w:color="auto"/>
              <w:bottom w:val="single" w:sz="4" w:space="0" w:color="auto"/>
              <w:right w:val="single" w:sz="4" w:space="0" w:color="auto"/>
            </w:tcBorders>
            <w:shd w:val="clear" w:color="auto" w:fill="auto"/>
            <w:noWrap/>
            <w:vAlign w:val="bottom"/>
            <w:hideMark/>
          </w:tcPr>
          <w:p w:rsidR="008C3BF0" w:rsidRPr="008C3BF0" w:rsidRDefault="008C3BF0" w:rsidP="008C3BF0">
            <w:pPr>
              <w:jc w:val="center"/>
              <w:rPr>
                <w:rFonts w:cs="Arial"/>
                <w:sz w:val="20"/>
                <w:szCs w:val="20"/>
                <w:lang w:eastAsia="en-GB"/>
              </w:rPr>
            </w:pPr>
            <w:r w:rsidRPr="008C3BF0">
              <w:rPr>
                <w:rFonts w:cs="Arial"/>
                <w:sz w:val="20"/>
                <w:szCs w:val="20"/>
                <w:lang w:eastAsia="en-GB"/>
              </w:rPr>
              <w:t>8</w:t>
            </w:r>
          </w:p>
        </w:tc>
        <w:tc>
          <w:tcPr>
            <w:tcW w:w="378" w:type="pct"/>
            <w:tcBorders>
              <w:top w:val="single" w:sz="4" w:space="0" w:color="auto"/>
              <w:left w:val="nil"/>
              <w:bottom w:val="single" w:sz="4" w:space="0" w:color="auto"/>
              <w:right w:val="nil"/>
            </w:tcBorders>
            <w:shd w:val="clear" w:color="auto" w:fill="auto"/>
            <w:noWrap/>
            <w:vAlign w:val="bottom"/>
            <w:hideMark/>
          </w:tcPr>
          <w:p w:rsidR="008C3BF0" w:rsidRPr="008C3BF0" w:rsidRDefault="008C3BF0" w:rsidP="008C3BF0">
            <w:pPr>
              <w:jc w:val="center"/>
              <w:rPr>
                <w:rFonts w:cs="Arial"/>
                <w:sz w:val="20"/>
                <w:szCs w:val="20"/>
                <w:lang w:eastAsia="en-GB"/>
              </w:rPr>
            </w:pPr>
            <w:r w:rsidRPr="008C3BF0">
              <w:rPr>
                <w:rFonts w:cs="Arial"/>
                <w:sz w:val="20"/>
                <w:szCs w:val="20"/>
                <w:lang w:eastAsia="en-GB"/>
              </w:rPr>
              <w:t>139</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rsidR="008C3BF0" w:rsidRPr="008C3BF0" w:rsidRDefault="008C3BF0" w:rsidP="008C3BF0">
            <w:pPr>
              <w:jc w:val="center"/>
              <w:rPr>
                <w:rFonts w:cs="Arial"/>
                <w:sz w:val="20"/>
                <w:szCs w:val="20"/>
                <w:lang w:eastAsia="en-GB"/>
              </w:rPr>
            </w:pPr>
            <w:r w:rsidRPr="008C3BF0">
              <w:rPr>
                <w:rFonts w:cs="Arial"/>
                <w:sz w:val="20"/>
                <w:szCs w:val="20"/>
                <w:lang w:eastAsia="en-GB"/>
              </w:rPr>
              <w:t>5</w:t>
            </w:r>
          </w:p>
        </w:tc>
        <w:tc>
          <w:tcPr>
            <w:tcW w:w="406" w:type="pct"/>
            <w:tcBorders>
              <w:top w:val="single" w:sz="4" w:space="0" w:color="auto"/>
              <w:left w:val="nil"/>
              <w:bottom w:val="single" w:sz="4" w:space="0" w:color="auto"/>
              <w:right w:val="nil"/>
            </w:tcBorders>
            <w:shd w:val="clear" w:color="auto" w:fill="auto"/>
            <w:noWrap/>
            <w:vAlign w:val="bottom"/>
            <w:hideMark/>
          </w:tcPr>
          <w:p w:rsidR="008C3BF0" w:rsidRPr="008C3BF0" w:rsidRDefault="008C3BF0" w:rsidP="008C3BF0">
            <w:pPr>
              <w:jc w:val="center"/>
              <w:rPr>
                <w:rFonts w:cs="Arial"/>
                <w:sz w:val="20"/>
                <w:szCs w:val="20"/>
                <w:lang w:eastAsia="en-GB"/>
              </w:rPr>
            </w:pPr>
            <w:r w:rsidRPr="008C3BF0">
              <w:rPr>
                <w:rFonts w:cs="Arial"/>
                <w:sz w:val="20"/>
                <w:szCs w:val="20"/>
                <w:lang w:eastAsia="en-GB"/>
              </w:rPr>
              <w:t>46</w:t>
            </w:r>
          </w:p>
        </w:tc>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8C3BF0" w:rsidRPr="008C3BF0" w:rsidRDefault="008C3BF0" w:rsidP="008C3BF0">
            <w:pPr>
              <w:jc w:val="center"/>
              <w:rPr>
                <w:rFonts w:cs="Arial"/>
                <w:sz w:val="20"/>
                <w:szCs w:val="20"/>
                <w:lang w:eastAsia="en-GB"/>
              </w:rPr>
            </w:pPr>
            <w:r w:rsidRPr="008C3BF0">
              <w:rPr>
                <w:rFonts w:cs="Arial"/>
                <w:sz w:val="20"/>
                <w:szCs w:val="20"/>
                <w:lang w:eastAsia="en-GB"/>
              </w:rPr>
              <w:t>1</w:t>
            </w:r>
          </w:p>
        </w:tc>
      </w:tr>
      <w:tr w:rsidR="008C3BF0" w:rsidRPr="008C3BF0" w:rsidTr="008C3BF0">
        <w:trPr>
          <w:trHeight w:val="300"/>
        </w:trPr>
        <w:tc>
          <w:tcPr>
            <w:tcW w:w="1426" w:type="pct"/>
            <w:tcBorders>
              <w:top w:val="nil"/>
              <w:left w:val="single" w:sz="4" w:space="0" w:color="auto"/>
              <w:bottom w:val="single" w:sz="4" w:space="0" w:color="auto"/>
              <w:right w:val="single" w:sz="4" w:space="0" w:color="auto"/>
            </w:tcBorders>
            <w:shd w:val="clear" w:color="auto" w:fill="auto"/>
            <w:noWrap/>
            <w:vAlign w:val="bottom"/>
            <w:hideMark/>
          </w:tcPr>
          <w:p w:rsidR="008C3BF0" w:rsidRPr="008C3BF0" w:rsidRDefault="008C3BF0" w:rsidP="008C3BF0">
            <w:pPr>
              <w:rPr>
                <w:rFonts w:ascii="Calibri" w:hAnsi="Calibri"/>
                <w:color w:val="000000"/>
                <w:szCs w:val="22"/>
                <w:lang w:eastAsia="en-GB"/>
              </w:rPr>
            </w:pPr>
            <w:r w:rsidRPr="008C3BF0">
              <w:rPr>
                <w:rFonts w:ascii="Calibri" w:hAnsi="Calibri"/>
                <w:color w:val="000000"/>
                <w:szCs w:val="22"/>
                <w:lang w:eastAsia="en-GB"/>
              </w:rPr>
              <w:t>Staff in workforce</w:t>
            </w:r>
          </w:p>
        </w:tc>
        <w:tc>
          <w:tcPr>
            <w:tcW w:w="348" w:type="pct"/>
            <w:tcBorders>
              <w:top w:val="nil"/>
              <w:left w:val="nil"/>
              <w:bottom w:val="single" w:sz="4" w:space="0" w:color="auto"/>
              <w:right w:val="single" w:sz="4" w:space="0" w:color="auto"/>
            </w:tcBorders>
            <w:shd w:val="clear" w:color="auto" w:fill="auto"/>
            <w:noWrap/>
            <w:vAlign w:val="bottom"/>
            <w:hideMark/>
          </w:tcPr>
          <w:p w:rsidR="008C3BF0" w:rsidRPr="008C3BF0" w:rsidRDefault="008C3BF0" w:rsidP="008C3BF0">
            <w:pPr>
              <w:jc w:val="center"/>
              <w:rPr>
                <w:rFonts w:ascii="Calibri" w:hAnsi="Calibri"/>
                <w:color w:val="000000"/>
                <w:szCs w:val="22"/>
                <w:lang w:eastAsia="en-GB"/>
              </w:rPr>
            </w:pPr>
            <w:r w:rsidRPr="008C3BF0">
              <w:rPr>
                <w:rFonts w:ascii="Calibri" w:hAnsi="Calibri"/>
                <w:color w:val="000000"/>
                <w:szCs w:val="22"/>
                <w:lang w:eastAsia="en-GB"/>
              </w:rPr>
              <w:t>5423</w:t>
            </w:r>
          </w:p>
        </w:tc>
        <w:tc>
          <w:tcPr>
            <w:tcW w:w="314" w:type="pct"/>
            <w:tcBorders>
              <w:top w:val="nil"/>
              <w:left w:val="nil"/>
              <w:bottom w:val="single" w:sz="4" w:space="0" w:color="auto"/>
              <w:right w:val="single" w:sz="4" w:space="0" w:color="auto"/>
            </w:tcBorders>
            <w:shd w:val="clear" w:color="000000" w:fill="FFFFFF"/>
            <w:noWrap/>
            <w:vAlign w:val="bottom"/>
            <w:hideMark/>
          </w:tcPr>
          <w:p w:rsidR="008C3BF0" w:rsidRPr="008C3BF0" w:rsidRDefault="008C3BF0" w:rsidP="008C3BF0">
            <w:pPr>
              <w:jc w:val="center"/>
              <w:rPr>
                <w:rFonts w:ascii="Calibri" w:hAnsi="Calibri"/>
                <w:color w:val="000000"/>
                <w:szCs w:val="22"/>
                <w:lang w:eastAsia="en-GB"/>
              </w:rPr>
            </w:pPr>
            <w:r w:rsidRPr="008C3BF0">
              <w:rPr>
                <w:rFonts w:ascii="Calibri" w:hAnsi="Calibri"/>
                <w:color w:val="000000"/>
                <w:szCs w:val="22"/>
                <w:lang w:eastAsia="en-GB"/>
              </w:rPr>
              <w:t>175</w:t>
            </w:r>
          </w:p>
        </w:tc>
        <w:tc>
          <w:tcPr>
            <w:tcW w:w="395" w:type="pct"/>
            <w:tcBorders>
              <w:top w:val="nil"/>
              <w:left w:val="nil"/>
              <w:bottom w:val="single" w:sz="4" w:space="0" w:color="auto"/>
              <w:right w:val="single" w:sz="4" w:space="0" w:color="auto"/>
            </w:tcBorders>
            <w:shd w:val="clear" w:color="auto" w:fill="auto"/>
            <w:noWrap/>
            <w:vAlign w:val="bottom"/>
            <w:hideMark/>
          </w:tcPr>
          <w:p w:rsidR="008C3BF0" w:rsidRPr="008C3BF0" w:rsidRDefault="008C3BF0" w:rsidP="008C3BF0">
            <w:pPr>
              <w:jc w:val="center"/>
              <w:rPr>
                <w:rFonts w:ascii="Calibri" w:hAnsi="Calibri"/>
                <w:color w:val="000000"/>
                <w:szCs w:val="22"/>
                <w:lang w:eastAsia="en-GB"/>
              </w:rPr>
            </w:pPr>
            <w:r w:rsidRPr="008C3BF0">
              <w:rPr>
                <w:rFonts w:ascii="Calibri" w:hAnsi="Calibri"/>
                <w:color w:val="000000"/>
                <w:szCs w:val="22"/>
                <w:lang w:eastAsia="en-GB"/>
              </w:rPr>
              <w:t>5439</w:t>
            </w:r>
          </w:p>
        </w:tc>
        <w:tc>
          <w:tcPr>
            <w:tcW w:w="357" w:type="pct"/>
            <w:tcBorders>
              <w:top w:val="nil"/>
              <w:left w:val="nil"/>
              <w:bottom w:val="single" w:sz="4" w:space="0" w:color="auto"/>
              <w:right w:val="single" w:sz="4" w:space="0" w:color="auto"/>
            </w:tcBorders>
            <w:shd w:val="clear" w:color="000000" w:fill="FFFFFF"/>
            <w:noWrap/>
            <w:vAlign w:val="bottom"/>
            <w:hideMark/>
          </w:tcPr>
          <w:p w:rsidR="008C3BF0" w:rsidRPr="008C3BF0" w:rsidRDefault="008C3BF0" w:rsidP="008C3BF0">
            <w:pPr>
              <w:jc w:val="center"/>
              <w:rPr>
                <w:rFonts w:ascii="Calibri" w:hAnsi="Calibri"/>
                <w:color w:val="000000"/>
                <w:szCs w:val="22"/>
                <w:lang w:eastAsia="en-GB"/>
              </w:rPr>
            </w:pPr>
            <w:r w:rsidRPr="008C3BF0">
              <w:rPr>
                <w:rFonts w:ascii="Calibri" w:hAnsi="Calibri"/>
                <w:color w:val="000000"/>
                <w:szCs w:val="22"/>
                <w:lang w:eastAsia="en-GB"/>
              </w:rPr>
              <w:t>195</w:t>
            </w:r>
          </w:p>
        </w:tc>
        <w:tc>
          <w:tcPr>
            <w:tcW w:w="338" w:type="pct"/>
            <w:tcBorders>
              <w:top w:val="nil"/>
              <w:left w:val="nil"/>
              <w:bottom w:val="single" w:sz="4" w:space="0" w:color="auto"/>
              <w:right w:val="nil"/>
            </w:tcBorders>
            <w:shd w:val="clear" w:color="auto" w:fill="auto"/>
            <w:noWrap/>
            <w:vAlign w:val="bottom"/>
            <w:hideMark/>
          </w:tcPr>
          <w:p w:rsidR="008C3BF0" w:rsidRPr="008C3BF0" w:rsidRDefault="008C3BF0" w:rsidP="008C3BF0">
            <w:pPr>
              <w:jc w:val="center"/>
              <w:rPr>
                <w:rFonts w:cs="Arial"/>
                <w:sz w:val="20"/>
                <w:szCs w:val="20"/>
                <w:lang w:eastAsia="en-GB"/>
              </w:rPr>
            </w:pPr>
            <w:r w:rsidRPr="008C3BF0">
              <w:rPr>
                <w:rFonts w:cs="Arial"/>
                <w:sz w:val="20"/>
                <w:szCs w:val="20"/>
                <w:lang w:eastAsia="en-GB"/>
              </w:rPr>
              <w:t>5630</w:t>
            </w:r>
          </w:p>
        </w:tc>
        <w:tc>
          <w:tcPr>
            <w:tcW w:w="312" w:type="pct"/>
            <w:tcBorders>
              <w:top w:val="nil"/>
              <w:left w:val="single" w:sz="4" w:space="0" w:color="auto"/>
              <w:bottom w:val="single" w:sz="4" w:space="0" w:color="auto"/>
              <w:right w:val="single" w:sz="4" w:space="0" w:color="auto"/>
            </w:tcBorders>
            <w:shd w:val="clear" w:color="auto" w:fill="auto"/>
            <w:noWrap/>
            <w:vAlign w:val="bottom"/>
            <w:hideMark/>
          </w:tcPr>
          <w:p w:rsidR="008C3BF0" w:rsidRPr="008C3BF0" w:rsidRDefault="008C3BF0" w:rsidP="008C3BF0">
            <w:pPr>
              <w:jc w:val="center"/>
              <w:rPr>
                <w:rFonts w:cs="Arial"/>
                <w:sz w:val="20"/>
                <w:szCs w:val="20"/>
                <w:lang w:eastAsia="en-GB"/>
              </w:rPr>
            </w:pPr>
            <w:r w:rsidRPr="008C3BF0">
              <w:rPr>
                <w:rFonts w:cs="Arial"/>
                <w:sz w:val="20"/>
                <w:szCs w:val="20"/>
                <w:lang w:eastAsia="en-GB"/>
              </w:rPr>
              <w:t>205</w:t>
            </w:r>
          </w:p>
        </w:tc>
        <w:tc>
          <w:tcPr>
            <w:tcW w:w="378" w:type="pct"/>
            <w:tcBorders>
              <w:top w:val="nil"/>
              <w:left w:val="nil"/>
              <w:bottom w:val="single" w:sz="4" w:space="0" w:color="auto"/>
              <w:right w:val="single" w:sz="4" w:space="0" w:color="auto"/>
            </w:tcBorders>
            <w:shd w:val="clear" w:color="000000" w:fill="FFFFFF"/>
            <w:noWrap/>
            <w:vAlign w:val="bottom"/>
            <w:hideMark/>
          </w:tcPr>
          <w:p w:rsidR="008C3BF0" w:rsidRPr="008C3BF0" w:rsidRDefault="008C3BF0" w:rsidP="008C3BF0">
            <w:pPr>
              <w:jc w:val="center"/>
              <w:rPr>
                <w:rFonts w:ascii="Calibri" w:hAnsi="Calibri"/>
                <w:color w:val="000000"/>
                <w:szCs w:val="22"/>
                <w:lang w:eastAsia="en-GB"/>
              </w:rPr>
            </w:pPr>
            <w:r w:rsidRPr="008C3BF0">
              <w:rPr>
                <w:rFonts w:ascii="Calibri" w:hAnsi="Calibri"/>
                <w:color w:val="000000"/>
                <w:szCs w:val="22"/>
                <w:lang w:eastAsia="en-GB"/>
              </w:rPr>
              <w:t>5830</w:t>
            </w:r>
          </w:p>
        </w:tc>
        <w:tc>
          <w:tcPr>
            <w:tcW w:w="349" w:type="pct"/>
            <w:tcBorders>
              <w:top w:val="nil"/>
              <w:left w:val="nil"/>
              <w:bottom w:val="single" w:sz="4" w:space="0" w:color="auto"/>
              <w:right w:val="single" w:sz="4" w:space="0" w:color="auto"/>
            </w:tcBorders>
            <w:shd w:val="clear" w:color="000000" w:fill="FFFFFF"/>
            <w:noWrap/>
            <w:vAlign w:val="bottom"/>
            <w:hideMark/>
          </w:tcPr>
          <w:p w:rsidR="008C3BF0" w:rsidRPr="008C3BF0" w:rsidRDefault="008C3BF0" w:rsidP="008C3BF0">
            <w:pPr>
              <w:jc w:val="center"/>
              <w:rPr>
                <w:rFonts w:cs="Arial"/>
                <w:sz w:val="20"/>
                <w:szCs w:val="20"/>
                <w:lang w:eastAsia="en-GB"/>
              </w:rPr>
            </w:pPr>
            <w:r w:rsidRPr="008C3BF0">
              <w:rPr>
                <w:rFonts w:cs="Arial"/>
                <w:sz w:val="20"/>
                <w:szCs w:val="20"/>
                <w:lang w:eastAsia="en-GB"/>
              </w:rPr>
              <w:t>232</w:t>
            </w:r>
          </w:p>
        </w:tc>
        <w:tc>
          <w:tcPr>
            <w:tcW w:w="406" w:type="pct"/>
            <w:tcBorders>
              <w:top w:val="nil"/>
              <w:left w:val="nil"/>
              <w:bottom w:val="single" w:sz="4" w:space="0" w:color="auto"/>
              <w:right w:val="single" w:sz="4" w:space="0" w:color="auto"/>
            </w:tcBorders>
            <w:shd w:val="clear" w:color="000000" w:fill="FFFFFF"/>
            <w:noWrap/>
            <w:vAlign w:val="bottom"/>
            <w:hideMark/>
          </w:tcPr>
          <w:p w:rsidR="008C3BF0" w:rsidRPr="008C3BF0" w:rsidRDefault="008C3BF0" w:rsidP="008C3BF0">
            <w:pPr>
              <w:jc w:val="center"/>
              <w:rPr>
                <w:rFonts w:ascii="Calibri" w:hAnsi="Calibri"/>
                <w:color w:val="000000"/>
                <w:szCs w:val="22"/>
                <w:lang w:eastAsia="en-GB"/>
              </w:rPr>
            </w:pPr>
            <w:r w:rsidRPr="008C3BF0">
              <w:rPr>
                <w:rFonts w:ascii="Calibri" w:hAnsi="Calibri"/>
                <w:color w:val="000000"/>
                <w:szCs w:val="22"/>
                <w:lang w:eastAsia="en-GB"/>
              </w:rPr>
              <w:t>5843</w:t>
            </w:r>
          </w:p>
        </w:tc>
        <w:tc>
          <w:tcPr>
            <w:tcW w:w="375" w:type="pct"/>
            <w:tcBorders>
              <w:top w:val="nil"/>
              <w:left w:val="nil"/>
              <w:bottom w:val="single" w:sz="4" w:space="0" w:color="auto"/>
              <w:right w:val="single" w:sz="4" w:space="0" w:color="auto"/>
            </w:tcBorders>
            <w:shd w:val="clear" w:color="000000" w:fill="FFFFFF"/>
            <w:noWrap/>
            <w:vAlign w:val="bottom"/>
            <w:hideMark/>
          </w:tcPr>
          <w:p w:rsidR="008C3BF0" w:rsidRPr="008C3BF0" w:rsidRDefault="008C3BF0" w:rsidP="008C3BF0">
            <w:pPr>
              <w:jc w:val="center"/>
              <w:rPr>
                <w:rFonts w:cs="Arial"/>
                <w:sz w:val="20"/>
                <w:szCs w:val="20"/>
                <w:lang w:eastAsia="en-GB"/>
              </w:rPr>
            </w:pPr>
            <w:r w:rsidRPr="008C3BF0">
              <w:rPr>
                <w:rFonts w:cs="Arial"/>
                <w:sz w:val="20"/>
                <w:szCs w:val="20"/>
                <w:lang w:eastAsia="en-GB"/>
              </w:rPr>
              <w:t>267</w:t>
            </w:r>
          </w:p>
        </w:tc>
      </w:tr>
      <w:tr w:rsidR="008C3BF0" w:rsidRPr="008C3BF0" w:rsidTr="008C3BF0">
        <w:trPr>
          <w:trHeight w:val="300"/>
        </w:trPr>
        <w:tc>
          <w:tcPr>
            <w:tcW w:w="1426" w:type="pct"/>
            <w:tcBorders>
              <w:top w:val="nil"/>
              <w:left w:val="single" w:sz="4" w:space="0" w:color="auto"/>
              <w:bottom w:val="single" w:sz="4" w:space="0" w:color="auto"/>
              <w:right w:val="single" w:sz="4" w:space="0" w:color="auto"/>
            </w:tcBorders>
            <w:shd w:val="clear" w:color="auto" w:fill="auto"/>
            <w:noWrap/>
            <w:vAlign w:val="bottom"/>
            <w:hideMark/>
          </w:tcPr>
          <w:p w:rsidR="008C3BF0" w:rsidRPr="008C3BF0" w:rsidRDefault="008C3BF0" w:rsidP="008C3BF0">
            <w:pPr>
              <w:rPr>
                <w:rFonts w:ascii="Calibri" w:hAnsi="Calibri"/>
                <w:color w:val="000000"/>
                <w:szCs w:val="22"/>
                <w:lang w:eastAsia="en-GB"/>
              </w:rPr>
            </w:pPr>
            <w:r w:rsidRPr="008C3BF0">
              <w:rPr>
                <w:rFonts w:ascii="Calibri" w:hAnsi="Calibri"/>
                <w:color w:val="000000"/>
                <w:szCs w:val="22"/>
                <w:lang w:eastAsia="en-GB"/>
              </w:rPr>
              <w:t>Likelihood</w:t>
            </w:r>
          </w:p>
        </w:tc>
        <w:tc>
          <w:tcPr>
            <w:tcW w:w="348" w:type="pct"/>
            <w:tcBorders>
              <w:top w:val="nil"/>
              <w:left w:val="nil"/>
              <w:bottom w:val="single" w:sz="4" w:space="0" w:color="auto"/>
              <w:right w:val="single" w:sz="4" w:space="0" w:color="auto"/>
            </w:tcBorders>
            <w:shd w:val="clear" w:color="auto" w:fill="auto"/>
            <w:noWrap/>
            <w:vAlign w:val="bottom"/>
            <w:hideMark/>
          </w:tcPr>
          <w:p w:rsidR="008C3BF0" w:rsidRPr="008C3BF0" w:rsidRDefault="008C3BF0" w:rsidP="008C3BF0">
            <w:pPr>
              <w:jc w:val="center"/>
              <w:rPr>
                <w:rFonts w:ascii="Calibri" w:hAnsi="Calibri"/>
                <w:color w:val="000000"/>
                <w:szCs w:val="22"/>
                <w:lang w:eastAsia="en-GB"/>
              </w:rPr>
            </w:pPr>
            <w:r w:rsidRPr="008C3BF0">
              <w:rPr>
                <w:rFonts w:ascii="Calibri" w:hAnsi="Calibri"/>
                <w:color w:val="000000"/>
                <w:szCs w:val="22"/>
                <w:lang w:eastAsia="en-GB"/>
              </w:rPr>
              <w:t>0.013</w:t>
            </w:r>
          </w:p>
        </w:tc>
        <w:tc>
          <w:tcPr>
            <w:tcW w:w="314" w:type="pct"/>
            <w:tcBorders>
              <w:top w:val="nil"/>
              <w:left w:val="nil"/>
              <w:bottom w:val="single" w:sz="4" w:space="0" w:color="auto"/>
              <w:right w:val="single" w:sz="4" w:space="0" w:color="auto"/>
            </w:tcBorders>
            <w:shd w:val="clear" w:color="auto" w:fill="auto"/>
            <w:noWrap/>
            <w:vAlign w:val="bottom"/>
            <w:hideMark/>
          </w:tcPr>
          <w:p w:rsidR="008C3BF0" w:rsidRPr="008C3BF0" w:rsidRDefault="008C3BF0" w:rsidP="008C3BF0">
            <w:pPr>
              <w:jc w:val="center"/>
              <w:rPr>
                <w:rFonts w:ascii="Calibri" w:hAnsi="Calibri"/>
                <w:color w:val="000000"/>
                <w:szCs w:val="22"/>
                <w:lang w:eastAsia="en-GB"/>
              </w:rPr>
            </w:pPr>
            <w:r w:rsidRPr="008C3BF0">
              <w:rPr>
                <w:rFonts w:ascii="Calibri" w:hAnsi="Calibri"/>
                <w:color w:val="000000"/>
                <w:szCs w:val="22"/>
                <w:lang w:eastAsia="en-GB"/>
              </w:rPr>
              <w:t>0.086</w:t>
            </w:r>
          </w:p>
        </w:tc>
        <w:tc>
          <w:tcPr>
            <w:tcW w:w="395" w:type="pct"/>
            <w:tcBorders>
              <w:top w:val="nil"/>
              <w:left w:val="nil"/>
              <w:bottom w:val="single" w:sz="4" w:space="0" w:color="auto"/>
              <w:right w:val="single" w:sz="4" w:space="0" w:color="auto"/>
            </w:tcBorders>
            <w:shd w:val="clear" w:color="auto" w:fill="auto"/>
            <w:noWrap/>
            <w:vAlign w:val="bottom"/>
            <w:hideMark/>
          </w:tcPr>
          <w:p w:rsidR="008C3BF0" w:rsidRPr="008C3BF0" w:rsidRDefault="008C3BF0" w:rsidP="008C3BF0">
            <w:pPr>
              <w:jc w:val="center"/>
              <w:rPr>
                <w:rFonts w:ascii="Calibri" w:hAnsi="Calibri"/>
                <w:color w:val="000000"/>
                <w:szCs w:val="22"/>
                <w:lang w:eastAsia="en-GB"/>
              </w:rPr>
            </w:pPr>
            <w:r w:rsidRPr="008C3BF0">
              <w:rPr>
                <w:rFonts w:ascii="Calibri" w:hAnsi="Calibri"/>
                <w:color w:val="000000"/>
                <w:szCs w:val="22"/>
                <w:lang w:eastAsia="en-GB"/>
              </w:rPr>
              <w:t>0.005</w:t>
            </w:r>
          </w:p>
        </w:tc>
        <w:tc>
          <w:tcPr>
            <w:tcW w:w="357" w:type="pct"/>
            <w:tcBorders>
              <w:top w:val="nil"/>
              <w:left w:val="nil"/>
              <w:bottom w:val="single" w:sz="4" w:space="0" w:color="auto"/>
              <w:right w:val="single" w:sz="4" w:space="0" w:color="auto"/>
            </w:tcBorders>
            <w:shd w:val="clear" w:color="auto" w:fill="auto"/>
            <w:noWrap/>
            <w:vAlign w:val="bottom"/>
            <w:hideMark/>
          </w:tcPr>
          <w:p w:rsidR="008C3BF0" w:rsidRPr="008C3BF0" w:rsidRDefault="008C3BF0" w:rsidP="008C3BF0">
            <w:pPr>
              <w:jc w:val="center"/>
              <w:rPr>
                <w:rFonts w:ascii="Calibri" w:hAnsi="Calibri"/>
                <w:color w:val="000000"/>
                <w:szCs w:val="22"/>
                <w:lang w:eastAsia="en-GB"/>
              </w:rPr>
            </w:pPr>
            <w:r w:rsidRPr="008C3BF0">
              <w:rPr>
                <w:rFonts w:ascii="Calibri" w:hAnsi="Calibri"/>
                <w:color w:val="000000"/>
                <w:szCs w:val="22"/>
                <w:lang w:eastAsia="en-GB"/>
              </w:rPr>
              <w:t>0.021</w:t>
            </w:r>
          </w:p>
        </w:tc>
        <w:tc>
          <w:tcPr>
            <w:tcW w:w="338" w:type="pct"/>
            <w:tcBorders>
              <w:top w:val="nil"/>
              <w:left w:val="nil"/>
              <w:bottom w:val="single" w:sz="4" w:space="0" w:color="auto"/>
              <w:right w:val="nil"/>
            </w:tcBorders>
            <w:shd w:val="clear" w:color="auto" w:fill="auto"/>
            <w:noWrap/>
            <w:vAlign w:val="bottom"/>
            <w:hideMark/>
          </w:tcPr>
          <w:p w:rsidR="008C3BF0" w:rsidRPr="008C3BF0" w:rsidRDefault="008C3BF0" w:rsidP="008C3BF0">
            <w:pPr>
              <w:jc w:val="center"/>
              <w:rPr>
                <w:rFonts w:cs="Arial"/>
                <w:sz w:val="20"/>
                <w:szCs w:val="20"/>
                <w:lang w:eastAsia="en-GB"/>
              </w:rPr>
            </w:pPr>
            <w:r w:rsidRPr="008C3BF0">
              <w:rPr>
                <w:rFonts w:cs="Arial"/>
                <w:sz w:val="20"/>
                <w:szCs w:val="20"/>
                <w:lang w:eastAsia="en-GB"/>
              </w:rPr>
              <w:t>0.015</w:t>
            </w:r>
          </w:p>
        </w:tc>
        <w:tc>
          <w:tcPr>
            <w:tcW w:w="312" w:type="pct"/>
            <w:tcBorders>
              <w:top w:val="nil"/>
              <w:left w:val="single" w:sz="4" w:space="0" w:color="auto"/>
              <w:bottom w:val="single" w:sz="4" w:space="0" w:color="auto"/>
              <w:right w:val="single" w:sz="4" w:space="0" w:color="auto"/>
            </w:tcBorders>
            <w:shd w:val="clear" w:color="auto" w:fill="auto"/>
            <w:noWrap/>
            <w:vAlign w:val="bottom"/>
            <w:hideMark/>
          </w:tcPr>
          <w:p w:rsidR="008C3BF0" w:rsidRPr="008C3BF0" w:rsidRDefault="008C3BF0" w:rsidP="008C3BF0">
            <w:pPr>
              <w:jc w:val="center"/>
              <w:rPr>
                <w:rFonts w:cs="Arial"/>
                <w:sz w:val="20"/>
                <w:szCs w:val="20"/>
                <w:lang w:eastAsia="en-GB"/>
              </w:rPr>
            </w:pPr>
            <w:r w:rsidRPr="008C3BF0">
              <w:rPr>
                <w:rFonts w:cs="Arial"/>
                <w:sz w:val="20"/>
                <w:szCs w:val="20"/>
                <w:lang w:eastAsia="en-GB"/>
              </w:rPr>
              <w:t>0.039</w:t>
            </w:r>
          </w:p>
        </w:tc>
        <w:tc>
          <w:tcPr>
            <w:tcW w:w="378" w:type="pct"/>
            <w:tcBorders>
              <w:top w:val="nil"/>
              <w:left w:val="nil"/>
              <w:bottom w:val="single" w:sz="4" w:space="0" w:color="auto"/>
              <w:right w:val="nil"/>
            </w:tcBorders>
            <w:shd w:val="clear" w:color="auto" w:fill="auto"/>
            <w:noWrap/>
            <w:vAlign w:val="bottom"/>
            <w:hideMark/>
          </w:tcPr>
          <w:p w:rsidR="008C3BF0" w:rsidRPr="008C3BF0" w:rsidRDefault="008C3BF0" w:rsidP="008C3BF0">
            <w:pPr>
              <w:jc w:val="center"/>
              <w:rPr>
                <w:rFonts w:cs="Arial"/>
                <w:sz w:val="20"/>
                <w:szCs w:val="20"/>
                <w:lang w:eastAsia="en-GB"/>
              </w:rPr>
            </w:pPr>
            <w:r w:rsidRPr="008C3BF0">
              <w:rPr>
                <w:rFonts w:cs="Arial"/>
                <w:sz w:val="20"/>
                <w:szCs w:val="20"/>
                <w:lang w:eastAsia="en-GB"/>
              </w:rPr>
              <w:t>0.024</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rsidR="008C3BF0" w:rsidRPr="008C3BF0" w:rsidRDefault="008C3BF0" w:rsidP="008C3BF0">
            <w:pPr>
              <w:jc w:val="center"/>
              <w:rPr>
                <w:rFonts w:cs="Arial"/>
                <w:sz w:val="20"/>
                <w:szCs w:val="20"/>
                <w:lang w:eastAsia="en-GB"/>
              </w:rPr>
            </w:pPr>
            <w:r w:rsidRPr="008C3BF0">
              <w:rPr>
                <w:rFonts w:cs="Arial"/>
                <w:sz w:val="20"/>
                <w:szCs w:val="20"/>
                <w:lang w:eastAsia="en-GB"/>
              </w:rPr>
              <w:t>0.022</w:t>
            </w:r>
          </w:p>
        </w:tc>
        <w:tc>
          <w:tcPr>
            <w:tcW w:w="406" w:type="pct"/>
            <w:tcBorders>
              <w:top w:val="nil"/>
              <w:left w:val="nil"/>
              <w:bottom w:val="single" w:sz="4" w:space="0" w:color="auto"/>
              <w:right w:val="nil"/>
            </w:tcBorders>
            <w:shd w:val="clear" w:color="auto" w:fill="auto"/>
            <w:noWrap/>
            <w:vAlign w:val="bottom"/>
            <w:hideMark/>
          </w:tcPr>
          <w:p w:rsidR="008C3BF0" w:rsidRPr="008C3BF0" w:rsidRDefault="008C3BF0" w:rsidP="008C3BF0">
            <w:pPr>
              <w:jc w:val="center"/>
              <w:rPr>
                <w:rFonts w:cs="Arial"/>
                <w:sz w:val="20"/>
                <w:szCs w:val="20"/>
                <w:lang w:eastAsia="en-GB"/>
              </w:rPr>
            </w:pPr>
            <w:r w:rsidRPr="008C3BF0">
              <w:rPr>
                <w:rFonts w:cs="Arial"/>
                <w:sz w:val="20"/>
                <w:szCs w:val="20"/>
                <w:lang w:eastAsia="en-GB"/>
              </w:rPr>
              <w:t>0.008</w:t>
            </w:r>
          </w:p>
        </w:tc>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8C3BF0" w:rsidRPr="008C3BF0" w:rsidRDefault="008C3BF0" w:rsidP="008C3BF0">
            <w:pPr>
              <w:jc w:val="center"/>
              <w:rPr>
                <w:rFonts w:cs="Arial"/>
                <w:sz w:val="20"/>
                <w:szCs w:val="20"/>
                <w:lang w:eastAsia="en-GB"/>
              </w:rPr>
            </w:pPr>
            <w:r w:rsidRPr="008C3BF0">
              <w:rPr>
                <w:rFonts w:cs="Arial"/>
                <w:sz w:val="20"/>
                <w:szCs w:val="20"/>
                <w:lang w:eastAsia="en-GB"/>
              </w:rPr>
              <w:t>0.004</w:t>
            </w:r>
          </w:p>
        </w:tc>
      </w:tr>
      <w:tr w:rsidR="008C3BF0" w:rsidRPr="008C3BF0" w:rsidTr="008C3BF0">
        <w:trPr>
          <w:trHeight w:val="300"/>
        </w:trPr>
        <w:tc>
          <w:tcPr>
            <w:tcW w:w="1426" w:type="pct"/>
            <w:tcBorders>
              <w:top w:val="nil"/>
              <w:left w:val="single" w:sz="4" w:space="0" w:color="auto"/>
              <w:bottom w:val="single" w:sz="4" w:space="0" w:color="auto"/>
              <w:right w:val="single" w:sz="4" w:space="0" w:color="auto"/>
            </w:tcBorders>
            <w:shd w:val="clear" w:color="auto" w:fill="auto"/>
            <w:noWrap/>
            <w:vAlign w:val="bottom"/>
            <w:hideMark/>
          </w:tcPr>
          <w:p w:rsidR="008C3BF0" w:rsidRPr="008C3BF0" w:rsidRDefault="008C3BF0" w:rsidP="008C3BF0">
            <w:pPr>
              <w:jc w:val="right"/>
              <w:rPr>
                <w:rFonts w:ascii="Calibri" w:hAnsi="Calibri"/>
                <w:b/>
                <w:bCs/>
                <w:color w:val="000000"/>
                <w:szCs w:val="22"/>
                <w:lang w:eastAsia="en-GB"/>
              </w:rPr>
            </w:pPr>
            <w:r w:rsidRPr="008C3BF0">
              <w:rPr>
                <w:rFonts w:ascii="Calibri" w:hAnsi="Calibri"/>
                <w:b/>
                <w:bCs/>
                <w:color w:val="000000"/>
                <w:szCs w:val="22"/>
                <w:lang w:eastAsia="en-GB"/>
              </w:rPr>
              <w:t>Relative likelihood (white/BME)</w:t>
            </w:r>
          </w:p>
        </w:tc>
        <w:tc>
          <w:tcPr>
            <w:tcW w:w="348" w:type="pct"/>
            <w:tcBorders>
              <w:top w:val="nil"/>
              <w:left w:val="nil"/>
              <w:bottom w:val="single" w:sz="4" w:space="0" w:color="auto"/>
              <w:right w:val="single" w:sz="4" w:space="0" w:color="auto"/>
            </w:tcBorders>
            <w:shd w:val="clear" w:color="000000" w:fill="D9D9D9"/>
            <w:noWrap/>
            <w:vAlign w:val="bottom"/>
            <w:hideMark/>
          </w:tcPr>
          <w:p w:rsidR="008C3BF0" w:rsidRPr="008C3BF0" w:rsidRDefault="008C3BF0" w:rsidP="008C3BF0">
            <w:pPr>
              <w:jc w:val="center"/>
              <w:rPr>
                <w:rFonts w:ascii="Calibri" w:hAnsi="Calibri"/>
                <w:color w:val="000000"/>
                <w:szCs w:val="22"/>
                <w:lang w:eastAsia="en-GB"/>
              </w:rPr>
            </w:pPr>
            <w:r w:rsidRPr="008C3BF0">
              <w:rPr>
                <w:rFonts w:ascii="Calibri" w:hAnsi="Calibri"/>
                <w:color w:val="000000"/>
                <w:szCs w:val="22"/>
                <w:lang w:eastAsia="en-GB"/>
              </w:rPr>
              <w:t> </w:t>
            </w:r>
          </w:p>
        </w:tc>
        <w:tc>
          <w:tcPr>
            <w:tcW w:w="314" w:type="pct"/>
            <w:tcBorders>
              <w:top w:val="nil"/>
              <w:left w:val="nil"/>
              <w:bottom w:val="single" w:sz="4" w:space="0" w:color="auto"/>
              <w:right w:val="single" w:sz="4" w:space="0" w:color="auto"/>
            </w:tcBorders>
            <w:shd w:val="clear" w:color="auto" w:fill="auto"/>
            <w:noWrap/>
            <w:vAlign w:val="bottom"/>
            <w:hideMark/>
          </w:tcPr>
          <w:p w:rsidR="008C3BF0" w:rsidRPr="008C3BF0" w:rsidRDefault="008C3BF0" w:rsidP="008C3BF0">
            <w:pPr>
              <w:jc w:val="center"/>
              <w:rPr>
                <w:rFonts w:ascii="Calibri" w:hAnsi="Calibri"/>
                <w:color w:val="000000"/>
                <w:szCs w:val="22"/>
                <w:lang w:eastAsia="en-GB"/>
              </w:rPr>
            </w:pPr>
            <w:r w:rsidRPr="008C3BF0">
              <w:rPr>
                <w:rFonts w:ascii="Calibri" w:hAnsi="Calibri"/>
                <w:color w:val="000000"/>
                <w:szCs w:val="22"/>
                <w:lang w:eastAsia="en-GB"/>
              </w:rPr>
              <w:t>0.15</w:t>
            </w:r>
          </w:p>
        </w:tc>
        <w:tc>
          <w:tcPr>
            <w:tcW w:w="395" w:type="pct"/>
            <w:tcBorders>
              <w:top w:val="nil"/>
              <w:left w:val="nil"/>
              <w:bottom w:val="single" w:sz="4" w:space="0" w:color="auto"/>
              <w:right w:val="single" w:sz="4" w:space="0" w:color="auto"/>
            </w:tcBorders>
            <w:shd w:val="clear" w:color="000000" w:fill="D9D9D9"/>
            <w:noWrap/>
            <w:vAlign w:val="bottom"/>
            <w:hideMark/>
          </w:tcPr>
          <w:p w:rsidR="008C3BF0" w:rsidRPr="008C3BF0" w:rsidRDefault="008C3BF0" w:rsidP="008C3BF0">
            <w:pPr>
              <w:jc w:val="center"/>
              <w:rPr>
                <w:rFonts w:ascii="Calibri" w:hAnsi="Calibri"/>
                <w:color w:val="000000"/>
                <w:szCs w:val="22"/>
                <w:lang w:eastAsia="en-GB"/>
              </w:rPr>
            </w:pPr>
            <w:r w:rsidRPr="008C3BF0">
              <w:rPr>
                <w:rFonts w:ascii="Calibri" w:hAnsi="Calibri"/>
                <w:color w:val="000000"/>
                <w:szCs w:val="22"/>
                <w:lang w:eastAsia="en-GB"/>
              </w:rPr>
              <w:t> </w:t>
            </w:r>
          </w:p>
        </w:tc>
        <w:tc>
          <w:tcPr>
            <w:tcW w:w="357" w:type="pct"/>
            <w:tcBorders>
              <w:top w:val="nil"/>
              <w:left w:val="nil"/>
              <w:bottom w:val="single" w:sz="4" w:space="0" w:color="auto"/>
              <w:right w:val="single" w:sz="4" w:space="0" w:color="auto"/>
            </w:tcBorders>
            <w:shd w:val="clear" w:color="auto" w:fill="auto"/>
            <w:noWrap/>
            <w:vAlign w:val="bottom"/>
            <w:hideMark/>
          </w:tcPr>
          <w:p w:rsidR="008C3BF0" w:rsidRPr="008C3BF0" w:rsidRDefault="008C3BF0" w:rsidP="008C3BF0">
            <w:pPr>
              <w:jc w:val="center"/>
              <w:rPr>
                <w:rFonts w:ascii="Calibri" w:hAnsi="Calibri"/>
                <w:color w:val="000000"/>
                <w:szCs w:val="22"/>
                <w:lang w:eastAsia="en-GB"/>
              </w:rPr>
            </w:pPr>
            <w:r w:rsidRPr="008C3BF0">
              <w:rPr>
                <w:rFonts w:ascii="Calibri" w:hAnsi="Calibri"/>
                <w:color w:val="000000"/>
                <w:szCs w:val="22"/>
                <w:lang w:eastAsia="en-GB"/>
              </w:rPr>
              <w:t>0.25</w:t>
            </w:r>
          </w:p>
        </w:tc>
        <w:tc>
          <w:tcPr>
            <w:tcW w:w="338" w:type="pct"/>
            <w:tcBorders>
              <w:top w:val="nil"/>
              <w:left w:val="nil"/>
              <w:bottom w:val="single" w:sz="4" w:space="0" w:color="auto"/>
              <w:right w:val="single" w:sz="4" w:space="0" w:color="auto"/>
            </w:tcBorders>
            <w:shd w:val="clear" w:color="000000" w:fill="D9D9D9"/>
            <w:noWrap/>
            <w:vAlign w:val="bottom"/>
            <w:hideMark/>
          </w:tcPr>
          <w:p w:rsidR="008C3BF0" w:rsidRPr="008C3BF0" w:rsidRDefault="008C3BF0" w:rsidP="008C3BF0">
            <w:pPr>
              <w:jc w:val="center"/>
              <w:rPr>
                <w:rFonts w:cs="Arial"/>
                <w:sz w:val="20"/>
                <w:szCs w:val="20"/>
                <w:lang w:eastAsia="en-GB"/>
              </w:rPr>
            </w:pPr>
            <w:r w:rsidRPr="008C3BF0">
              <w:rPr>
                <w:rFonts w:cs="Arial"/>
                <w:sz w:val="20"/>
                <w:szCs w:val="20"/>
                <w:lang w:eastAsia="en-GB"/>
              </w:rPr>
              <w:t> </w:t>
            </w:r>
          </w:p>
        </w:tc>
        <w:tc>
          <w:tcPr>
            <w:tcW w:w="312" w:type="pct"/>
            <w:tcBorders>
              <w:top w:val="nil"/>
              <w:left w:val="nil"/>
              <w:bottom w:val="single" w:sz="4" w:space="0" w:color="auto"/>
              <w:right w:val="single" w:sz="4" w:space="0" w:color="auto"/>
            </w:tcBorders>
            <w:shd w:val="clear" w:color="auto" w:fill="auto"/>
            <w:noWrap/>
            <w:vAlign w:val="bottom"/>
            <w:hideMark/>
          </w:tcPr>
          <w:p w:rsidR="008C3BF0" w:rsidRPr="008C3BF0" w:rsidRDefault="008C3BF0" w:rsidP="008C3BF0">
            <w:pPr>
              <w:jc w:val="center"/>
              <w:rPr>
                <w:rFonts w:cs="Arial"/>
                <w:sz w:val="20"/>
                <w:szCs w:val="20"/>
                <w:lang w:eastAsia="en-GB"/>
              </w:rPr>
            </w:pPr>
            <w:r w:rsidRPr="008C3BF0">
              <w:rPr>
                <w:rFonts w:cs="Arial"/>
                <w:sz w:val="20"/>
                <w:szCs w:val="20"/>
                <w:lang w:eastAsia="en-GB"/>
              </w:rPr>
              <w:t>0.40</w:t>
            </w:r>
          </w:p>
        </w:tc>
        <w:tc>
          <w:tcPr>
            <w:tcW w:w="378" w:type="pct"/>
            <w:tcBorders>
              <w:top w:val="nil"/>
              <w:left w:val="nil"/>
              <w:bottom w:val="single" w:sz="4" w:space="0" w:color="auto"/>
              <w:right w:val="single" w:sz="4" w:space="0" w:color="auto"/>
            </w:tcBorders>
            <w:shd w:val="clear" w:color="000000" w:fill="D9D9D9"/>
            <w:noWrap/>
            <w:vAlign w:val="bottom"/>
            <w:hideMark/>
          </w:tcPr>
          <w:p w:rsidR="008C3BF0" w:rsidRPr="008C3BF0" w:rsidRDefault="008C3BF0" w:rsidP="008C3BF0">
            <w:pPr>
              <w:jc w:val="center"/>
              <w:rPr>
                <w:rFonts w:cs="Arial"/>
                <w:sz w:val="20"/>
                <w:szCs w:val="20"/>
                <w:lang w:eastAsia="en-GB"/>
              </w:rPr>
            </w:pPr>
            <w:r w:rsidRPr="008C3BF0">
              <w:rPr>
                <w:rFonts w:cs="Arial"/>
                <w:sz w:val="20"/>
                <w:szCs w:val="20"/>
                <w:lang w:eastAsia="en-GB"/>
              </w:rPr>
              <w:t> </w:t>
            </w:r>
          </w:p>
        </w:tc>
        <w:tc>
          <w:tcPr>
            <w:tcW w:w="349" w:type="pct"/>
            <w:tcBorders>
              <w:top w:val="nil"/>
              <w:left w:val="nil"/>
              <w:bottom w:val="single" w:sz="4" w:space="0" w:color="auto"/>
              <w:right w:val="single" w:sz="4" w:space="0" w:color="auto"/>
            </w:tcBorders>
            <w:shd w:val="clear" w:color="auto" w:fill="auto"/>
            <w:noWrap/>
            <w:vAlign w:val="bottom"/>
            <w:hideMark/>
          </w:tcPr>
          <w:p w:rsidR="008C3BF0" w:rsidRPr="008C3BF0" w:rsidRDefault="008C3BF0" w:rsidP="008C3BF0">
            <w:pPr>
              <w:jc w:val="center"/>
              <w:rPr>
                <w:rFonts w:cs="Arial"/>
                <w:sz w:val="20"/>
                <w:szCs w:val="20"/>
                <w:lang w:eastAsia="en-GB"/>
              </w:rPr>
            </w:pPr>
            <w:r w:rsidRPr="008C3BF0">
              <w:rPr>
                <w:rFonts w:cs="Arial"/>
                <w:sz w:val="20"/>
                <w:szCs w:val="20"/>
                <w:lang w:eastAsia="en-GB"/>
              </w:rPr>
              <w:t>1.11</w:t>
            </w:r>
          </w:p>
        </w:tc>
        <w:tc>
          <w:tcPr>
            <w:tcW w:w="406" w:type="pct"/>
            <w:tcBorders>
              <w:top w:val="nil"/>
              <w:left w:val="nil"/>
              <w:bottom w:val="single" w:sz="4" w:space="0" w:color="auto"/>
              <w:right w:val="single" w:sz="4" w:space="0" w:color="auto"/>
            </w:tcBorders>
            <w:shd w:val="clear" w:color="000000" w:fill="D9D9D9"/>
            <w:noWrap/>
            <w:vAlign w:val="bottom"/>
            <w:hideMark/>
          </w:tcPr>
          <w:p w:rsidR="008C3BF0" w:rsidRPr="008C3BF0" w:rsidRDefault="008C3BF0" w:rsidP="008C3BF0">
            <w:pPr>
              <w:jc w:val="center"/>
              <w:rPr>
                <w:rFonts w:cs="Arial"/>
                <w:sz w:val="20"/>
                <w:szCs w:val="20"/>
                <w:lang w:eastAsia="en-GB"/>
              </w:rPr>
            </w:pPr>
            <w:r w:rsidRPr="008C3BF0">
              <w:rPr>
                <w:rFonts w:cs="Arial"/>
                <w:sz w:val="20"/>
                <w:szCs w:val="20"/>
                <w:lang w:eastAsia="en-GB"/>
              </w:rPr>
              <w:t> </w:t>
            </w:r>
          </w:p>
        </w:tc>
        <w:tc>
          <w:tcPr>
            <w:tcW w:w="375" w:type="pct"/>
            <w:tcBorders>
              <w:top w:val="nil"/>
              <w:left w:val="nil"/>
              <w:bottom w:val="single" w:sz="4" w:space="0" w:color="auto"/>
              <w:right w:val="single" w:sz="4" w:space="0" w:color="auto"/>
            </w:tcBorders>
            <w:shd w:val="clear" w:color="auto" w:fill="auto"/>
            <w:noWrap/>
            <w:vAlign w:val="bottom"/>
            <w:hideMark/>
          </w:tcPr>
          <w:p w:rsidR="008C3BF0" w:rsidRPr="008C3BF0" w:rsidRDefault="008C3BF0" w:rsidP="008C3BF0">
            <w:pPr>
              <w:jc w:val="center"/>
              <w:rPr>
                <w:rFonts w:cs="Arial"/>
                <w:sz w:val="20"/>
                <w:szCs w:val="20"/>
                <w:lang w:eastAsia="en-GB"/>
              </w:rPr>
            </w:pPr>
            <w:r w:rsidRPr="008C3BF0">
              <w:rPr>
                <w:rFonts w:cs="Arial"/>
                <w:sz w:val="20"/>
                <w:szCs w:val="20"/>
                <w:lang w:eastAsia="en-GB"/>
              </w:rPr>
              <w:t>2.10</w:t>
            </w:r>
          </w:p>
        </w:tc>
      </w:tr>
    </w:tbl>
    <w:p w:rsidR="008C3BF0" w:rsidRDefault="008C3BF0" w:rsidP="008C3BF0">
      <w:pPr>
        <w:pStyle w:val="ListParagraph"/>
        <w:ind w:left="2160"/>
        <w:rPr>
          <w:rFonts w:cs="Arial"/>
          <w:sz w:val="24"/>
        </w:rPr>
      </w:pPr>
    </w:p>
    <w:p w:rsidR="008C3BF0" w:rsidRDefault="008C3BF0" w:rsidP="008C3BF0">
      <w:pPr>
        <w:pStyle w:val="ListParagraph"/>
        <w:numPr>
          <w:ilvl w:val="0"/>
          <w:numId w:val="8"/>
        </w:numPr>
        <w:rPr>
          <w:rFonts w:cs="Arial"/>
          <w:sz w:val="24"/>
        </w:rPr>
      </w:pPr>
      <w:r>
        <w:rPr>
          <w:rFonts w:cs="Arial"/>
          <w:sz w:val="24"/>
        </w:rPr>
        <w:t xml:space="preserve">During the course of WRES reporting we have gone from </w:t>
      </w:r>
      <w:r w:rsidR="00805CF5">
        <w:rPr>
          <w:rFonts w:cs="Arial"/>
          <w:sz w:val="24"/>
        </w:rPr>
        <w:t>BME</w:t>
      </w:r>
      <w:r>
        <w:rPr>
          <w:rFonts w:cs="Arial"/>
          <w:sz w:val="24"/>
        </w:rPr>
        <w:t xml:space="preserve"> members of staff being more likely to access non-mandatory training, to a position roughly of parity in 2016-17, to one now where white staff are more than twice as likely to access non-mandatory training compared to </w:t>
      </w:r>
      <w:r w:rsidR="00805CF5">
        <w:rPr>
          <w:rFonts w:cs="Arial"/>
          <w:sz w:val="24"/>
        </w:rPr>
        <w:t>BME</w:t>
      </w:r>
      <w:r>
        <w:rPr>
          <w:rFonts w:cs="Arial"/>
          <w:sz w:val="24"/>
        </w:rPr>
        <w:t xml:space="preserve"> members of staff.</w:t>
      </w:r>
    </w:p>
    <w:p w:rsidR="00027AD6" w:rsidRDefault="00027AD6" w:rsidP="008C3BF0">
      <w:pPr>
        <w:pStyle w:val="ListParagraph"/>
        <w:numPr>
          <w:ilvl w:val="0"/>
          <w:numId w:val="8"/>
        </w:numPr>
        <w:rPr>
          <w:rFonts w:cs="Arial"/>
          <w:sz w:val="24"/>
        </w:rPr>
      </w:pPr>
      <w:r>
        <w:rPr>
          <w:rFonts w:cs="Arial"/>
          <w:sz w:val="24"/>
        </w:rPr>
        <w:t>Work needs to take place in the next year to understand this shift. It is suggested as a starting point that we make sure that the recording of non-mandatory training and CPD is as accurate as possible, followed an analysis of appraisal outcomes to assess whether there is disparity between the outcomes of requests to access non-mandatory training.</w:t>
      </w:r>
    </w:p>
    <w:p w:rsidR="00027AD6" w:rsidRDefault="00027AD6">
      <w:pPr>
        <w:spacing w:after="200" w:line="276" w:lineRule="auto"/>
        <w:rPr>
          <w:rFonts w:cs="Arial"/>
          <w:sz w:val="24"/>
        </w:rPr>
      </w:pPr>
      <w:r>
        <w:rPr>
          <w:rFonts w:cs="Arial"/>
          <w:sz w:val="24"/>
        </w:rPr>
        <w:br w:type="page"/>
      </w:r>
    </w:p>
    <w:p w:rsidR="008C3BF0" w:rsidRDefault="00027AD6" w:rsidP="000766AA">
      <w:pPr>
        <w:pStyle w:val="ListParagraph"/>
        <w:ind w:left="0"/>
        <w:rPr>
          <w:rFonts w:cs="Arial"/>
          <w:sz w:val="24"/>
        </w:rPr>
      </w:pPr>
      <w:r>
        <w:rPr>
          <w:rFonts w:cs="Arial"/>
          <w:b/>
          <w:sz w:val="24"/>
        </w:rPr>
        <w:lastRenderedPageBreak/>
        <w:t>INDICATORS 5,6,7,8, Staff Survey Metrics</w:t>
      </w:r>
    </w:p>
    <w:p w:rsidR="00027AD6" w:rsidRDefault="00027AD6" w:rsidP="00027AD6">
      <w:pPr>
        <w:pStyle w:val="ListParagraph"/>
        <w:ind w:left="2880"/>
        <w:rPr>
          <w:rFonts w:cs="Arial"/>
          <w:sz w:val="24"/>
        </w:rPr>
      </w:pPr>
    </w:p>
    <w:p w:rsidR="00027AD6" w:rsidRDefault="00027AD6" w:rsidP="00027AD6">
      <w:pPr>
        <w:pStyle w:val="ListParagraph"/>
        <w:ind w:left="2880"/>
        <w:rPr>
          <w:rFonts w:cs="Arial"/>
          <w:sz w:val="24"/>
        </w:rPr>
      </w:pPr>
      <w:r>
        <w:rPr>
          <w:rFonts w:cs="Arial"/>
          <w:noProof/>
          <w:sz w:val="24"/>
          <w:lang w:eastAsia="en-GB"/>
        </w:rPr>
        <w:drawing>
          <wp:inline distT="0" distB="0" distL="0" distR="0" wp14:anchorId="289A6092" wp14:editId="45779A0E">
            <wp:extent cx="6581775" cy="2933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81775" cy="2933700"/>
                    </a:xfrm>
                    <a:prstGeom prst="rect">
                      <a:avLst/>
                    </a:prstGeom>
                    <a:noFill/>
                    <a:ln>
                      <a:noFill/>
                    </a:ln>
                  </pic:spPr>
                </pic:pic>
              </a:graphicData>
            </a:graphic>
          </wp:inline>
        </w:drawing>
      </w:r>
    </w:p>
    <w:p w:rsidR="00027AD6" w:rsidRDefault="00027AD6" w:rsidP="00027AD6">
      <w:pPr>
        <w:pStyle w:val="ListParagraph"/>
        <w:ind w:left="2880"/>
        <w:rPr>
          <w:rFonts w:cs="Arial"/>
          <w:sz w:val="24"/>
        </w:rPr>
      </w:pPr>
    </w:p>
    <w:p w:rsidR="00027AD6" w:rsidRDefault="004402EB" w:rsidP="004402EB">
      <w:pPr>
        <w:pStyle w:val="ListParagraph"/>
        <w:numPr>
          <w:ilvl w:val="0"/>
          <w:numId w:val="8"/>
        </w:numPr>
        <w:rPr>
          <w:rFonts w:cs="Arial"/>
          <w:sz w:val="24"/>
        </w:rPr>
      </w:pPr>
      <w:r>
        <w:rPr>
          <w:rFonts w:cs="Arial"/>
          <w:sz w:val="24"/>
        </w:rPr>
        <w:t>Marginal improvement for KF25 and below average performance</w:t>
      </w:r>
    </w:p>
    <w:p w:rsidR="004402EB" w:rsidRDefault="004402EB" w:rsidP="004402EB">
      <w:pPr>
        <w:pStyle w:val="ListParagraph"/>
        <w:numPr>
          <w:ilvl w:val="0"/>
          <w:numId w:val="8"/>
        </w:numPr>
        <w:rPr>
          <w:rFonts w:cs="Arial"/>
          <w:sz w:val="24"/>
        </w:rPr>
      </w:pPr>
      <w:r>
        <w:rPr>
          <w:rFonts w:cs="Arial"/>
          <w:sz w:val="24"/>
        </w:rPr>
        <w:t>Marginal deterioration for KF26 figures around the average for mental health trusts</w:t>
      </w:r>
    </w:p>
    <w:p w:rsidR="004402EB" w:rsidRDefault="004402EB" w:rsidP="004402EB">
      <w:pPr>
        <w:pStyle w:val="ListParagraph"/>
        <w:numPr>
          <w:ilvl w:val="0"/>
          <w:numId w:val="8"/>
        </w:numPr>
        <w:rPr>
          <w:rFonts w:cs="Arial"/>
          <w:sz w:val="24"/>
        </w:rPr>
      </w:pPr>
      <w:r>
        <w:rPr>
          <w:rFonts w:cs="Arial"/>
          <w:sz w:val="24"/>
        </w:rPr>
        <w:t>Marginal deterioration for KF21, but above national average</w:t>
      </w:r>
    </w:p>
    <w:p w:rsidR="004402EB" w:rsidRDefault="004402EB" w:rsidP="004402EB">
      <w:pPr>
        <w:pStyle w:val="ListParagraph"/>
        <w:numPr>
          <w:ilvl w:val="0"/>
          <w:numId w:val="8"/>
        </w:numPr>
        <w:rPr>
          <w:rFonts w:cs="Arial"/>
          <w:sz w:val="24"/>
        </w:rPr>
      </w:pPr>
      <w:r>
        <w:rPr>
          <w:rFonts w:cs="Arial"/>
          <w:sz w:val="24"/>
        </w:rPr>
        <w:t>Improvement closing the gap for Q17b and results better than national average.</w:t>
      </w:r>
    </w:p>
    <w:p w:rsidR="004402EB" w:rsidRDefault="004402EB" w:rsidP="004402EB">
      <w:pPr>
        <w:pStyle w:val="ListParagraph"/>
        <w:numPr>
          <w:ilvl w:val="0"/>
          <w:numId w:val="8"/>
        </w:numPr>
        <w:rPr>
          <w:rFonts w:cs="Arial"/>
          <w:sz w:val="24"/>
        </w:rPr>
      </w:pPr>
      <w:r>
        <w:rPr>
          <w:rFonts w:cs="Arial"/>
          <w:sz w:val="24"/>
        </w:rPr>
        <w:t xml:space="preserve">A deep dive of these indicators has taken place, whilst this cannot be analysed by ethnicity we will be able to match ‘hotspots’ from the analysis to the staff demographic to develop a picture where the disparity between </w:t>
      </w:r>
      <w:r w:rsidR="00805CF5">
        <w:rPr>
          <w:rFonts w:cs="Arial"/>
          <w:sz w:val="24"/>
        </w:rPr>
        <w:t>BME</w:t>
      </w:r>
      <w:r>
        <w:rPr>
          <w:rFonts w:cs="Arial"/>
          <w:sz w:val="24"/>
        </w:rPr>
        <w:t xml:space="preserve"> and White members of staff is likely to problematic.</w:t>
      </w:r>
    </w:p>
    <w:p w:rsidR="000766AA" w:rsidRDefault="000766AA">
      <w:pPr>
        <w:spacing w:after="200" w:line="276" w:lineRule="auto"/>
        <w:rPr>
          <w:rFonts w:cs="Arial"/>
          <w:sz w:val="24"/>
        </w:rPr>
      </w:pPr>
      <w:r>
        <w:rPr>
          <w:rFonts w:cs="Arial"/>
          <w:sz w:val="24"/>
        </w:rPr>
        <w:br w:type="page"/>
      </w:r>
    </w:p>
    <w:p w:rsidR="000766AA" w:rsidRPr="000766AA" w:rsidRDefault="000766AA" w:rsidP="000766AA">
      <w:pPr>
        <w:pStyle w:val="ListParagraph"/>
        <w:ind w:left="0"/>
        <w:rPr>
          <w:rFonts w:cs="Arial"/>
          <w:b/>
          <w:sz w:val="24"/>
        </w:rPr>
      </w:pPr>
      <w:r w:rsidRPr="000766AA">
        <w:rPr>
          <w:rFonts w:cs="Arial"/>
          <w:b/>
          <w:sz w:val="24"/>
        </w:rPr>
        <w:lastRenderedPageBreak/>
        <w:t>INDICATOR 9:  Voting board members</w:t>
      </w:r>
      <w:r w:rsidRPr="000766AA">
        <w:rPr>
          <w:rFonts w:cs="Arial"/>
          <w:b/>
          <w:sz w:val="24"/>
        </w:rPr>
        <w:tab/>
      </w:r>
    </w:p>
    <w:p w:rsidR="00027AD6" w:rsidRDefault="00027AD6" w:rsidP="00027AD6">
      <w:pPr>
        <w:rPr>
          <w:rFonts w:cs="Arial"/>
          <w:sz w:val="24"/>
        </w:rPr>
      </w:pPr>
    </w:p>
    <w:tbl>
      <w:tblPr>
        <w:tblW w:w="5000" w:type="pct"/>
        <w:tblLook w:val="04A0" w:firstRow="1" w:lastRow="0" w:firstColumn="1" w:lastColumn="0" w:noHBand="0" w:noVBand="1"/>
      </w:tblPr>
      <w:tblGrid>
        <w:gridCol w:w="4227"/>
        <w:gridCol w:w="784"/>
        <w:gridCol w:w="783"/>
        <w:gridCol w:w="784"/>
        <w:gridCol w:w="783"/>
        <w:gridCol w:w="741"/>
        <w:gridCol w:w="741"/>
        <w:gridCol w:w="741"/>
        <w:gridCol w:w="741"/>
        <w:gridCol w:w="760"/>
        <w:gridCol w:w="741"/>
        <w:gridCol w:w="741"/>
        <w:gridCol w:w="760"/>
        <w:gridCol w:w="847"/>
      </w:tblGrid>
      <w:tr w:rsidR="000766AA" w:rsidRPr="000766AA" w:rsidTr="000766AA">
        <w:trPr>
          <w:trHeight w:val="300"/>
        </w:trPr>
        <w:tc>
          <w:tcPr>
            <w:tcW w:w="1204" w:type="pct"/>
            <w:tcBorders>
              <w:top w:val="nil"/>
              <w:left w:val="nil"/>
              <w:bottom w:val="nil"/>
              <w:right w:val="nil"/>
            </w:tcBorders>
            <w:shd w:val="clear" w:color="auto" w:fill="auto"/>
            <w:noWrap/>
            <w:vAlign w:val="bottom"/>
            <w:hideMark/>
          </w:tcPr>
          <w:p w:rsidR="000766AA" w:rsidRPr="000766AA" w:rsidRDefault="000766AA" w:rsidP="000766AA">
            <w:pPr>
              <w:rPr>
                <w:rFonts w:ascii="Calibri" w:hAnsi="Calibri"/>
                <w:b/>
                <w:bCs/>
                <w:color w:val="000000"/>
                <w:szCs w:val="22"/>
                <w:lang w:eastAsia="en-GB"/>
              </w:rPr>
            </w:pPr>
          </w:p>
        </w:tc>
        <w:tc>
          <w:tcPr>
            <w:tcW w:w="559"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766AA" w:rsidRPr="000766AA" w:rsidRDefault="000766AA" w:rsidP="000766AA">
            <w:pPr>
              <w:jc w:val="center"/>
              <w:rPr>
                <w:rFonts w:ascii="Calibri" w:hAnsi="Calibri"/>
                <w:b/>
                <w:bCs/>
                <w:color w:val="000000"/>
                <w:szCs w:val="22"/>
                <w:lang w:eastAsia="en-GB"/>
              </w:rPr>
            </w:pPr>
            <w:r w:rsidRPr="000766AA">
              <w:rPr>
                <w:rFonts w:ascii="Calibri" w:hAnsi="Calibri"/>
                <w:b/>
                <w:bCs/>
                <w:color w:val="000000"/>
                <w:szCs w:val="22"/>
                <w:lang w:eastAsia="en-GB"/>
              </w:rPr>
              <w:t>2013-14 (N=14)</w:t>
            </w:r>
          </w:p>
        </w:tc>
        <w:tc>
          <w:tcPr>
            <w:tcW w:w="634" w:type="pct"/>
            <w:gridSpan w:val="2"/>
            <w:tcBorders>
              <w:top w:val="single" w:sz="4" w:space="0" w:color="auto"/>
              <w:left w:val="nil"/>
              <w:bottom w:val="single" w:sz="4" w:space="0" w:color="auto"/>
              <w:right w:val="single" w:sz="4" w:space="0" w:color="000000"/>
            </w:tcBorders>
            <w:shd w:val="clear" w:color="auto" w:fill="auto"/>
            <w:noWrap/>
            <w:vAlign w:val="bottom"/>
            <w:hideMark/>
          </w:tcPr>
          <w:p w:rsidR="000766AA" w:rsidRPr="000766AA" w:rsidRDefault="000766AA" w:rsidP="000766AA">
            <w:pPr>
              <w:jc w:val="center"/>
              <w:rPr>
                <w:rFonts w:ascii="Calibri" w:hAnsi="Calibri"/>
                <w:b/>
                <w:bCs/>
                <w:color w:val="000000"/>
                <w:szCs w:val="22"/>
                <w:lang w:eastAsia="en-GB"/>
              </w:rPr>
            </w:pPr>
            <w:r w:rsidRPr="000766AA">
              <w:rPr>
                <w:rFonts w:ascii="Calibri" w:hAnsi="Calibri"/>
                <w:b/>
                <w:bCs/>
                <w:color w:val="000000"/>
                <w:szCs w:val="22"/>
                <w:lang w:eastAsia="en-GB"/>
              </w:rPr>
              <w:t>2014-15 (N=14)</w:t>
            </w:r>
          </w:p>
        </w:tc>
        <w:tc>
          <w:tcPr>
            <w:tcW w:w="864" w:type="pct"/>
            <w:gridSpan w:val="3"/>
            <w:tcBorders>
              <w:top w:val="single" w:sz="4" w:space="0" w:color="auto"/>
              <w:left w:val="nil"/>
              <w:bottom w:val="single" w:sz="4" w:space="0" w:color="auto"/>
              <w:right w:val="single" w:sz="4" w:space="0" w:color="000000"/>
            </w:tcBorders>
            <w:shd w:val="clear" w:color="auto" w:fill="auto"/>
            <w:noWrap/>
            <w:vAlign w:val="bottom"/>
            <w:hideMark/>
          </w:tcPr>
          <w:p w:rsidR="000766AA" w:rsidRPr="000766AA" w:rsidRDefault="000766AA" w:rsidP="000766AA">
            <w:pPr>
              <w:jc w:val="center"/>
              <w:rPr>
                <w:rFonts w:ascii="Calibri" w:hAnsi="Calibri"/>
                <w:b/>
                <w:bCs/>
                <w:color w:val="000000"/>
                <w:szCs w:val="22"/>
                <w:lang w:eastAsia="en-GB"/>
              </w:rPr>
            </w:pPr>
            <w:r w:rsidRPr="000766AA">
              <w:rPr>
                <w:rFonts w:ascii="Calibri" w:hAnsi="Calibri"/>
                <w:b/>
                <w:bCs/>
                <w:color w:val="000000"/>
                <w:szCs w:val="22"/>
                <w:lang w:eastAsia="en-GB"/>
              </w:rPr>
              <w:t>2015-16</w:t>
            </w:r>
          </w:p>
        </w:tc>
        <w:tc>
          <w:tcPr>
            <w:tcW w:w="959" w:type="pct"/>
            <w:gridSpan w:val="3"/>
            <w:tcBorders>
              <w:top w:val="single" w:sz="4" w:space="0" w:color="auto"/>
              <w:left w:val="nil"/>
              <w:bottom w:val="single" w:sz="4" w:space="0" w:color="auto"/>
              <w:right w:val="single" w:sz="4" w:space="0" w:color="000000"/>
            </w:tcBorders>
            <w:shd w:val="clear" w:color="auto" w:fill="auto"/>
            <w:noWrap/>
            <w:vAlign w:val="bottom"/>
            <w:hideMark/>
          </w:tcPr>
          <w:p w:rsidR="000766AA" w:rsidRPr="000766AA" w:rsidRDefault="000766AA" w:rsidP="000766AA">
            <w:pPr>
              <w:jc w:val="center"/>
              <w:rPr>
                <w:rFonts w:ascii="Calibri" w:hAnsi="Calibri"/>
                <w:b/>
                <w:bCs/>
                <w:color w:val="000000"/>
                <w:szCs w:val="22"/>
                <w:lang w:eastAsia="en-GB"/>
              </w:rPr>
            </w:pPr>
            <w:r w:rsidRPr="000766AA">
              <w:rPr>
                <w:rFonts w:ascii="Calibri" w:hAnsi="Calibri"/>
                <w:b/>
                <w:bCs/>
                <w:color w:val="000000"/>
                <w:szCs w:val="22"/>
                <w:lang w:eastAsia="en-GB"/>
              </w:rPr>
              <w:t>2016-17</w:t>
            </w:r>
          </w:p>
        </w:tc>
        <w:tc>
          <w:tcPr>
            <w:tcW w:w="779" w:type="pct"/>
            <w:gridSpan w:val="3"/>
            <w:tcBorders>
              <w:top w:val="single" w:sz="4" w:space="0" w:color="auto"/>
              <w:left w:val="nil"/>
              <w:bottom w:val="single" w:sz="4" w:space="0" w:color="auto"/>
              <w:right w:val="single" w:sz="4" w:space="0" w:color="000000"/>
            </w:tcBorders>
            <w:shd w:val="clear" w:color="auto" w:fill="auto"/>
            <w:noWrap/>
            <w:vAlign w:val="bottom"/>
            <w:hideMark/>
          </w:tcPr>
          <w:p w:rsidR="000766AA" w:rsidRPr="000766AA" w:rsidRDefault="000766AA" w:rsidP="000766AA">
            <w:pPr>
              <w:jc w:val="center"/>
              <w:rPr>
                <w:rFonts w:ascii="Calibri" w:hAnsi="Calibri"/>
                <w:b/>
                <w:bCs/>
                <w:color w:val="000000"/>
                <w:szCs w:val="22"/>
                <w:lang w:eastAsia="en-GB"/>
              </w:rPr>
            </w:pPr>
            <w:r w:rsidRPr="000766AA">
              <w:rPr>
                <w:rFonts w:ascii="Calibri" w:hAnsi="Calibri"/>
                <w:b/>
                <w:bCs/>
                <w:color w:val="000000"/>
                <w:szCs w:val="22"/>
                <w:lang w:eastAsia="en-GB"/>
              </w:rPr>
              <w:t>2017-18</w:t>
            </w:r>
          </w:p>
        </w:tc>
      </w:tr>
      <w:tr w:rsidR="000766AA" w:rsidRPr="000766AA" w:rsidTr="000766AA">
        <w:trPr>
          <w:trHeight w:val="300"/>
        </w:trPr>
        <w:tc>
          <w:tcPr>
            <w:tcW w:w="12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66AA" w:rsidRPr="000766AA" w:rsidRDefault="000766AA" w:rsidP="000766AA">
            <w:pPr>
              <w:rPr>
                <w:rFonts w:ascii="Calibri" w:hAnsi="Calibri"/>
                <w:b/>
                <w:bCs/>
                <w:color w:val="000000"/>
                <w:szCs w:val="22"/>
                <w:lang w:eastAsia="en-GB"/>
              </w:rPr>
            </w:pPr>
            <w:r w:rsidRPr="000766AA">
              <w:rPr>
                <w:rFonts w:ascii="Calibri" w:hAnsi="Calibri"/>
                <w:b/>
                <w:bCs/>
                <w:color w:val="000000"/>
                <w:szCs w:val="22"/>
                <w:lang w:eastAsia="en-GB"/>
              </w:rPr>
              <w:t> </w:t>
            </w:r>
          </w:p>
        </w:tc>
        <w:tc>
          <w:tcPr>
            <w:tcW w:w="280"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b/>
                <w:bCs/>
                <w:color w:val="000000"/>
                <w:szCs w:val="22"/>
                <w:lang w:eastAsia="en-GB"/>
              </w:rPr>
            </w:pPr>
            <w:r w:rsidRPr="000766AA">
              <w:rPr>
                <w:rFonts w:ascii="Calibri" w:hAnsi="Calibri"/>
                <w:b/>
                <w:bCs/>
                <w:color w:val="000000"/>
                <w:szCs w:val="22"/>
                <w:lang w:eastAsia="en-GB"/>
              </w:rPr>
              <w:t>Board</w:t>
            </w:r>
          </w:p>
        </w:tc>
        <w:tc>
          <w:tcPr>
            <w:tcW w:w="280"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b/>
                <w:bCs/>
                <w:color w:val="000000"/>
                <w:szCs w:val="22"/>
                <w:lang w:eastAsia="en-GB"/>
              </w:rPr>
            </w:pPr>
            <w:r w:rsidRPr="000766AA">
              <w:rPr>
                <w:rFonts w:ascii="Calibri" w:hAnsi="Calibri"/>
                <w:b/>
                <w:bCs/>
                <w:color w:val="000000"/>
                <w:szCs w:val="22"/>
                <w:lang w:eastAsia="en-GB"/>
              </w:rPr>
              <w:t>Trust</w:t>
            </w:r>
          </w:p>
        </w:tc>
        <w:tc>
          <w:tcPr>
            <w:tcW w:w="317"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b/>
                <w:bCs/>
                <w:color w:val="000000"/>
                <w:szCs w:val="22"/>
                <w:lang w:eastAsia="en-GB"/>
              </w:rPr>
            </w:pPr>
            <w:r w:rsidRPr="000766AA">
              <w:rPr>
                <w:rFonts w:ascii="Calibri" w:hAnsi="Calibri"/>
                <w:b/>
                <w:bCs/>
                <w:color w:val="000000"/>
                <w:szCs w:val="22"/>
                <w:lang w:eastAsia="en-GB"/>
              </w:rPr>
              <w:t>Board</w:t>
            </w:r>
          </w:p>
        </w:tc>
        <w:tc>
          <w:tcPr>
            <w:tcW w:w="317"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b/>
                <w:bCs/>
                <w:color w:val="000000"/>
                <w:szCs w:val="22"/>
                <w:lang w:eastAsia="en-GB"/>
              </w:rPr>
            </w:pPr>
            <w:r w:rsidRPr="000766AA">
              <w:rPr>
                <w:rFonts w:ascii="Calibri" w:hAnsi="Calibri"/>
                <w:b/>
                <w:bCs/>
                <w:color w:val="000000"/>
                <w:szCs w:val="22"/>
                <w:lang w:eastAsia="en-GB"/>
              </w:rPr>
              <w:t>Trust</w:t>
            </w:r>
          </w:p>
        </w:tc>
        <w:tc>
          <w:tcPr>
            <w:tcW w:w="288"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b/>
                <w:bCs/>
                <w:color w:val="000000"/>
                <w:szCs w:val="22"/>
                <w:lang w:eastAsia="en-GB"/>
              </w:rPr>
            </w:pPr>
            <w:r w:rsidRPr="000766AA">
              <w:rPr>
                <w:rFonts w:ascii="Calibri" w:hAnsi="Calibri"/>
                <w:b/>
                <w:bCs/>
                <w:color w:val="000000"/>
                <w:szCs w:val="22"/>
                <w:lang w:eastAsia="en-GB"/>
              </w:rPr>
              <w:t>Count</w:t>
            </w:r>
          </w:p>
        </w:tc>
        <w:tc>
          <w:tcPr>
            <w:tcW w:w="288"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b/>
                <w:bCs/>
                <w:color w:val="000000"/>
                <w:szCs w:val="22"/>
                <w:lang w:eastAsia="en-GB"/>
              </w:rPr>
            </w:pPr>
            <w:r w:rsidRPr="000766AA">
              <w:rPr>
                <w:rFonts w:ascii="Calibri" w:hAnsi="Calibri"/>
                <w:b/>
                <w:bCs/>
                <w:color w:val="000000"/>
                <w:szCs w:val="22"/>
                <w:lang w:eastAsia="en-GB"/>
              </w:rPr>
              <w:t>Board</w:t>
            </w:r>
          </w:p>
        </w:tc>
        <w:tc>
          <w:tcPr>
            <w:tcW w:w="288"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b/>
                <w:bCs/>
                <w:color w:val="000000"/>
                <w:szCs w:val="22"/>
                <w:lang w:eastAsia="en-GB"/>
              </w:rPr>
            </w:pPr>
            <w:r w:rsidRPr="000766AA">
              <w:rPr>
                <w:rFonts w:ascii="Calibri" w:hAnsi="Calibri"/>
                <w:b/>
                <w:bCs/>
                <w:color w:val="000000"/>
                <w:szCs w:val="22"/>
                <w:lang w:eastAsia="en-GB"/>
              </w:rPr>
              <w:t>Trust</w:t>
            </w:r>
          </w:p>
        </w:tc>
        <w:tc>
          <w:tcPr>
            <w:tcW w:w="316"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b/>
                <w:bCs/>
                <w:color w:val="000000"/>
                <w:szCs w:val="22"/>
                <w:lang w:eastAsia="en-GB"/>
              </w:rPr>
            </w:pPr>
            <w:r w:rsidRPr="000766AA">
              <w:rPr>
                <w:rFonts w:ascii="Calibri" w:hAnsi="Calibri"/>
                <w:b/>
                <w:bCs/>
                <w:color w:val="000000"/>
                <w:szCs w:val="22"/>
                <w:lang w:eastAsia="en-GB"/>
              </w:rPr>
              <w:t>Count</w:t>
            </w:r>
          </w:p>
        </w:tc>
        <w:tc>
          <w:tcPr>
            <w:tcW w:w="327"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b/>
                <w:bCs/>
                <w:color w:val="000000"/>
                <w:szCs w:val="22"/>
                <w:lang w:eastAsia="en-GB"/>
              </w:rPr>
            </w:pPr>
            <w:r w:rsidRPr="000766AA">
              <w:rPr>
                <w:rFonts w:ascii="Calibri" w:hAnsi="Calibri"/>
                <w:b/>
                <w:bCs/>
                <w:color w:val="000000"/>
                <w:szCs w:val="22"/>
                <w:lang w:eastAsia="en-GB"/>
              </w:rPr>
              <w:t>Board</w:t>
            </w:r>
          </w:p>
        </w:tc>
        <w:tc>
          <w:tcPr>
            <w:tcW w:w="316"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b/>
                <w:bCs/>
                <w:color w:val="000000"/>
                <w:szCs w:val="22"/>
                <w:lang w:eastAsia="en-GB"/>
              </w:rPr>
            </w:pPr>
            <w:r w:rsidRPr="000766AA">
              <w:rPr>
                <w:rFonts w:ascii="Calibri" w:hAnsi="Calibri"/>
                <w:b/>
                <w:bCs/>
                <w:color w:val="000000"/>
                <w:szCs w:val="22"/>
                <w:lang w:eastAsia="en-GB"/>
              </w:rPr>
              <w:t>Trust</w:t>
            </w:r>
          </w:p>
        </w:tc>
        <w:tc>
          <w:tcPr>
            <w:tcW w:w="242"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b/>
                <w:bCs/>
                <w:color w:val="000000"/>
                <w:szCs w:val="22"/>
                <w:lang w:eastAsia="en-GB"/>
              </w:rPr>
            </w:pPr>
            <w:r w:rsidRPr="000766AA">
              <w:rPr>
                <w:rFonts w:ascii="Calibri" w:hAnsi="Calibri"/>
                <w:b/>
                <w:bCs/>
                <w:color w:val="000000"/>
                <w:szCs w:val="22"/>
                <w:lang w:eastAsia="en-GB"/>
              </w:rPr>
              <w:t>Count</w:t>
            </w:r>
          </w:p>
        </w:tc>
        <w:tc>
          <w:tcPr>
            <w:tcW w:w="250"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b/>
                <w:bCs/>
                <w:color w:val="000000"/>
                <w:szCs w:val="22"/>
                <w:lang w:eastAsia="en-GB"/>
              </w:rPr>
            </w:pPr>
            <w:r w:rsidRPr="000766AA">
              <w:rPr>
                <w:rFonts w:ascii="Calibri" w:hAnsi="Calibri"/>
                <w:b/>
                <w:bCs/>
                <w:color w:val="000000"/>
                <w:szCs w:val="22"/>
                <w:lang w:eastAsia="en-GB"/>
              </w:rPr>
              <w:t>Board</w:t>
            </w:r>
          </w:p>
        </w:tc>
        <w:tc>
          <w:tcPr>
            <w:tcW w:w="288"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b/>
                <w:bCs/>
                <w:color w:val="000000"/>
                <w:szCs w:val="22"/>
                <w:lang w:eastAsia="en-GB"/>
              </w:rPr>
            </w:pPr>
            <w:r w:rsidRPr="000766AA">
              <w:rPr>
                <w:rFonts w:ascii="Calibri" w:hAnsi="Calibri"/>
                <w:b/>
                <w:bCs/>
                <w:color w:val="000000"/>
                <w:szCs w:val="22"/>
                <w:lang w:eastAsia="en-GB"/>
              </w:rPr>
              <w:t>Trust</w:t>
            </w:r>
          </w:p>
        </w:tc>
      </w:tr>
      <w:tr w:rsidR="000766AA" w:rsidRPr="000766AA" w:rsidTr="000766AA">
        <w:trPr>
          <w:trHeight w:val="300"/>
        </w:trPr>
        <w:tc>
          <w:tcPr>
            <w:tcW w:w="1204" w:type="pct"/>
            <w:tcBorders>
              <w:top w:val="nil"/>
              <w:left w:val="single" w:sz="4" w:space="0" w:color="auto"/>
              <w:bottom w:val="single" w:sz="4" w:space="0" w:color="auto"/>
              <w:right w:val="single" w:sz="4" w:space="0" w:color="auto"/>
            </w:tcBorders>
            <w:shd w:val="clear" w:color="auto" w:fill="auto"/>
            <w:noWrap/>
            <w:vAlign w:val="bottom"/>
            <w:hideMark/>
          </w:tcPr>
          <w:p w:rsidR="000766AA" w:rsidRPr="000766AA" w:rsidRDefault="000766AA" w:rsidP="000766AA">
            <w:pPr>
              <w:rPr>
                <w:rFonts w:ascii="Calibri" w:hAnsi="Calibri"/>
                <w:color w:val="000000"/>
                <w:szCs w:val="22"/>
                <w:lang w:eastAsia="en-GB"/>
              </w:rPr>
            </w:pPr>
            <w:r w:rsidRPr="000766AA">
              <w:rPr>
                <w:rFonts w:ascii="Calibri" w:hAnsi="Calibri"/>
                <w:color w:val="000000"/>
                <w:szCs w:val="22"/>
                <w:lang w:eastAsia="en-GB"/>
              </w:rPr>
              <w:t>BME</w:t>
            </w:r>
          </w:p>
        </w:tc>
        <w:tc>
          <w:tcPr>
            <w:tcW w:w="280"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0.0%</w:t>
            </w:r>
          </w:p>
        </w:tc>
        <w:tc>
          <w:tcPr>
            <w:tcW w:w="280"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2.7%</w:t>
            </w:r>
          </w:p>
        </w:tc>
        <w:tc>
          <w:tcPr>
            <w:tcW w:w="317"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0.0%</w:t>
            </w:r>
          </w:p>
        </w:tc>
        <w:tc>
          <w:tcPr>
            <w:tcW w:w="317"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3.0%</w:t>
            </w:r>
          </w:p>
        </w:tc>
        <w:tc>
          <w:tcPr>
            <w:tcW w:w="288"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1</w:t>
            </w:r>
          </w:p>
        </w:tc>
        <w:tc>
          <w:tcPr>
            <w:tcW w:w="288"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7.1%</w:t>
            </w:r>
          </w:p>
        </w:tc>
        <w:tc>
          <w:tcPr>
            <w:tcW w:w="288"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3.1%</w:t>
            </w:r>
          </w:p>
        </w:tc>
        <w:tc>
          <w:tcPr>
            <w:tcW w:w="316"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1</w:t>
            </w:r>
          </w:p>
        </w:tc>
        <w:tc>
          <w:tcPr>
            <w:tcW w:w="327" w:type="pct"/>
            <w:tcBorders>
              <w:top w:val="nil"/>
              <w:left w:val="nil"/>
              <w:bottom w:val="single" w:sz="4" w:space="0" w:color="auto"/>
              <w:right w:val="single" w:sz="4" w:space="0" w:color="auto"/>
            </w:tcBorders>
            <w:shd w:val="clear" w:color="000000" w:fill="FFFFFF"/>
            <w:noWrap/>
            <w:vAlign w:val="bottom"/>
            <w:hideMark/>
          </w:tcPr>
          <w:p w:rsidR="000766AA" w:rsidRPr="000766AA" w:rsidRDefault="000766AA" w:rsidP="000766AA">
            <w:pPr>
              <w:jc w:val="center"/>
              <w:rPr>
                <w:rFonts w:cs="Arial"/>
                <w:sz w:val="20"/>
                <w:szCs w:val="20"/>
                <w:lang w:eastAsia="en-GB"/>
              </w:rPr>
            </w:pPr>
            <w:r w:rsidRPr="000766AA">
              <w:rPr>
                <w:rFonts w:cs="Arial"/>
                <w:sz w:val="20"/>
                <w:szCs w:val="20"/>
                <w:lang w:eastAsia="en-GB"/>
              </w:rPr>
              <w:t>6.</w:t>
            </w:r>
            <w:r>
              <w:rPr>
                <w:rFonts w:cs="Arial"/>
                <w:sz w:val="20"/>
                <w:szCs w:val="20"/>
                <w:lang w:eastAsia="en-GB"/>
              </w:rPr>
              <w:t>3</w:t>
            </w:r>
            <w:r w:rsidRPr="000766AA">
              <w:rPr>
                <w:rFonts w:cs="Arial"/>
                <w:sz w:val="20"/>
                <w:szCs w:val="20"/>
                <w:lang w:eastAsia="en-GB"/>
              </w:rPr>
              <w:t>%</w:t>
            </w:r>
          </w:p>
        </w:tc>
        <w:tc>
          <w:tcPr>
            <w:tcW w:w="316"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D8078F">
            <w:pPr>
              <w:jc w:val="center"/>
              <w:rPr>
                <w:rFonts w:ascii="Calibri" w:hAnsi="Calibri"/>
                <w:szCs w:val="22"/>
                <w:lang w:eastAsia="en-GB"/>
              </w:rPr>
            </w:pPr>
            <w:r w:rsidRPr="000766AA">
              <w:rPr>
                <w:rFonts w:ascii="Calibri" w:hAnsi="Calibri"/>
                <w:szCs w:val="22"/>
                <w:lang w:eastAsia="en-GB"/>
              </w:rPr>
              <w:t>3.</w:t>
            </w:r>
            <w:r w:rsidR="00D8078F">
              <w:rPr>
                <w:rFonts w:ascii="Calibri" w:hAnsi="Calibri"/>
                <w:szCs w:val="22"/>
                <w:lang w:eastAsia="en-GB"/>
              </w:rPr>
              <w:t>3</w:t>
            </w:r>
            <w:r w:rsidRPr="000766AA">
              <w:rPr>
                <w:rFonts w:ascii="Calibri" w:hAnsi="Calibri"/>
                <w:szCs w:val="22"/>
                <w:lang w:eastAsia="en-GB"/>
              </w:rPr>
              <w:t>%</w:t>
            </w:r>
          </w:p>
        </w:tc>
        <w:tc>
          <w:tcPr>
            <w:tcW w:w="242"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1</w:t>
            </w:r>
          </w:p>
        </w:tc>
        <w:tc>
          <w:tcPr>
            <w:tcW w:w="250" w:type="pct"/>
            <w:tcBorders>
              <w:top w:val="nil"/>
              <w:left w:val="nil"/>
              <w:bottom w:val="single" w:sz="4" w:space="0" w:color="auto"/>
              <w:right w:val="single" w:sz="4" w:space="0" w:color="auto"/>
            </w:tcBorders>
            <w:shd w:val="clear" w:color="000000" w:fill="FFFFFF"/>
            <w:noWrap/>
            <w:vAlign w:val="bottom"/>
            <w:hideMark/>
          </w:tcPr>
          <w:p w:rsidR="000766AA" w:rsidRPr="000766AA" w:rsidRDefault="000766AA" w:rsidP="000766AA">
            <w:pPr>
              <w:jc w:val="center"/>
              <w:rPr>
                <w:rFonts w:cs="Arial"/>
                <w:sz w:val="20"/>
                <w:szCs w:val="20"/>
                <w:lang w:eastAsia="en-GB"/>
              </w:rPr>
            </w:pPr>
            <w:r w:rsidRPr="000766AA">
              <w:rPr>
                <w:rFonts w:cs="Arial"/>
                <w:sz w:val="20"/>
                <w:szCs w:val="20"/>
                <w:lang w:eastAsia="en-GB"/>
              </w:rPr>
              <w:t>6.3%</w:t>
            </w:r>
          </w:p>
        </w:tc>
        <w:tc>
          <w:tcPr>
            <w:tcW w:w="288"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szCs w:val="22"/>
                <w:lang w:eastAsia="en-GB"/>
              </w:rPr>
            </w:pPr>
            <w:r w:rsidRPr="000766AA">
              <w:rPr>
                <w:rFonts w:ascii="Calibri" w:hAnsi="Calibri"/>
                <w:szCs w:val="22"/>
                <w:lang w:eastAsia="en-GB"/>
              </w:rPr>
              <w:t>3.89%</w:t>
            </w:r>
          </w:p>
        </w:tc>
      </w:tr>
      <w:tr w:rsidR="000766AA" w:rsidRPr="000766AA" w:rsidTr="000766AA">
        <w:trPr>
          <w:trHeight w:val="300"/>
        </w:trPr>
        <w:tc>
          <w:tcPr>
            <w:tcW w:w="1204" w:type="pct"/>
            <w:tcBorders>
              <w:top w:val="nil"/>
              <w:left w:val="single" w:sz="4" w:space="0" w:color="auto"/>
              <w:bottom w:val="single" w:sz="4" w:space="0" w:color="auto"/>
              <w:right w:val="single" w:sz="4" w:space="0" w:color="auto"/>
            </w:tcBorders>
            <w:shd w:val="clear" w:color="auto" w:fill="auto"/>
            <w:noWrap/>
            <w:vAlign w:val="bottom"/>
            <w:hideMark/>
          </w:tcPr>
          <w:p w:rsidR="000766AA" w:rsidRPr="000766AA" w:rsidRDefault="000766AA" w:rsidP="000766AA">
            <w:pPr>
              <w:rPr>
                <w:rFonts w:ascii="Calibri" w:hAnsi="Calibri"/>
                <w:color w:val="000000"/>
                <w:szCs w:val="22"/>
                <w:lang w:eastAsia="en-GB"/>
              </w:rPr>
            </w:pPr>
            <w:r w:rsidRPr="000766AA">
              <w:rPr>
                <w:rFonts w:ascii="Calibri" w:hAnsi="Calibri"/>
                <w:color w:val="000000"/>
                <w:szCs w:val="22"/>
                <w:lang w:eastAsia="en-GB"/>
              </w:rPr>
              <w:t>WHITE</w:t>
            </w:r>
          </w:p>
        </w:tc>
        <w:tc>
          <w:tcPr>
            <w:tcW w:w="280"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54.5%</w:t>
            </w:r>
          </w:p>
        </w:tc>
        <w:tc>
          <w:tcPr>
            <w:tcW w:w="280"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84.4%</w:t>
            </w:r>
          </w:p>
        </w:tc>
        <w:tc>
          <w:tcPr>
            <w:tcW w:w="317"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50.0%</w:t>
            </w:r>
          </w:p>
        </w:tc>
        <w:tc>
          <w:tcPr>
            <w:tcW w:w="317"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83.6%</w:t>
            </w:r>
          </w:p>
        </w:tc>
        <w:tc>
          <w:tcPr>
            <w:tcW w:w="288"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8</w:t>
            </w:r>
          </w:p>
        </w:tc>
        <w:tc>
          <w:tcPr>
            <w:tcW w:w="288"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35.7%</w:t>
            </w:r>
          </w:p>
        </w:tc>
        <w:tc>
          <w:tcPr>
            <w:tcW w:w="288"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84.5%</w:t>
            </w:r>
          </w:p>
        </w:tc>
        <w:tc>
          <w:tcPr>
            <w:tcW w:w="316"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Pr>
                <w:rFonts w:ascii="Calibri" w:hAnsi="Calibri"/>
                <w:color w:val="000000"/>
                <w:szCs w:val="22"/>
                <w:lang w:eastAsia="en-GB"/>
              </w:rPr>
              <w:t>14</w:t>
            </w:r>
          </w:p>
        </w:tc>
        <w:tc>
          <w:tcPr>
            <w:tcW w:w="327" w:type="pct"/>
            <w:tcBorders>
              <w:top w:val="nil"/>
              <w:left w:val="nil"/>
              <w:bottom w:val="single" w:sz="4" w:space="0" w:color="auto"/>
              <w:right w:val="single" w:sz="4" w:space="0" w:color="auto"/>
            </w:tcBorders>
            <w:shd w:val="clear" w:color="auto" w:fill="auto"/>
            <w:noWrap/>
            <w:vAlign w:val="bottom"/>
            <w:hideMark/>
          </w:tcPr>
          <w:p w:rsidR="000766AA" w:rsidRPr="000766AA" w:rsidRDefault="00D8078F" w:rsidP="00D8078F">
            <w:pPr>
              <w:jc w:val="center"/>
              <w:rPr>
                <w:rFonts w:cs="Arial"/>
                <w:sz w:val="20"/>
                <w:szCs w:val="20"/>
                <w:lang w:eastAsia="en-GB"/>
              </w:rPr>
            </w:pPr>
            <w:r>
              <w:rPr>
                <w:rFonts w:cs="Arial"/>
                <w:sz w:val="20"/>
                <w:szCs w:val="20"/>
                <w:lang w:eastAsia="en-GB"/>
              </w:rPr>
              <w:t>87</w:t>
            </w:r>
            <w:r w:rsidR="000766AA" w:rsidRPr="000766AA">
              <w:rPr>
                <w:rFonts w:cs="Arial"/>
                <w:sz w:val="20"/>
                <w:szCs w:val="20"/>
                <w:lang w:eastAsia="en-GB"/>
              </w:rPr>
              <w:t>.</w:t>
            </w:r>
            <w:r>
              <w:rPr>
                <w:rFonts w:cs="Arial"/>
                <w:sz w:val="20"/>
                <w:szCs w:val="20"/>
                <w:lang w:eastAsia="en-GB"/>
              </w:rPr>
              <w:t>5</w:t>
            </w:r>
            <w:r w:rsidR="000766AA" w:rsidRPr="000766AA">
              <w:rPr>
                <w:rFonts w:cs="Arial"/>
                <w:sz w:val="20"/>
                <w:szCs w:val="20"/>
                <w:lang w:eastAsia="en-GB"/>
              </w:rPr>
              <w:t>%</w:t>
            </w:r>
          </w:p>
        </w:tc>
        <w:tc>
          <w:tcPr>
            <w:tcW w:w="316"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szCs w:val="22"/>
                <w:lang w:eastAsia="en-GB"/>
              </w:rPr>
            </w:pPr>
            <w:r w:rsidRPr="000766AA">
              <w:rPr>
                <w:rFonts w:ascii="Calibri" w:hAnsi="Calibri"/>
                <w:szCs w:val="22"/>
                <w:lang w:eastAsia="en-GB"/>
              </w:rPr>
              <w:t>84.6%</w:t>
            </w:r>
          </w:p>
        </w:tc>
        <w:tc>
          <w:tcPr>
            <w:tcW w:w="242"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14</w:t>
            </w:r>
          </w:p>
        </w:tc>
        <w:tc>
          <w:tcPr>
            <w:tcW w:w="250"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cs="Arial"/>
                <w:sz w:val="20"/>
                <w:szCs w:val="20"/>
                <w:lang w:eastAsia="en-GB"/>
              </w:rPr>
            </w:pPr>
            <w:r w:rsidRPr="000766AA">
              <w:rPr>
                <w:rFonts w:cs="Arial"/>
                <w:sz w:val="20"/>
                <w:szCs w:val="20"/>
                <w:lang w:eastAsia="en-GB"/>
              </w:rPr>
              <w:t>87.5%</w:t>
            </w:r>
          </w:p>
        </w:tc>
        <w:tc>
          <w:tcPr>
            <w:tcW w:w="288"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szCs w:val="22"/>
                <w:lang w:eastAsia="en-GB"/>
              </w:rPr>
            </w:pPr>
            <w:r w:rsidRPr="000766AA">
              <w:rPr>
                <w:rFonts w:ascii="Calibri" w:hAnsi="Calibri"/>
                <w:szCs w:val="22"/>
                <w:lang w:eastAsia="en-GB"/>
              </w:rPr>
              <w:t>85.10%</w:t>
            </w:r>
          </w:p>
        </w:tc>
      </w:tr>
      <w:tr w:rsidR="000766AA" w:rsidRPr="000766AA" w:rsidTr="000766AA">
        <w:trPr>
          <w:trHeight w:val="300"/>
        </w:trPr>
        <w:tc>
          <w:tcPr>
            <w:tcW w:w="1204" w:type="pct"/>
            <w:tcBorders>
              <w:top w:val="nil"/>
              <w:left w:val="single" w:sz="4" w:space="0" w:color="auto"/>
              <w:bottom w:val="single" w:sz="4" w:space="0" w:color="auto"/>
              <w:right w:val="single" w:sz="4" w:space="0" w:color="auto"/>
            </w:tcBorders>
            <w:shd w:val="clear" w:color="auto" w:fill="auto"/>
            <w:noWrap/>
            <w:vAlign w:val="bottom"/>
            <w:hideMark/>
          </w:tcPr>
          <w:p w:rsidR="000766AA" w:rsidRPr="000766AA" w:rsidRDefault="000766AA" w:rsidP="000766AA">
            <w:pPr>
              <w:rPr>
                <w:rFonts w:ascii="Calibri" w:hAnsi="Calibri"/>
                <w:color w:val="000000"/>
                <w:szCs w:val="22"/>
                <w:lang w:eastAsia="en-GB"/>
              </w:rPr>
            </w:pPr>
            <w:r w:rsidRPr="000766AA">
              <w:rPr>
                <w:rFonts w:ascii="Calibri" w:hAnsi="Calibri"/>
                <w:color w:val="000000"/>
                <w:szCs w:val="22"/>
                <w:lang w:eastAsia="en-GB"/>
              </w:rPr>
              <w:t>Chose not to state</w:t>
            </w:r>
          </w:p>
        </w:tc>
        <w:tc>
          <w:tcPr>
            <w:tcW w:w="280"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36.4%</w:t>
            </w:r>
          </w:p>
        </w:tc>
        <w:tc>
          <w:tcPr>
            <w:tcW w:w="280"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11.8%</w:t>
            </w:r>
          </w:p>
        </w:tc>
        <w:tc>
          <w:tcPr>
            <w:tcW w:w="317"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42.9%</w:t>
            </w:r>
          </w:p>
        </w:tc>
        <w:tc>
          <w:tcPr>
            <w:tcW w:w="317"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12.1%</w:t>
            </w:r>
          </w:p>
        </w:tc>
        <w:tc>
          <w:tcPr>
            <w:tcW w:w="288"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5</w:t>
            </w:r>
          </w:p>
        </w:tc>
        <w:tc>
          <w:tcPr>
            <w:tcW w:w="288"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35.7%</w:t>
            </w:r>
          </w:p>
        </w:tc>
        <w:tc>
          <w:tcPr>
            <w:tcW w:w="288"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11.3%</w:t>
            </w:r>
          </w:p>
        </w:tc>
        <w:tc>
          <w:tcPr>
            <w:tcW w:w="316"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Pr>
                <w:rFonts w:ascii="Calibri" w:hAnsi="Calibri"/>
                <w:color w:val="000000"/>
                <w:szCs w:val="22"/>
                <w:lang w:eastAsia="en-GB"/>
              </w:rPr>
              <w:t>1</w:t>
            </w:r>
          </w:p>
        </w:tc>
        <w:tc>
          <w:tcPr>
            <w:tcW w:w="327" w:type="pct"/>
            <w:tcBorders>
              <w:top w:val="nil"/>
              <w:left w:val="nil"/>
              <w:bottom w:val="single" w:sz="4" w:space="0" w:color="auto"/>
              <w:right w:val="single" w:sz="4" w:space="0" w:color="auto"/>
            </w:tcBorders>
            <w:shd w:val="clear" w:color="auto" w:fill="auto"/>
            <w:noWrap/>
            <w:vAlign w:val="bottom"/>
            <w:hideMark/>
          </w:tcPr>
          <w:p w:rsidR="000766AA" w:rsidRPr="000766AA" w:rsidRDefault="00D8078F" w:rsidP="000766AA">
            <w:pPr>
              <w:jc w:val="center"/>
              <w:rPr>
                <w:rFonts w:cs="Arial"/>
                <w:sz w:val="20"/>
                <w:szCs w:val="20"/>
                <w:lang w:eastAsia="en-GB"/>
              </w:rPr>
            </w:pPr>
            <w:r>
              <w:rPr>
                <w:rFonts w:cs="Arial"/>
                <w:sz w:val="20"/>
                <w:szCs w:val="20"/>
                <w:lang w:eastAsia="en-GB"/>
              </w:rPr>
              <w:t>6.3</w:t>
            </w:r>
            <w:r w:rsidR="000766AA" w:rsidRPr="000766AA">
              <w:rPr>
                <w:rFonts w:cs="Arial"/>
                <w:sz w:val="20"/>
                <w:szCs w:val="20"/>
                <w:lang w:eastAsia="en-GB"/>
              </w:rPr>
              <w:t>%</w:t>
            </w:r>
          </w:p>
        </w:tc>
        <w:tc>
          <w:tcPr>
            <w:tcW w:w="316"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szCs w:val="22"/>
                <w:lang w:eastAsia="en-GB"/>
              </w:rPr>
            </w:pPr>
            <w:r w:rsidRPr="000766AA">
              <w:rPr>
                <w:rFonts w:ascii="Calibri" w:hAnsi="Calibri"/>
                <w:szCs w:val="22"/>
                <w:lang w:eastAsia="en-GB"/>
              </w:rPr>
              <w:t>11.0%</w:t>
            </w:r>
          </w:p>
        </w:tc>
        <w:tc>
          <w:tcPr>
            <w:tcW w:w="242"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1</w:t>
            </w:r>
          </w:p>
        </w:tc>
        <w:tc>
          <w:tcPr>
            <w:tcW w:w="250"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cs="Arial"/>
                <w:sz w:val="20"/>
                <w:szCs w:val="20"/>
                <w:lang w:eastAsia="en-GB"/>
              </w:rPr>
            </w:pPr>
            <w:r w:rsidRPr="000766AA">
              <w:rPr>
                <w:rFonts w:cs="Arial"/>
                <w:sz w:val="20"/>
                <w:szCs w:val="20"/>
                <w:lang w:eastAsia="en-GB"/>
              </w:rPr>
              <w:t>6.3%</w:t>
            </w:r>
          </w:p>
        </w:tc>
        <w:tc>
          <w:tcPr>
            <w:tcW w:w="288"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szCs w:val="22"/>
                <w:lang w:eastAsia="en-GB"/>
              </w:rPr>
            </w:pPr>
            <w:r w:rsidRPr="000766AA">
              <w:rPr>
                <w:rFonts w:ascii="Calibri" w:hAnsi="Calibri"/>
                <w:szCs w:val="22"/>
                <w:lang w:eastAsia="en-GB"/>
              </w:rPr>
              <w:t>10.87%</w:t>
            </w:r>
          </w:p>
        </w:tc>
      </w:tr>
      <w:tr w:rsidR="000766AA" w:rsidRPr="000766AA" w:rsidTr="000766AA">
        <w:trPr>
          <w:trHeight w:val="300"/>
        </w:trPr>
        <w:tc>
          <w:tcPr>
            <w:tcW w:w="1204" w:type="pct"/>
            <w:tcBorders>
              <w:top w:val="nil"/>
              <w:left w:val="single" w:sz="4" w:space="0" w:color="auto"/>
              <w:bottom w:val="single" w:sz="4" w:space="0" w:color="auto"/>
              <w:right w:val="single" w:sz="4" w:space="0" w:color="auto"/>
            </w:tcBorders>
            <w:shd w:val="clear" w:color="auto" w:fill="auto"/>
            <w:noWrap/>
            <w:vAlign w:val="bottom"/>
            <w:hideMark/>
          </w:tcPr>
          <w:p w:rsidR="000766AA" w:rsidRPr="000766AA" w:rsidRDefault="000766AA" w:rsidP="000766AA">
            <w:pPr>
              <w:rPr>
                <w:rFonts w:ascii="Calibri" w:hAnsi="Calibri"/>
                <w:color w:val="000000"/>
                <w:szCs w:val="22"/>
                <w:lang w:eastAsia="en-GB"/>
              </w:rPr>
            </w:pPr>
            <w:r w:rsidRPr="000766AA">
              <w:rPr>
                <w:rFonts w:ascii="Calibri" w:hAnsi="Calibri"/>
                <w:color w:val="000000"/>
                <w:szCs w:val="22"/>
                <w:lang w:eastAsia="en-GB"/>
              </w:rPr>
              <w:t>No info recorded</w:t>
            </w:r>
          </w:p>
        </w:tc>
        <w:tc>
          <w:tcPr>
            <w:tcW w:w="280"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9.1%</w:t>
            </w:r>
          </w:p>
        </w:tc>
        <w:tc>
          <w:tcPr>
            <w:tcW w:w="280"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1.1%</w:t>
            </w:r>
          </w:p>
        </w:tc>
        <w:tc>
          <w:tcPr>
            <w:tcW w:w="317"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7.1%</w:t>
            </w:r>
          </w:p>
        </w:tc>
        <w:tc>
          <w:tcPr>
            <w:tcW w:w="317"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1.3%</w:t>
            </w:r>
          </w:p>
        </w:tc>
        <w:tc>
          <w:tcPr>
            <w:tcW w:w="288"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0</w:t>
            </w:r>
          </w:p>
        </w:tc>
        <w:tc>
          <w:tcPr>
            <w:tcW w:w="288"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0.0%</w:t>
            </w:r>
          </w:p>
        </w:tc>
        <w:tc>
          <w:tcPr>
            <w:tcW w:w="288"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1.2%</w:t>
            </w:r>
          </w:p>
        </w:tc>
        <w:tc>
          <w:tcPr>
            <w:tcW w:w="316"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Pr>
                <w:rFonts w:ascii="Calibri" w:hAnsi="Calibri"/>
                <w:color w:val="000000"/>
                <w:szCs w:val="22"/>
                <w:lang w:eastAsia="en-GB"/>
              </w:rPr>
              <w:t>0</w:t>
            </w:r>
          </w:p>
        </w:tc>
        <w:tc>
          <w:tcPr>
            <w:tcW w:w="327" w:type="pct"/>
            <w:tcBorders>
              <w:top w:val="nil"/>
              <w:left w:val="nil"/>
              <w:bottom w:val="single" w:sz="4" w:space="0" w:color="auto"/>
              <w:right w:val="single" w:sz="4" w:space="0" w:color="auto"/>
            </w:tcBorders>
            <w:shd w:val="clear" w:color="auto" w:fill="auto"/>
            <w:noWrap/>
            <w:vAlign w:val="bottom"/>
            <w:hideMark/>
          </w:tcPr>
          <w:p w:rsidR="000766AA" w:rsidRPr="000766AA" w:rsidRDefault="00D8078F" w:rsidP="00D8078F">
            <w:pPr>
              <w:jc w:val="center"/>
              <w:rPr>
                <w:rFonts w:cs="Arial"/>
                <w:sz w:val="20"/>
                <w:szCs w:val="20"/>
                <w:lang w:eastAsia="en-GB"/>
              </w:rPr>
            </w:pPr>
            <w:r>
              <w:rPr>
                <w:rFonts w:cs="Arial"/>
                <w:sz w:val="20"/>
                <w:szCs w:val="20"/>
                <w:lang w:eastAsia="en-GB"/>
              </w:rPr>
              <w:t>0.0</w:t>
            </w:r>
            <w:r w:rsidR="000766AA" w:rsidRPr="000766AA">
              <w:rPr>
                <w:rFonts w:cs="Arial"/>
                <w:sz w:val="20"/>
                <w:szCs w:val="20"/>
                <w:lang w:eastAsia="en-GB"/>
              </w:rPr>
              <w:t>%</w:t>
            </w:r>
          </w:p>
        </w:tc>
        <w:tc>
          <w:tcPr>
            <w:tcW w:w="316"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szCs w:val="22"/>
                <w:lang w:eastAsia="en-GB"/>
              </w:rPr>
            </w:pPr>
            <w:r w:rsidRPr="000766AA">
              <w:rPr>
                <w:rFonts w:ascii="Calibri" w:hAnsi="Calibri"/>
                <w:szCs w:val="22"/>
                <w:lang w:eastAsia="en-GB"/>
              </w:rPr>
              <w:t>1.1%</w:t>
            </w:r>
          </w:p>
        </w:tc>
        <w:tc>
          <w:tcPr>
            <w:tcW w:w="242"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0</w:t>
            </w:r>
          </w:p>
        </w:tc>
        <w:tc>
          <w:tcPr>
            <w:tcW w:w="250"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0.0%</w:t>
            </w:r>
          </w:p>
        </w:tc>
        <w:tc>
          <w:tcPr>
            <w:tcW w:w="288"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szCs w:val="22"/>
                <w:lang w:eastAsia="en-GB"/>
              </w:rPr>
            </w:pPr>
            <w:r w:rsidRPr="000766AA">
              <w:rPr>
                <w:rFonts w:ascii="Calibri" w:hAnsi="Calibri"/>
                <w:szCs w:val="22"/>
                <w:lang w:eastAsia="en-GB"/>
              </w:rPr>
              <w:t>0.15%</w:t>
            </w:r>
          </w:p>
        </w:tc>
      </w:tr>
      <w:tr w:rsidR="000766AA" w:rsidRPr="000766AA" w:rsidTr="000766AA">
        <w:trPr>
          <w:trHeight w:val="300"/>
        </w:trPr>
        <w:tc>
          <w:tcPr>
            <w:tcW w:w="1204" w:type="pct"/>
            <w:tcBorders>
              <w:top w:val="nil"/>
              <w:left w:val="single" w:sz="4" w:space="0" w:color="auto"/>
              <w:bottom w:val="single" w:sz="4" w:space="0" w:color="auto"/>
              <w:right w:val="single" w:sz="4" w:space="0" w:color="auto"/>
            </w:tcBorders>
            <w:shd w:val="clear" w:color="auto" w:fill="auto"/>
            <w:noWrap/>
            <w:vAlign w:val="bottom"/>
            <w:hideMark/>
          </w:tcPr>
          <w:p w:rsidR="000766AA" w:rsidRPr="000766AA" w:rsidRDefault="000766AA" w:rsidP="000766AA">
            <w:pPr>
              <w:rPr>
                <w:rFonts w:ascii="Calibri" w:hAnsi="Calibri"/>
                <w:color w:val="000000"/>
                <w:szCs w:val="22"/>
                <w:lang w:eastAsia="en-GB"/>
              </w:rPr>
            </w:pPr>
            <w:r w:rsidRPr="000766AA">
              <w:rPr>
                <w:rFonts w:ascii="Calibri" w:hAnsi="Calibri"/>
                <w:color w:val="000000"/>
                <w:szCs w:val="22"/>
                <w:lang w:eastAsia="en-GB"/>
              </w:rPr>
              <w:t>Board BME % compared to Trust BME% (+/</w:t>
            </w:r>
            <w:r w:rsidRPr="000766AA">
              <w:rPr>
                <w:rFonts w:ascii="Calibri" w:hAnsi="Calibri"/>
                <w:color w:val="FF0000"/>
                <w:szCs w:val="22"/>
                <w:lang w:eastAsia="en-GB"/>
              </w:rPr>
              <w:t xml:space="preserve">- </w:t>
            </w:r>
            <w:r w:rsidRPr="000766AA">
              <w:rPr>
                <w:rFonts w:ascii="Calibri" w:hAnsi="Calibri"/>
                <w:szCs w:val="22"/>
                <w:lang w:eastAsia="en-GB"/>
              </w:rPr>
              <w:t>%</w:t>
            </w:r>
            <w:r w:rsidRPr="000766AA">
              <w:rPr>
                <w:rFonts w:ascii="Calibri" w:hAnsi="Calibri"/>
                <w:color w:val="000000"/>
                <w:szCs w:val="22"/>
                <w:lang w:eastAsia="en-GB"/>
              </w:rPr>
              <w:t>)</w:t>
            </w:r>
          </w:p>
        </w:tc>
        <w:tc>
          <w:tcPr>
            <w:tcW w:w="280" w:type="pct"/>
            <w:tcBorders>
              <w:top w:val="nil"/>
              <w:left w:val="nil"/>
              <w:bottom w:val="single" w:sz="4" w:space="0" w:color="auto"/>
              <w:right w:val="single" w:sz="4" w:space="0" w:color="auto"/>
            </w:tcBorders>
            <w:shd w:val="clear" w:color="000000" w:fill="D9D9D9"/>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 </w:t>
            </w:r>
          </w:p>
        </w:tc>
        <w:tc>
          <w:tcPr>
            <w:tcW w:w="280"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FF0000"/>
                <w:szCs w:val="22"/>
                <w:lang w:eastAsia="en-GB"/>
              </w:rPr>
            </w:pPr>
            <w:r w:rsidRPr="000766AA">
              <w:rPr>
                <w:rFonts w:ascii="Calibri" w:hAnsi="Calibri"/>
                <w:color w:val="FF0000"/>
                <w:szCs w:val="22"/>
                <w:lang w:eastAsia="en-GB"/>
              </w:rPr>
              <w:t>-2.7%</w:t>
            </w:r>
          </w:p>
        </w:tc>
        <w:tc>
          <w:tcPr>
            <w:tcW w:w="317" w:type="pct"/>
            <w:tcBorders>
              <w:top w:val="nil"/>
              <w:left w:val="nil"/>
              <w:bottom w:val="single" w:sz="4" w:space="0" w:color="auto"/>
              <w:right w:val="single" w:sz="4" w:space="0" w:color="auto"/>
            </w:tcBorders>
            <w:shd w:val="clear" w:color="000000" w:fill="D9D9D9"/>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 </w:t>
            </w:r>
          </w:p>
        </w:tc>
        <w:tc>
          <w:tcPr>
            <w:tcW w:w="317"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FF0000"/>
                <w:szCs w:val="22"/>
                <w:lang w:eastAsia="en-GB"/>
              </w:rPr>
            </w:pPr>
            <w:r w:rsidRPr="000766AA">
              <w:rPr>
                <w:rFonts w:ascii="Calibri" w:hAnsi="Calibri"/>
                <w:color w:val="FF0000"/>
                <w:szCs w:val="22"/>
                <w:lang w:eastAsia="en-GB"/>
              </w:rPr>
              <w:t>-3.0%</w:t>
            </w:r>
          </w:p>
        </w:tc>
        <w:tc>
          <w:tcPr>
            <w:tcW w:w="288" w:type="pct"/>
            <w:tcBorders>
              <w:top w:val="nil"/>
              <w:left w:val="nil"/>
              <w:bottom w:val="single" w:sz="4" w:space="0" w:color="auto"/>
              <w:right w:val="single" w:sz="4" w:space="0" w:color="auto"/>
            </w:tcBorders>
            <w:shd w:val="clear" w:color="000000" w:fill="D9D9D9"/>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 </w:t>
            </w:r>
          </w:p>
        </w:tc>
        <w:tc>
          <w:tcPr>
            <w:tcW w:w="288" w:type="pct"/>
            <w:tcBorders>
              <w:top w:val="nil"/>
              <w:left w:val="nil"/>
              <w:bottom w:val="single" w:sz="4" w:space="0" w:color="auto"/>
              <w:right w:val="single" w:sz="4" w:space="0" w:color="auto"/>
            </w:tcBorders>
            <w:shd w:val="clear" w:color="000000" w:fill="D9D9D9"/>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 </w:t>
            </w:r>
          </w:p>
        </w:tc>
        <w:tc>
          <w:tcPr>
            <w:tcW w:w="288"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4.10%</w:t>
            </w:r>
          </w:p>
        </w:tc>
        <w:tc>
          <w:tcPr>
            <w:tcW w:w="316" w:type="pct"/>
            <w:tcBorders>
              <w:top w:val="nil"/>
              <w:left w:val="nil"/>
              <w:bottom w:val="single" w:sz="4" w:space="0" w:color="auto"/>
              <w:right w:val="single" w:sz="4" w:space="0" w:color="auto"/>
            </w:tcBorders>
            <w:shd w:val="clear" w:color="000000" w:fill="D9D9D9"/>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 </w:t>
            </w:r>
          </w:p>
        </w:tc>
        <w:tc>
          <w:tcPr>
            <w:tcW w:w="327" w:type="pct"/>
            <w:tcBorders>
              <w:top w:val="nil"/>
              <w:left w:val="nil"/>
              <w:bottom w:val="single" w:sz="4" w:space="0" w:color="auto"/>
              <w:right w:val="single" w:sz="4" w:space="0" w:color="auto"/>
            </w:tcBorders>
            <w:shd w:val="clear" w:color="000000" w:fill="D9D9D9"/>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 </w:t>
            </w:r>
          </w:p>
        </w:tc>
        <w:tc>
          <w:tcPr>
            <w:tcW w:w="316"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D8078F">
            <w:pPr>
              <w:jc w:val="center"/>
              <w:rPr>
                <w:rFonts w:ascii="Calibri" w:hAnsi="Calibri"/>
                <w:color w:val="000000"/>
                <w:szCs w:val="22"/>
                <w:lang w:eastAsia="en-GB"/>
              </w:rPr>
            </w:pPr>
            <w:r w:rsidRPr="000766AA">
              <w:rPr>
                <w:rFonts w:ascii="Calibri" w:hAnsi="Calibri"/>
                <w:color w:val="000000"/>
                <w:szCs w:val="22"/>
                <w:lang w:eastAsia="en-GB"/>
              </w:rPr>
              <w:t>3.</w:t>
            </w:r>
            <w:r w:rsidR="00D8078F" w:rsidRPr="000766AA">
              <w:rPr>
                <w:rFonts w:ascii="Calibri" w:hAnsi="Calibri"/>
                <w:color w:val="000000"/>
                <w:szCs w:val="22"/>
                <w:lang w:eastAsia="en-GB"/>
              </w:rPr>
              <w:t xml:space="preserve"> </w:t>
            </w:r>
            <w:r w:rsidRPr="000766AA">
              <w:rPr>
                <w:rFonts w:ascii="Calibri" w:hAnsi="Calibri"/>
                <w:color w:val="000000"/>
                <w:szCs w:val="22"/>
                <w:lang w:eastAsia="en-GB"/>
              </w:rPr>
              <w:t>0%</w:t>
            </w:r>
          </w:p>
        </w:tc>
        <w:tc>
          <w:tcPr>
            <w:tcW w:w="242" w:type="pct"/>
            <w:tcBorders>
              <w:top w:val="nil"/>
              <w:left w:val="nil"/>
              <w:bottom w:val="single" w:sz="4" w:space="0" w:color="auto"/>
              <w:right w:val="single" w:sz="4" w:space="0" w:color="auto"/>
            </w:tcBorders>
            <w:shd w:val="clear" w:color="000000" w:fill="D9D9D9"/>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 </w:t>
            </w:r>
          </w:p>
        </w:tc>
        <w:tc>
          <w:tcPr>
            <w:tcW w:w="250" w:type="pct"/>
            <w:tcBorders>
              <w:top w:val="nil"/>
              <w:left w:val="nil"/>
              <w:bottom w:val="single" w:sz="4" w:space="0" w:color="auto"/>
              <w:right w:val="single" w:sz="4" w:space="0" w:color="auto"/>
            </w:tcBorders>
            <w:shd w:val="clear" w:color="000000" w:fill="D9D9D9"/>
            <w:noWrap/>
            <w:vAlign w:val="bottom"/>
            <w:hideMark/>
          </w:tcPr>
          <w:p w:rsidR="000766AA" w:rsidRPr="000766AA" w:rsidRDefault="000766AA" w:rsidP="000766AA">
            <w:pPr>
              <w:jc w:val="center"/>
              <w:rPr>
                <w:rFonts w:ascii="Calibri" w:hAnsi="Calibri"/>
                <w:color w:val="000000"/>
                <w:szCs w:val="22"/>
                <w:lang w:eastAsia="en-GB"/>
              </w:rPr>
            </w:pPr>
            <w:r w:rsidRPr="000766AA">
              <w:rPr>
                <w:rFonts w:ascii="Calibri" w:hAnsi="Calibri"/>
                <w:color w:val="000000"/>
                <w:szCs w:val="22"/>
                <w:lang w:eastAsia="en-GB"/>
              </w:rPr>
              <w:t> </w:t>
            </w:r>
          </w:p>
        </w:tc>
        <w:tc>
          <w:tcPr>
            <w:tcW w:w="288" w:type="pct"/>
            <w:tcBorders>
              <w:top w:val="nil"/>
              <w:left w:val="nil"/>
              <w:bottom w:val="single" w:sz="4" w:space="0" w:color="auto"/>
              <w:right w:val="single" w:sz="4" w:space="0" w:color="auto"/>
            </w:tcBorders>
            <w:shd w:val="clear" w:color="auto" w:fill="auto"/>
            <w:noWrap/>
            <w:vAlign w:val="bottom"/>
            <w:hideMark/>
          </w:tcPr>
          <w:p w:rsidR="000766AA" w:rsidRPr="000766AA" w:rsidRDefault="000766AA" w:rsidP="00D8078F">
            <w:pPr>
              <w:jc w:val="center"/>
              <w:rPr>
                <w:rFonts w:ascii="Calibri" w:hAnsi="Calibri"/>
                <w:color w:val="000000"/>
                <w:szCs w:val="22"/>
                <w:lang w:eastAsia="en-GB"/>
              </w:rPr>
            </w:pPr>
            <w:r w:rsidRPr="000766AA">
              <w:rPr>
                <w:rFonts w:ascii="Calibri" w:hAnsi="Calibri"/>
                <w:color w:val="000000"/>
                <w:szCs w:val="22"/>
                <w:lang w:eastAsia="en-GB"/>
              </w:rPr>
              <w:t>2.</w:t>
            </w:r>
            <w:r w:rsidR="00D8078F">
              <w:rPr>
                <w:rFonts w:ascii="Calibri" w:hAnsi="Calibri"/>
                <w:color w:val="000000"/>
                <w:szCs w:val="22"/>
                <w:lang w:eastAsia="en-GB"/>
              </w:rPr>
              <w:t>41</w:t>
            </w:r>
            <w:r w:rsidRPr="000766AA">
              <w:rPr>
                <w:rFonts w:ascii="Calibri" w:hAnsi="Calibri"/>
                <w:color w:val="000000"/>
                <w:szCs w:val="22"/>
                <w:lang w:eastAsia="en-GB"/>
              </w:rPr>
              <w:t>%</w:t>
            </w:r>
          </w:p>
        </w:tc>
      </w:tr>
    </w:tbl>
    <w:p w:rsidR="000766AA" w:rsidRDefault="000766AA" w:rsidP="00027AD6">
      <w:pPr>
        <w:rPr>
          <w:rFonts w:cs="Arial"/>
          <w:sz w:val="24"/>
        </w:rPr>
      </w:pPr>
    </w:p>
    <w:p w:rsidR="00027AD6" w:rsidRDefault="00D8078F" w:rsidP="00D8078F">
      <w:pPr>
        <w:pStyle w:val="ListParagraph"/>
        <w:numPr>
          <w:ilvl w:val="0"/>
          <w:numId w:val="9"/>
        </w:numPr>
        <w:rPr>
          <w:rFonts w:cs="Arial"/>
          <w:sz w:val="24"/>
        </w:rPr>
      </w:pPr>
      <w:r>
        <w:rPr>
          <w:rFonts w:cs="Arial"/>
          <w:sz w:val="24"/>
        </w:rPr>
        <w:t>No change at Board level for 2017/18 compared to 2016/17</w:t>
      </w:r>
    </w:p>
    <w:p w:rsidR="00D8078F" w:rsidRDefault="00D8078F" w:rsidP="00D8078F">
      <w:pPr>
        <w:pStyle w:val="ListParagraph"/>
        <w:numPr>
          <w:ilvl w:val="0"/>
          <w:numId w:val="9"/>
        </w:numPr>
        <w:rPr>
          <w:rFonts w:cs="Arial"/>
          <w:sz w:val="24"/>
        </w:rPr>
        <w:sectPr w:rsidR="00D8078F" w:rsidSect="003E71D2">
          <w:pgSz w:w="16838" w:h="11906" w:orient="landscape"/>
          <w:pgMar w:top="1440" w:right="1440" w:bottom="1440" w:left="1440" w:header="708" w:footer="708" w:gutter="0"/>
          <w:cols w:space="708"/>
          <w:docGrid w:linePitch="360"/>
        </w:sectPr>
      </w:pPr>
      <w:r>
        <w:rPr>
          <w:rFonts w:cs="Arial"/>
          <w:sz w:val="24"/>
        </w:rPr>
        <w:t>Slight narrowing of gap between representativeness of the workforce compared to the Board.</w:t>
      </w:r>
    </w:p>
    <w:p w:rsidR="00D8078F" w:rsidRDefault="006E16DF" w:rsidP="006E16DF">
      <w:pPr>
        <w:pStyle w:val="ListParagraph"/>
        <w:ind w:left="0"/>
        <w:rPr>
          <w:rFonts w:cs="Arial"/>
          <w:sz w:val="24"/>
        </w:rPr>
      </w:pPr>
      <w:r>
        <w:rPr>
          <w:rFonts w:cs="Arial"/>
          <w:b/>
          <w:sz w:val="24"/>
        </w:rPr>
        <w:lastRenderedPageBreak/>
        <w:t>Suggested actions arising out of 2017/18 WRES reporting</w:t>
      </w:r>
    </w:p>
    <w:p w:rsidR="006E16DF" w:rsidRDefault="006E16DF" w:rsidP="006E16DF">
      <w:pPr>
        <w:pStyle w:val="ListParagraph"/>
        <w:ind w:left="0"/>
        <w:rPr>
          <w:rFonts w:cs="Arial"/>
          <w:sz w:val="24"/>
        </w:rPr>
      </w:pPr>
    </w:p>
    <w:p w:rsidR="006E16DF" w:rsidRDefault="006E16DF" w:rsidP="006E16DF">
      <w:pPr>
        <w:pStyle w:val="ListParagraph"/>
        <w:ind w:left="0"/>
        <w:rPr>
          <w:rFonts w:cs="Arial"/>
          <w:sz w:val="24"/>
        </w:rPr>
      </w:pPr>
      <w:r>
        <w:rPr>
          <w:rFonts w:cs="Arial"/>
          <w:sz w:val="24"/>
        </w:rPr>
        <w:t>Recruitment:</w:t>
      </w:r>
    </w:p>
    <w:p w:rsidR="006E16DF" w:rsidRDefault="006E16DF" w:rsidP="006E16DF">
      <w:pPr>
        <w:pStyle w:val="ListParagraph"/>
        <w:ind w:left="0"/>
        <w:rPr>
          <w:rFonts w:cs="Arial"/>
          <w:sz w:val="24"/>
        </w:rPr>
      </w:pPr>
    </w:p>
    <w:p w:rsidR="006E16DF" w:rsidRPr="006E16DF" w:rsidRDefault="006E16DF" w:rsidP="006E16DF">
      <w:pPr>
        <w:numPr>
          <w:ilvl w:val="0"/>
          <w:numId w:val="3"/>
        </w:numPr>
        <w:contextualSpacing/>
        <w:rPr>
          <w:rFonts w:cs="Arial"/>
          <w:sz w:val="24"/>
        </w:rPr>
      </w:pPr>
      <w:r w:rsidRPr="006E16DF">
        <w:rPr>
          <w:rFonts w:cs="Arial"/>
          <w:sz w:val="24"/>
        </w:rPr>
        <w:t xml:space="preserve">We need to set an expectation with senior managers that appointments at interview should, on average, over time be the same for white and </w:t>
      </w:r>
      <w:r w:rsidR="00805CF5">
        <w:rPr>
          <w:rFonts w:cs="Arial"/>
          <w:sz w:val="24"/>
        </w:rPr>
        <w:t>BME</w:t>
      </w:r>
      <w:r w:rsidRPr="006E16DF">
        <w:rPr>
          <w:rFonts w:cs="Arial"/>
          <w:sz w:val="24"/>
        </w:rPr>
        <w:t xml:space="preserve"> Staff. It is recommended that unconscious bias training be part of the expected training for membership of a recruitment panel. Unconscious bias training will form part of the forthcoming E&amp;D Masterclasses and we are also looking to bring in Joy </w:t>
      </w:r>
      <w:proofErr w:type="spellStart"/>
      <w:r w:rsidRPr="006E16DF">
        <w:rPr>
          <w:rFonts w:cs="Arial"/>
          <w:sz w:val="24"/>
        </w:rPr>
        <w:t>Warmington</w:t>
      </w:r>
      <w:proofErr w:type="spellEnd"/>
      <w:r w:rsidRPr="006E16DF">
        <w:rPr>
          <w:rFonts w:cs="Arial"/>
          <w:sz w:val="24"/>
        </w:rPr>
        <w:t xml:space="preserve"> from BRAP to deliver an equality and diversity session this </w:t>
      </w:r>
      <w:proofErr w:type="gramStart"/>
      <w:r w:rsidRPr="006E16DF">
        <w:rPr>
          <w:rFonts w:cs="Arial"/>
          <w:sz w:val="24"/>
        </w:rPr>
        <w:t>Autumn</w:t>
      </w:r>
      <w:proofErr w:type="gramEnd"/>
      <w:r w:rsidRPr="006E16DF">
        <w:rPr>
          <w:rFonts w:cs="Arial"/>
          <w:sz w:val="24"/>
        </w:rPr>
        <w:t>, part of which will focus on unconscious bias.</w:t>
      </w:r>
    </w:p>
    <w:p w:rsidR="006E16DF" w:rsidRPr="006E16DF" w:rsidRDefault="006E16DF" w:rsidP="006E16DF">
      <w:pPr>
        <w:numPr>
          <w:ilvl w:val="0"/>
          <w:numId w:val="3"/>
        </w:numPr>
        <w:contextualSpacing/>
        <w:rPr>
          <w:rFonts w:cs="Arial"/>
          <w:sz w:val="24"/>
        </w:rPr>
      </w:pPr>
      <w:r w:rsidRPr="006E16DF">
        <w:rPr>
          <w:rFonts w:cs="Arial"/>
          <w:sz w:val="24"/>
        </w:rPr>
        <w:t>It is suggested that we audit and review decision making from sample of recent recruitment processes. Potential for audit publicised to recruiting managers to improve the rigour of decision making and the quality of appointments made.</w:t>
      </w:r>
    </w:p>
    <w:p w:rsidR="006E16DF" w:rsidRPr="006E16DF" w:rsidRDefault="006E16DF" w:rsidP="006E16DF">
      <w:pPr>
        <w:numPr>
          <w:ilvl w:val="0"/>
          <w:numId w:val="3"/>
        </w:numPr>
        <w:contextualSpacing/>
        <w:rPr>
          <w:rFonts w:cs="Arial"/>
          <w:sz w:val="24"/>
        </w:rPr>
      </w:pPr>
      <w:r w:rsidRPr="006E16DF">
        <w:rPr>
          <w:rFonts w:cs="Arial"/>
          <w:sz w:val="24"/>
        </w:rPr>
        <w:t xml:space="preserve">More needs to be done to attract applications from </w:t>
      </w:r>
      <w:r w:rsidR="00805CF5">
        <w:rPr>
          <w:rFonts w:cs="Arial"/>
          <w:sz w:val="24"/>
        </w:rPr>
        <w:t>BME</w:t>
      </w:r>
      <w:r w:rsidRPr="006E16DF">
        <w:rPr>
          <w:rFonts w:cs="Arial"/>
          <w:sz w:val="24"/>
        </w:rPr>
        <w:t xml:space="preserve"> backgrounds. It is suggested that a meeting between the Trust and tenants within the Beacon (at Newcastle) is set up to explore how we become more </w:t>
      </w:r>
      <w:r w:rsidRPr="006E16DF">
        <w:rPr>
          <w:rFonts w:cs="Arial"/>
          <w:sz w:val="24"/>
        </w:rPr>
        <w:tab/>
        <w:t xml:space="preserve">visible in the community. This could be through campaigns on Radio such as Spice FM or through work with organisations such as the </w:t>
      </w:r>
      <w:proofErr w:type="spellStart"/>
      <w:r w:rsidRPr="006E16DF">
        <w:rPr>
          <w:rFonts w:cs="Arial"/>
          <w:sz w:val="24"/>
        </w:rPr>
        <w:t>Millin</w:t>
      </w:r>
      <w:proofErr w:type="spellEnd"/>
      <w:r w:rsidRPr="006E16DF">
        <w:rPr>
          <w:rFonts w:cs="Arial"/>
          <w:sz w:val="24"/>
        </w:rPr>
        <w:t xml:space="preserve"> Charity and that this approach is then spread across the region that we serve.</w:t>
      </w:r>
    </w:p>
    <w:p w:rsidR="006E16DF" w:rsidRPr="006E16DF" w:rsidRDefault="006E16DF" w:rsidP="006E16DF">
      <w:pPr>
        <w:numPr>
          <w:ilvl w:val="0"/>
          <w:numId w:val="3"/>
        </w:numPr>
        <w:contextualSpacing/>
        <w:rPr>
          <w:rFonts w:cs="Arial"/>
          <w:sz w:val="24"/>
        </w:rPr>
      </w:pPr>
      <w:r w:rsidRPr="006E16DF">
        <w:rPr>
          <w:rFonts w:cs="Arial"/>
          <w:sz w:val="24"/>
        </w:rPr>
        <w:t xml:space="preserve">We might want to consider positive action with a </w:t>
      </w:r>
      <w:r w:rsidR="00805CF5">
        <w:rPr>
          <w:rFonts w:cs="Arial"/>
          <w:sz w:val="24"/>
        </w:rPr>
        <w:t>BME</w:t>
      </w:r>
      <w:r w:rsidRPr="006E16DF">
        <w:rPr>
          <w:rFonts w:cs="Arial"/>
          <w:sz w:val="24"/>
        </w:rPr>
        <w:t xml:space="preserve"> targeted recruitment campaign.</w:t>
      </w:r>
    </w:p>
    <w:p w:rsidR="006E16DF" w:rsidRDefault="006E16DF" w:rsidP="006E16DF">
      <w:pPr>
        <w:pStyle w:val="ListParagraph"/>
        <w:numPr>
          <w:ilvl w:val="0"/>
          <w:numId w:val="3"/>
        </w:numPr>
        <w:rPr>
          <w:rFonts w:cs="Arial"/>
          <w:sz w:val="24"/>
        </w:rPr>
      </w:pPr>
      <w:r>
        <w:rPr>
          <w:rFonts w:cs="Arial"/>
          <w:sz w:val="24"/>
        </w:rPr>
        <w:t xml:space="preserve">Work generally needs to be undertaken to try to improve the profile of </w:t>
      </w:r>
      <w:r w:rsidR="00805CF5">
        <w:rPr>
          <w:rFonts w:cs="Arial"/>
          <w:sz w:val="24"/>
        </w:rPr>
        <w:t>BME</w:t>
      </w:r>
      <w:r>
        <w:rPr>
          <w:rFonts w:cs="Arial"/>
          <w:sz w:val="24"/>
        </w:rPr>
        <w:t xml:space="preserve"> staff in non-clinical roles across all bands.</w:t>
      </w:r>
    </w:p>
    <w:p w:rsidR="006E16DF" w:rsidRDefault="006E16DF" w:rsidP="006E16DF">
      <w:pPr>
        <w:rPr>
          <w:rFonts w:cs="Arial"/>
          <w:sz w:val="24"/>
        </w:rPr>
      </w:pPr>
    </w:p>
    <w:p w:rsidR="006E16DF" w:rsidRDefault="006E16DF" w:rsidP="006E16DF">
      <w:pPr>
        <w:rPr>
          <w:rFonts w:cs="Arial"/>
          <w:sz w:val="24"/>
        </w:rPr>
      </w:pPr>
      <w:r>
        <w:rPr>
          <w:rFonts w:cs="Arial"/>
          <w:sz w:val="24"/>
        </w:rPr>
        <w:t>Discipline and Grievance</w:t>
      </w:r>
    </w:p>
    <w:p w:rsidR="006E16DF" w:rsidRDefault="006E16DF" w:rsidP="006E16DF">
      <w:pPr>
        <w:rPr>
          <w:rFonts w:cs="Arial"/>
          <w:sz w:val="24"/>
        </w:rPr>
      </w:pPr>
    </w:p>
    <w:p w:rsidR="006E16DF" w:rsidRDefault="006E16DF" w:rsidP="006E16DF">
      <w:pPr>
        <w:pStyle w:val="ListParagraph"/>
        <w:numPr>
          <w:ilvl w:val="0"/>
          <w:numId w:val="10"/>
        </w:numPr>
        <w:rPr>
          <w:rFonts w:cs="Arial"/>
          <w:sz w:val="24"/>
        </w:rPr>
      </w:pPr>
      <w:r>
        <w:rPr>
          <w:rFonts w:cs="Arial"/>
          <w:sz w:val="24"/>
        </w:rPr>
        <w:t>Cultural Ambassadors are being trained in August 2018</w:t>
      </w:r>
    </w:p>
    <w:p w:rsidR="006E16DF" w:rsidRDefault="006E16DF" w:rsidP="006E16DF">
      <w:pPr>
        <w:pStyle w:val="ListParagraph"/>
        <w:numPr>
          <w:ilvl w:val="0"/>
          <w:numId w:val="10"/>
        </w:numPr>
        <w:rPr>
          <w:rFonts w:cs="Arial"/>
          <w:sz w:val="24"/>
        </w:rPr>
      </w:pPr>
      <w:r>
        <w:rPr>
          <w:rFonts w:cs="Arial"/>
          <w:sz w:val="24"/>
        </w:rPr>
        <w:t>Launch of Cultural Ambassadors in Autumn 2018</w:t>
      </w:r>
    </w:p>
    <w:p w:rsidR="006E16DF" w:rsidRPr="006E16DF" w:rsidRDefault="006E16DF" w:rsidP="006E16DF">
      <w:pPr>
        <w:pStyle w:val="ListParagraph"/>
        <w:numPr>
          <w:ilvl w:val="0"/>
          <w:numId w:val="10"/>
        </w:numPr>
        <w:rPr>
          <w:rFonts w:cs="Arial"/>
          <w:sz w:val="24"/>
        </w:rPr>
      </w:pPr>
      <w:proofErr w:type="spellStart"/>
      <w:r w:rsidRPr="006E16DF">
        <w:rPr>
          <w:rFonts w:cs="Arial"/>
          <w:sz w:val="24"/>
        </w:rPr>
        <w:t>Capsticks</w:t>
      </w:r>
      <w:proofErr w:type="spellEnd"/>
      <w:r w:rsidRPr="006E16DF">
        <w:rPr>
          <w:rFonts w:cs="Arial"/>
          <w:sz w:val="24"/>
        </w:rPr>
        <w:t xml:space="preserve"> </w:t>
      </w:r>
      <w:r>
        <w:rPr>
          <w:rFonts w:cs="Arial"/>
          <w:sz w:val="24"/>
        </w:rPr>
        <w:t xml:space="preserve">to provide </w:t>
      </w:r>
      <w:r w:rsidRPr="006E16DF">
        <w:rPr>
          <w:rFonts w:cs="Arial"/>
          <w:sz w:val="24"/>
        </w:rPr>
        <w:t>a quarterly report on this so that the trend may be better monitored but also the impact of initiatives such as the Cultural Ambassadors’ programme be assessed.</w:t>
      </w:r>
    </w:p>
    <w:p w:rsidR="006E16DF" w:rsidRDefault="006E16DF" w:rsidP="006E16DF">
      <w:pPr>
        <w:rPr>
          <w:rFonts w:cs="Arial"/>
          <w:sz w:val="24"/>
        </w:rPr>
      </w:pPr>
    </w:p>
    <w:p w:rsidR="006E16DF" w:rsidRDefault="006E16DF" w:rsidP="006E16DF">
      <w:pPr>
        <w:rPr>
          <w:rFonts w:cs="Arial"/>
          <w:sz w:val="24"/>
        </w:rPr>
      </w:pPr>
      <w:r>
        <w:rPr>
          <w:rFonts w:cs="Arial"/>
          <w:sz w:val="24"/>
        </w:rPr>
        <w:t>Disclosure of Information</w:t>
      </w:r>
    </w:p>
    <w:p w:rsidR="006E16DF" w:rsidRDefault="006E16DF" w:rsidP="006E16DF">
      <w:pPr>
        <w:rPr>
          <w:rFonts w:cs="Arial"/>
          <w:sz w:val="24"/>
        </w:rPr>
      </w:pPr>
    </w:p>
    <w:p w:rsidR="006E16DF" w:rsidRPr="00232183" w:rsidRDefault="006E16DF" w:rsidP="00232183">
      <w:pPr>
        <w:pStyle w:val="ListParagraph"/>
        <w:numPr>
          <w:ilvl w:val="0"/>
          <w:numId w:val="12"/>
        </w:numPr>
        <w:rPr>
          <w:rFonts w:cs="Arial"/>
          <w:sz w:val="24"/>
        </w:rPr>
      </w:pPr>
      <w:r w:rsidRPr="00232183">
        <w:rPr>
          <w:rFonts w:cs="Arial"/>
          <w:sz w:val="24"/>
        </w:rPr>
        <w:t>Aligned to the Trust-wide Equality Strategy detailed action plan a campaign around improving the reporting of protected characteristic information needs to focus on trying to change hearts and minds of those staff who have chosen not to state their ethnicity. The campaign will need to focus on the benefits of disclosure</w:t>
      </w:r>
    </w:p>
    <w:p w:rsidR="006E16DF" w:rsidRDefault="006E16DF" w:rsidP="006E16DF">
      <w:pPr>
        <w:rPr>
          <w:rFonts w:cs="Arial"/>
          <w:sz w:val="24"/>
        </w:rPr>
      </w:pPr>
    </w:p>
    <w:p w:rsidR="006E16DF" w:rsidRDefault="006E16DF" w:rsidP="006E16DF">
      <w:pPr>
        <w:rPr>
          <w:rFonts w:cs="Arial"/>
          <w:sz w:val="24"/>
        </w:rPr>
      </w:pPr>
      <w:r>
        <w:rPr>
          <w:rFonts w:cs="Arial"/>
          <w:sz w:val="24"/>
        </w:rPr>
        <w:t>Training</w:t>
      </w:r>
    </w:p>
    <w:p w:rsidR="006E16DF" w:rsidRDefault="006E16DF" w:rsidP="006E16DF">
      <w:pPr>
        <w:rPr>
          <w:rFonts w:cs="Arial"/>
          <w:sz w:val="24"/>
        </w:rPr>
      </w:pPr>
    </w:p>
    <w:p w:rsidR="006E16DF" w:rsidRDefault="006E16DF" w:rsidP="00232183">
      <w:pPr>
        <w:pStyle w:val="ListParagraph"/>
        <w:numPr>
          <w:ilvl w:val="0"/>
          <w:numId w:val="11"/>
        </w:numPr>
        <w:rPr>
          <w:rFonts w:cs="Arial"/>
          <w:sz w:val="24"/>
        </w:rPr>
      </w:pPr>
      <w:r w:rsidRPr="00232183">
        <w:rPr>
          <w:rFonts w:cs="Arial"/>
          <w:sz w:val="24"/>
        </w:rPr>
        <w:t>We make sure that the recording of non-mandatory training and CPD is as accurate as possible, followed an analysis of appraisal outcomes to assess whether there is disparity between the outcomes of requests to access non-mandatory training.</w:t>
      </w:r>
    </w:p>
    <w:p w:rsidR="00232183" w:rsidRDefault="00232183" w:rsidP="00232183">
      <w:pPr>
        <w:rPr>
          <w:rFonts w:cs="Arial"/>
          <w:sz w:val="24"/>
        </w:rPr>
      </w:pPr>
    </w:p>
    <w:p w:rsidR="00232183" w:rsidRDefault="00232183" w:rsidP="00232183">
      <w:pPr>
        <w:rPr>
          <w:rFonts w:cs="Arial"/>
          <w:sz w:val="24"/>
        </w:rPr>
      </w:pPr>
      <w:r>
        <w:rPr>
          <w:rFonts w:cs="Arial"/>
          <w:sz w:val="24"/>
        </w:rPr>
        <w:lastRenderedPageBreak/>
        <w:t>Staff Survey</w:t>
      </w:r>
    </w:p>
    <w:p w:rsidR="00232183" w:rsidRDefault="00232183" w:rsidP="00232183">
      <w:pPr>
        <w:rPr>
          <w:rFonts w:cs="Arial"/>
          <w:sz w:val="24"/>
        </w:rPr>
      </w:pPr>
    </w:p>
    <w:p w:rsidR="00232183" w:rsidRDefault="00232183" w:rsidP="00232183">
      <w:pPr>
        <w:pStyle w:val="ListParagraph"/>
        <w:numPr>
          <w:ilvl w:val="0"/>
          <w:numId w:val="11"/>
        </w:numPr>
        <w:rPr>
          <w:rFonts w:cs="Arial"/>
          <w:sz w:val="24"/>
        </w:rPr>
      </w:pPr>
      <w:r>
        <w:rPr>
          <w:rFonts w:cs="Arial"/>
          <w:sz w:val="24"/>
        </w:rPr>
        <w:t xml:space="preserve">Analysis undertaken to </w:t>
      </w:r>
      <w:r w:rsidRPr="00232183">
        <w:rPr>
          <w:rFonts w:cs="Arial"/>
          <w:sz w:val="24"/>
        </w:rPr>
        <w:t xml:space="preserve">match ‘hotspots’ from the analysis </w:t>
      </w:r>
      <w:r>
        <w:rPr>
          <w:rFonts w:cs="Arial"/>
          <w:sz w:val="24"/>
        </w:rPr>
        <w:t xml:space="preserve">of the Key Findings </w:t>
      </w:r>
      <w:r w:rsidRPr="00232183">
        <w:rPr>
          <w:rFonts w:cs="Arial"/>
          <w:sz w:val="24"/>
        </w:rPr>
        <w:t xml:space="preserve">to the staff demographic to develop a picture where the disparity between </w:t>
      </w:r>
      <w:r w:rsidR="00805CF5">
        <w:rPr>
          <w:rFonts w:cs="Arial"/>
          <w:sz w:val="24"/>
        </w:rPr>
        <w:t>BME</w:t>
      </w:r>
      <w:r w:rsidRPr="00232183">
        <w:rPr>
          <w:rFonts w:cs="Arial"/>
          <w:sz w:val="24"/>
        </w:rPr>
        <w:t xml:space="preserve"> and White members of staff is likely to problematic.</w:t>
      </w:r>
    </w:p>
    <w:p w:rsidR="00232183" w:rsidRDefault="00232183" w:rsidP="00232183">
      <w:pPr>
        <w:rPr>
          <w:rFonts w:cs="Arial"/>
          <w:sz w:val="24"/>
        </w:rPr>
      </w:pPr>
    </w:p>
    <w:p w:rsidR="00232183" w:rsidRDefault="00232183" w:rsidP="00232183">
      <w:pPr>
        <w:rPr>
          <w:rFonts w:cs="Arial"/>
          <w:sz w:val="24"/>
        </w:rPr>
      </w:pPr>
      <w:r>
        <w:rPr>
          <w:rFonts w:cs="Arial"/>
          <w:b/>
          <w:sz w:val="24"/>
        </w:rPr>
        <w:t>Next Steps</w:t>
      </w:r>
    </w:p>
    <w:p w:rsidR="00232183" w:rsidRDefault="00232183" w:rsidP="00232183">
      <w:pPr>
        <w:rPr>
          <w:rFonts w:cs="Arial"/>
          <w:sz w:val="24"/>
        </w:rPr>
      </w:pPr>
    </w:p>
    <w:p w:rsidR="00232183" w:rsidRDefault="00232183" w:rsidP="00232183">
      <w:pPr>
        <w:rPr>
          <w:rFonts w:cs="Arial"/>
          <w:sz w:val="24"/>
        </w:rPr>
      </w:pPr>
      <w:r>
        <w:rPr>
          <w:rFonts w:cs="Arial"/>
          <w:sz w:val="24"/>
        </w:rPr>
        <w:t>If the broad themes for action are agreed that a detailed action plan for WRES be drawn up for approval.</w:t>
      </w:r>
    </w:p>
    <w:p w:rsidR="00232183" w:rsidRDefault="00232183" w:rsidP="00232183">
      <w:pPr>
        <w:rPr>
          <w:rFonts w:cs="Arial"/>
          <w:sz w:val="24"/>
        </w:rPr>
      </w:pPr>
    </w:p>
    <w:p w:rsidR="00232183" w:rsidRDefault="00232183" w:rsidP="00232183">
      <w:pPr>
        <w:rPr>
          <w:rFonts w:cs="Arial"/>
          <w:sz w:val="24"/>
        </w:rPr>
      </w:pPr>
    </w:p>
    <w:p w:rsidR="00232183" w:rsidRDefault="00232183" w:rsidP="00232183">
      <w:pPr>
        <w:rPr>
          <w:rFonts w:cs="Arial"/>
          <w:sz w:val="24"/>
        </w:rPr>
      </w:pPr>
    </w:p>
    <w:p w:rsidR="00232183" w:rsidRDefault="00232183" w:rsidP="00232183">
      <w:pPr>
        <w:rPr>
          <w:rFonts w:cs="Arial"/>
          <w:sz w:val="24"/>
        </w:rPr>
      </w:pPr>
      <w:r>
        <w:rPr>
          <w:rFonts w:cs="Arial"/>
          <w:sz w:val="24"/>
        </w:rPr>
        <w:t>Christopher Rowlands</w:t>
      </w:r>
    </w:p>
    <w:p w:rsidR="00232183" w:rsidRDefault="00232183" w:rsidP="00232183">
      <w:pPr>
        <w:rPr>
          <w:rFonts w:cs="Arial"/>
          <w:sz w:val="24"/>
        </w:rPr>
      </w:pPr>
      <w:r>
        <w:rPr>
          <w:rFonts w:cs="Arial"/>
          <w:sz w:val="24"/>
        </w:rPr>
        <w:t>Equality and Diversity Lead</w:t>
      </w:r>
    </w:p>
    <w:p w:rsidR="00232183" w:rsidRPr="00232183" w:rsidRDefault="00232183" w:rsidP="00232183">
      <w:pPr>
        <w:rPr>
          <w:rFonts w:cs="Arial"/>
          <w:sz w:val="24"/>
        </w:rPr>
      </w:pPr>
      <w:r>
        <w:rPr>
          <w:rFonts w:cs="Arial"/>
          <w:sz w:val="24"/>
        </w:rPr>
        <w:t>Ju</w:t>
      </w:r>
      <w:r w:rsidR="00516FBA">
        <w:rPr>
          <w:rFonts w:cs="Arial"/>
          <w:sz w:val="24"/>
        </w:rPr>
        <w:t>ly</w:t>
      </w:r>
      <w:r>
        <w:rPr>
          <w:rFonts w:cs="Arial"/>
          <w:sz w:val="24"/>
        </w:rPr>
        <w:t xml:space="preserve"> 2018</w:t>
      </w:r>
    </w:p>
    <w:sectPr w:rsidR="00232183" w:rsidRPr="00232183" w:rsidSect="00D807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E94" w:rsidRDefault="00044E94" w:rsidP="00805CF5">
      <w:r>
        <w:separator/>
      </w:r>
    </w:p>
  </w:endnote>
  <w:endnote w:type="continuationSeparator" w:id="0">
    <w:p w:rsidR="00044E94" w:rsidRDefault="00044E94" w:rsidP="0080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898676"/>
      <w:docPartObj>
        <w:docPartGallery w:val="Page Numbers (Bottom of Page)"/>
        <w:docPartUnique/>
      </w:docPartObj>
    </w:sdtPr>
    <w:sdtEndPr>
      <w:rPr>
        <w:noProof/>
      </w:rPr>
    </w:sdtEndPr>
    <w:sdtContent>
      <w:p w:rsidR="00044E94" w:rsidRDefault="00044E94">
        <w:pPr>
          <w:pStyle w:val="Footer"/>
          <w:jc w:val="right"/>
        </w:pPr>
        <w:r>
          <w:fldChar w:fldCharType="begin"/>
        </w:r>
        <w:r>
          <w:instrText xml:space="preserve"> PAGE   \* MERGEFORMAT </w:instrText>
        </w:r>
        <w:r>
          <w:fldChar w:fldCharType="separate"/>
        </w:r>
        <w:r w:rsidR="00297200">
          <w:rPr>
            <w:noProof/>
          </w:rPr>
          <w:t>5</w:t>
        </w:r>
        <w:r>
          <w:rPr>
            <w:noProof/>
          </w:rPr>
          <w:fldChar w:fldCharType="end"/>
        </w:r>
      </w:p>
    </w:sdtContent>
  </w:sdt>
  <w:p w:rsidR="00044E94" w:rsidRDefault="00044E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E94" w:rsidRDefault="00044E94" w:rsidP="00805CF5">
      <w:r>
        <w:separator/>
      </w:r>
    </w:p>
  </w:footnote>
  <w:footnote w:type="continuationSeparator" w:id="0">
    <w:p w:rsidR="00044E94" w:rsidRDefault="00044E94" w:rsidP="00805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06F"/>
    <w:multiLevelType w:val="hybridMultilevel"/>
    <w:tmpl w:val="62CC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F94F1C"/>
    <w:multiLevelType w:val="hybridMultilevel"/>
    <w:tmpl w:val="66F67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ED4331"/>
    <w:multiLevelType w:val="hybridMultilevel"/>
    <w:tmpl w:val="C9D69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EF1522"/>
    <w:multiLevelType w:val="hybridMultilevel"/>
    <w:tmpl w:val="D3ACF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C10AF9"/>
    <w:multiLevelType w:val="hybridMultilevel"/>
    <w:tmpl w:val="277406C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3B4505D3"/>
    <w:multiLevelType w:val="hybridMultilevel"/>
    <w:tmpl w:val="4B9873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B4D2829"/>
    <w:multiLevelType w:val="hybridMultilevel"/>
    <w:tmpl w:val="CEDEC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AC2C03"/>
    <w:multiLevelType w:val="hybridMultilevel"/>
    <w:tmpl w:val="8444BB7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nsid w:val="5B2D26E4"/>
    <w:multiLevelType w:val="hybridMultilevel"/>
    <w:tmpl w:val="2D56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9708FE"/>
    <w:multiLevelType w:val="hybridMultilevel"/>
    <w:tmpl w:val="31DE6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3C0544"/>
    <w:multiLevelType w:val="hybridMultilevel"/>
    <w:tmpl w:val="76CAB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EE3367"/>
    <w:multiLevelType w:val="hybridMultilevel"/>
    <w:tmpl w:val="49F0D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6"/>
  </w:num>
  <w:num w:numId="5">
    <w:abstractNumId w:val="3"/>
  </w:num>
  <w:num w:numId="6">
    <w:abstractNumId w:val="5"/>
  </w:num>
  <w:num w:numId="7">
    <w:abstractNumId w:val="4"/>
  </w:num>
  <w:num w:numId="8">
    <w:abstractNumId w:val="7"/>
  </w:num>
  <w:num w:numId="9">
    <w:abstractNumId w:val="10"/>
  </w:num>
  <w:num w:numId="10">
    <w:abstractNumId w:val="2"/>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BF"/>
    <w:rsid w:val="00027AD6"/>
    <w:rsid w:val="00044E94"/>
    <w:rsid w:val="000766AA"/>
    <w:rsid w:val="000A6C68"/>
    <w:rsid w:val="001225B9"/>
    <w:rsid w:val="00175A59"/>
    <w:rsid w:val="00181406"/>
    <w:rsid w:val="00232183"/>
    <w:rsid w:val="00237667"/>
    <w:rsid w:val="00240203"/>
    <w:rsid w:val="00294496"/>
    <w:rsid w:val="00297200"/>
    <w:rsid w:val="002D15B7"/>
    <w:rsid w:val="00311D64"/>
    <w:rsid w:val="00321ACB"/>
    <w:rsid w:val="003E71D2"/>
    <w:rsid w:val="0042090B"/>
    <w:rsid w:val="00422FA8"/>
    <w:rsid w:val="004402EB"/>
    <w:rsid w:val="004C47DF"/>
    <w:rsid w:val="00516FBA"/>
    <w:rsid w:val="005327C9"/>
    <w:rsid w:val="00591F30"/>
    <w:rsid w:val="005E5144"/>
    <w:rsid w:val="00601F43"/>
    <w:rsid w:val="006625CF"/>
    <w:rsid w:val="006E16DF"/>
    <w:rsid w:val="0073726D"/>
    <w:rsid w:val="00746029"/>
    <w:rsid w:val="007F1A6B"/>
    <w:rsid w:val="008000A2"/>
    <w:rsid w:val="00805CF5"/>
    <w:rsid w:val="008C3BF0"/>
    <w:rsid w:val="008F74F6"/>
    <w:rsid w:val="00925C6B"/>
    <w:rsid w:val="009265AF"/>
    <w:rsid w:val="00932FAE"/>
    <w:rsid w:val="009735F0"/>
    <w:rsid w:val="009810F2"/>
    <w:rsid w:val="009B1017"/>
    <w:rsid w:val="009B37BF"/>
    <w:rsid w:val="009B7E04"/>
    <w:rsid w:val="00A74FBA"/>
    <w:rsid w:val="00A80B39"/>
    <w:rsid w:val="00AD3392"/>
    <w:rsid w:val="00AE2635"/>
    <w:rsid w:val="00AF04F2"/>
    <w:rsid w:val="00C019D0"/>
    <w:rsid w:val="00D8078F"/>
    <w:rsid w:val="00DE5615"/>
    <w:rsid w:val="00E042C9"/>
    <w:rsid w:val="00E17B55"/>
    <w:rsid w:val="00E45D10"/>
    <w:rsid w:val="00E87BC8"/>
    <w:rsid w:val="00E95153"/>
    <w:rsid w:val="00F200DA"/>
    <w:rsid w:val="00FC5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6DF"/>
    <w:pPr>
      <w:spacing w:after="0" w:line="240" w:lineRule="auto"/>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7BF"/>
    <w:pPr>
      <w:ind w:left="720"/>
      <w:contextualSpacing/>
    </w:pPr>
  </w:style>
  <w:style w:type="character" w:styleId="Hyperlink">
    <w:name w:val="Hyperlink"/>
    <w:basedOn w:val="DefaultParagraphFont"/>
    <w:uiPriority w:val="99"/>
    <w:unhideWhenUsed/>
    <w:rsid w:val="00321ACB"/>
    <w:rPr>
      <w:color w:val="0000FF" w:themeColor="hyperlink"/>
      <w:u w:val="single"/>
    </w:rPr>
  </w:style>
  <w:style w:type="paragraph" w:styleId="BalloonText">
    <w:name w:val="Balloon Text"/>
    <w:basedOn w:val="Normal"/>
    <w:link w:val="BalloonTextChar"/>
    <w:uiPriority w:val="99"/>
    <w:semiHidden/>
    <w:unhideWhenUsed/>
    <w:rsid w:val="0073726D"/>
    <w:rPr>
      <w:rFonts w:ascii="Tahoma" w:hAnsi="Tahoma" w:cs="Tahoma"/>
      <w:sz w:val="16"/>
      <w:szCs w:val="16"/>
    </w:rPr>
  </w:style>
  <w:style w:type="character" w:customStyle="1" w:styleId="BalloonTextChar">
    <w:name w:val="Balloon Text Char"/>
    <w:basedOn w:val="DefaultParagraphFont"/>
    <w:link w:val="BalloonText"/>
    <w:uiPriority w:val="99"/>
    <w:semiHidden/>
    <w:rsid w:val="0073726D"/>
    <w:rPr>
      <w:rFonts w:ascii="Tahoma" w:eastAsia="Times New Roman" w:hAnsi="Tahoma" w:cs="Tahoma"/>
      <w:sz w:val="16"/>
      <w:szCs w:val="16"/>
    </w:rPr>
  </w:style>
  <w:style w:type="paragraph" w:styleId="NoSpacing">
    <w:name w:val="No Spacing"/>
    <w:uiPriority w:val="1"/>
    <w:qFormat/>
    <w:rsid w:val="00AF04F2"/>
    <w:pPr>
      <w:spacing w:after="0" w:line="240" w:lineRule="auto"/>
    </w:pPr>
    <w:rPr>
      <w:rFonts w:asciiTheme="minorHAnsi" w:hAnsiTheme="minorHAnsi" w:cstheme="minorBidi"/>
      <w:sz w:val="22"/>
      <w:szCs w:val="22"/>
    </w:rPr>
  </w:style>
  <w:style w:type="paragraph" w:styleId="Header">
    <w:name w:val="header"/>
    <w:basedOn w:val="Normal"/>
    <w:link w:val="HeaderChar"/>
    <w:uiPriority w:val="99"/>
    <w:unhideWhenUsed/>
    <w:rsid w:val="00805CF5"/>
    <w:pPr>
      <w:tabs>
        <w:tab w:val="center" w:pos="4513"/>
        <w:tab w:val="right" w:pos="9026"/>
      </w:tabs>
    </w:pPr>
  </w:style>
  <w:style w:type="character" w:customStyle="1" w:styleId="HeaderChar">
    <w:name w:val="Header Char"/>
    <w:basedOn w:val="DefaultParagraphFont"/>
    <w:link w:val="Header"/>
    <w:uiPriority w:val="99"/>
    <w:rsid w:val="00805CF5"/>
    <w:rPr>
      <w:rFonts w:eastAsia="Times New Roman" w:cs="Times New Roman"/>
      <w:sz w:val="22"/>
    </w:rPr>
  </w:style>
  <w:style w:type="paragraph" w:styleId="Footer">
    <w:name w:val="footer"/>
    <w:basedOn w:val="Normal"/>
    <w:link w:val="FooterChar"/>
    <w:uiPriority w:val="99"/>
    <w:unhideWhenUsed/>
    <w:rsid w:val="00805CF5"/>
    <w:pPr>
      <w:tabs>
        <w:tab w:val="center" w:pos="4513"/>
        <w:tab w:val="right" w:pos="9026"/>
      </w:tabs>
    </w:pPr>
  </w:style>
  <w:style w:type="character" w:customStyle="1" w:styleId="FooterChar">
    <w:name w:val="Footer Char"/>
    <w:basedOn w:val="DefaultParagraphFont"/>
    <w:link w:val="Footer"/>
    <w:uiPriority w:val="99"/>
    <w:rsid w:val="00805CF5"/>
    <w:rPr>
      <w:rFonts w:eastAsia="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6DF"/>
    <w:pPr>
      <w:spacing w:after="0" w:line="240" w:lineRule="auto"/>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7BF"/>
    <w:pPr>
      <w:ind w:left="720"/>
      <w:contextualSpacing/>
    </w:pPr>
  </w:style>
  <w:style w:type="character" w:styleId="Hyperlink">
    <w:name w:val="Hyperlink"/>
    <w:basedOn w:val="DefaultParagraphFont"/>
    <w:uiPriority w:val="99"/>
    <w:unhideWhenUsed/>
    <w:rsid w:val="00321ACB"/>
    <w:rPr>
      <w:color w:val="0000FF" w:themeColor="hyperlink"/>
      <w:u w:val="single"/>
    </w:rPr>
  </w:style>
  <w:style w:type="paragraph" w:styleId="BalloonText">
    <w:name w:val="Balloon Text"/>
    <w:basedOn w:val="Normal"/>
    <w:link w:val="BalloonTextChar"/>
    <w:uiPriority w:val="99"/>
    <w:semiHidden/>
    <w:unhideWhenUsed/>
    <w:rsid w:val="0073726D"/>
    <w:rPr>
      <w:rFonts w:ascii="Tahoma" w:hAnsi="Tahoma" w:cs="Tahoma"/>
      <w:sz w:val="16"/>
      <w:szCs w:val="16"/>
    </w:rPr>
  </w:style>
  <w:style w:type="character" w:customStyle="1" w:styleId="BalloonTextChar">
    <w:name w:val="Balloon Text Char"/>
    <w:basedOn w:val="DefaultParagraphFont"/>
    <w:link w:val="BalloonText"/>
    <w:uiPriority w:val="99"/>
    <w:semiHidden/>
    <w:rsid w:val="0073726D"/>
    <w:rPr>
      <w:rFonts w:ascii="Tahoma" w:eastAsia="Times New Roman" w:hAnsi="Tahoma" w:cs="Tahoma"/>
      <w:sz w:val="16"/>
      <w:szCs w:val="16"/>
    </w:rPr>
  </w:style>
  <w:style w:type="paragraph" w:styleId="NoSpacing">
    <w:name w:val="No Spacing"/>
    <w:uiPriority w:val="1"/>
    <w:qFormat/>
    <w:rsid w:val="00AF04F2"/>
    <w:pPr>
      <w:spacing w:after="0" w:line="240" w:lineRule="auto"/>
    </w:pPr>
    <w:rPr>
      <w:rFonts w:asciiTheme="minorHAnsi" w:hAnsiTheme="minorHAnsi" w:cstheme="minorBidi"/>
      <w:sz w:val="22"/>
      <w:szCs w:val="22"/>
    </w:rPr>
  </w:style>
  <w:style w:type="paragraph" w:styleId="Header">
    <w:name w:val="header"/>
    <w:basedOn w:val="Normal"/>
    <w:link w:val="HeaderChar"/>
    <w:uiPriority w:val="99"/>
    <w:unhideWhenUsed/>
    <w:rsid w:val="00805CF5"/>
    <w:pPr>
      <w:tabs>
        <w:tab w:val="center" w:pos="4513"/>
        <w:tab w:val="right" w:pos="9026"/>
      </w:tabs>
    </w:pPr>
  </w:style>
  <w:style w:type="character" w:customStyle="1" w:styleId="HeaderChar">
    <w:name w:val="Header Char"/>
    <w:basedOn w:val="DefaultParagraphFont"/>
    <w:link w:val="Header"/>
    <w:uiPriority w:val="99"/>
    <w:rsid w:val="00805CF5"/>
    <w:rPr>
      <w:rFonts w:eastAsia="Times New Roman" w:cs="Times New Roman"/>
      <w:sz w:val="22"/>
    </w:rPr>
  </w:style>
  <w:style w:type="paragraph" w:styleId="Footer">
    <w:name w:val="footer"/>
    <w:basedOn w:val="Normal"/>
    <w:link w:val="FooterChar"/>
    <w:uiPriority w:val="99"/>
    <w:unhideWhenUsed/>
    <w:rsid w:val="00805CF5"/>
    <w:pPr>
      <w:tabs>
        <w:tab w:val="center" w:pos="4513"/>
        <w:tab w:val="right" w:pos="9026"/>
      </w:tabs>
    </w:pPr>
  </w:style>
  <w:style w:type="character" w:customStyle="1" w:styleId="FooterChar">
    <w:name w:val="Footer Char"/>
    <w:basedOn w:val="DefaultParagraphFont"/>
    <w:link w:val="Footer"/>
    <w:uiPriority w:val="99"/>
    <w:rsid w:val="00805CF5"/>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7300">
      <w:bodyDiv w:val="1"/>
      <w:marLeft w:val="0"/>
      <w:marRight w:val="0"/>
      <w:marTop w:val="0"/>
      <w:marBottom w:val="0"/>
      <w:divBdr>
        <w:top w:val="none" w:sz="0" w:space="0" w:color="auto"/>
        <w:left w:val="none" w:sz="0" w:space="0" w:color="auto"/>
        <w:bottom w:val="none" w:sz="0" w:space="0" w:color="auto"/>
        <w:right w:val="none" w:sz="0" w:space="0" w:color="auto"/>
      </w:divBdr>
    </w:div>
    <w:div w:id="266159301">
      <w:bodyDiv w:val="1"/>
      <w:marLeft w:val="0"/>
      <w:marRight w:val="0"/>
      <w:marTop w:val="0"/>
      <w:marBottom w:val="0"/>
      <w:divBdr>
        <w:top w:val="none" w:sz="0" w:space="0" w:color="auto"/>
        <w:left w:val="none" w:sz="0" w:space="0" w:color="auto"/>
        <w:bottom w:val="none" w:sz="0" w:space="0" w:color="auto"/>
        <w:right w:val="none" w:sz="0" w:space="0" w:color="auto"/>
      </w:divBdr>
    </w:div>
    <w:div w:id="833028229">
      <w:bodyDiv w:val="1"/>
      <w:marLeft w:val="0"/>
      <w:marRight w:val="0"/>
      <w:marTop w:val="0"/>
      <w:marBottom w:val="0"/>
      <w:divBdr>
        <w:top w:val="none" w:sz="0" w:space="0" w:color="auto"/>
        <w:left w:val="none" w:sz="0" w:space="0" w:color="auto"/>
        <w:bottom w:val="none" w:sz="0" w:space="0" w:color="auto"/>
        <w:right w:val="none" w:sz="0" w:space="0" w:color="auto"/>
      </w:divBdr>
    </w:div>
    <w:div w:id="871765089">
      <w:bodyDiv w:val="1"/>
      <w:marLeft w:val="0"/>
      <w:marRight w:val="0"/>
      <w:marTop w:val="0"/>
      <w:marBottom w:val="0"/>
      <w:divBdr>
        <w:top w:val="none" w:sz="0" w:space="0" w:color="auto"/>
        <w:left w:val="none" w:sz="0" w:space="0" w:color="auto"/>
        <w:bottom w:val="none" w:sz="0" w:space="0" w:color="auto"/>
        <w:right w:val="none" w:sz="0" w:space="0" w:color="auto"/>
      </w:divBdr>
    </w:div>
    <w:div w:id="1265000359">
      <w:bodyDiv w:val="1"/>
      <w:marLeft w:val="0"/>
      <w:marRight w:val="0"/>
      <w:marTop w:val="0"/>
      <w:marBottom w:val="0"/>
      <w:divBdr>
        <w:top w:val="none" w:sz="0" w:space="0" w:color="auto"/>
        <w:left w:val="none" w:sz="0" w:space="0" w:color="auto"/>
        <w:bottom w:val="none" w:sz="0" w:space="0" w:color="auto"/>
        <w:right w:val="none" w:sz="0" w:space="0" w:color="auto"/>
      </w:divBdr>
    </w:div>
    <w:div w:id="1513183091">
      <w:bodyDiv w:val="1"/>
      <w:marLeft w:val="0"/>
      <w:marRight w:val="0"/>
      <w:marTop w:val="0"/>
      <w:marBottom w:val="0"/>
      <w:divBdr>
        <w:top w:val="none" w:sz="0" w:space="0" w:color="auto"/>
        <w:left w:val="none" w:sz="0" w:space="0" w:color="auto"/>
        <w:bottom w:val="none" w:sz="0" w:space="0" w:color="auto"/>
        <w:right w:val="none" w:sz="0" w:space="0" w:color="auto"/>
      </w:divBdr>
    </w:div>
    <w:div w:id="1765832682">
      <w:bodyDiv w:val="1"/>
      <w:marLeft w:val="0"/>
      <w:marRight w:val="0"/>
      <w:marTop w:val="0"/>
      <w:marBottom w:val="0"/>
      <w:divBdr>
        <w:top w:val="none" w:sz="0" w:space="0" w:color="auto"/>
        <w:left w:val="none" w:sz="0" w:space="0" w:color="auto"/>
        <w:bottom w:val="none" w:sz="0" w:space="0" w:color="auto"/>
        <w:right w:val="none" w:sz="0" w:space="0" w:color="auto"/>
      </w:divBdr>
    </w:div>
    <w:div w:id="195173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yperlink" Target="https://www.ntw.nhs.uk/about/equality/" TargetMode="External"/><Relationship Id="rId4" Type="http://schemas.microsoft.com/office/2007/relationships/stylesWithEffects" Target="stylesWithEffects.xml"/><Relationship Id="rId9" Type="http://schemas.openxmlformats.org/officeDocument/2006/relationships/hyperlink" Target="https://www.england.nhs.uk/about/equality/equality-hub/eds/eds-dashboard/eds-nort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A1C50-1914-4A99-98A6-734BFD05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15</Pages>
  <Words>2893</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NTW NHS Trust</Company>
  <LinksUpToDate>false</LinksUpToDate>
  <CharactersWithSpaces>19351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Rowlands, Chris</dc:creator>
  <cp:lastModifiedBy>Rowlands, Chris</cp:lastModifiedBy>
  <cp:revision>7</cp:revision>
  <dcterms:created xsi:type="dcterms:W3CDTF">2018-07-16T11:38:00Z</dcterms:created>
  <dcterms:modified xsi:type="dcterms:W3CDTF">2018-07-17T16:48:00Z</dcterms:modified>
</cp:coreProperties>
</file>